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E" w:rsidRPr="00AC5E50" w:rsidRDefault="004B5A6E" w:rsidP="004B5A6E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4B5A6E" w:rsidRPr="00AC5E50" w:rsidRDefault="004B5A6E" w:rsidP="004B5A6E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AC5E50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AC5E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AC5E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AC5E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4B5A6E" w:rsidRPr="00AC5E50" w:rsidRDefault="004B5A6E" w:rsidP="004B5A6E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B5A6E" w:rsidRPr="00AC5E50" w:rsidRDefault="004B5A6E" w:rsidP="004B5A6E">
      <w:pPr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/>
          <w:sz w:val="22"/>
          <w:szCs w:val="22"/>
        </w:rPr>
        <w:tab/>
        <w:t>2</w:t>
      </w:r>
      <w:r w:rsidR="00CD01B1">
        <w:rPr>
          <w:rFonts w:ascii="GHEA Grapalat" w:hAnsi="GHEA Grapalat"/>
          <w:sz w:val="22"/>
          <w:szCs w:val="22"/>
        </w:rPr>
        <w:t>7</w:t>
      </w:r>
      <w:r w:rsidRPr="00AC5E50">
        <w:rPr>
          <w:rFonts w:ascii="GHEA Grapalat" w:hAnsi="GHEA Grapalat"/>
          <w:sz w:val="22"/>
          <w:szCs w:val="22"/>
        </w:rPr>
        <w:t>.02.2014</w:t>
      </w:r>
      <w:r w:rsidRPr="00AC5E50">
        <w:rPr>
          <w:rFonts w:ascii="GHEA Grapalat" w:hAnsi="GHEA Grapalat" w:cs="Sylfaen"/>
          <w:sz w:val="22"/>
          <w:szCs w:val="22"/>
          <w:lang w:val="af-ZA"/>
        </w:rPr>
        <w:t>թ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.                     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   </w:t>
      </w:r>
      <w:r w:rsidR="00AC5E50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  <w:r w:rsidRPr="00AC5E50">
        <w:rPr>
          <w:rFonts w:ascii="GHEA Grapalat" w:hAnsi="GHEA Grapalat" w:cs="Sylfaen"/>
          <w:sz w:val="22"/>
          <w:szCs w:val="22"/>
          <w:lang w:val="hy-AM"/>
        </w:rPr>
        <w:t>ք</w:t>
      </w:r>
      <w:r w:rsidRPr="00AC5E50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AC5E50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AC5E50">
        <w:rPr>
          <w:rFonts w:ascii="GHEA Grapalat" w:hAnsi="GHEA Grapalat" w:cs="Times Armenian"/>
          <w:sz w:val="22"/>
          <w:szCs w:val="22"/>
          <w:lang w:val="hy-AM"/>
        </w:rPr>
        <w:tab/>
      </w:r>
      <w:r w:rsidRPr="00AC5E50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B5A6E" w:rsidRPr="00AC5E50" w:rsidRDefault="004B5A6E" w:rsidP="004B5A6E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B5A6E" w:rsidRPr="00AC5E50" w:rsidRDefault="004B5A6E" w:rsidP="004B5A6E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AC5E50">
        <w:rPr>
          <w:rFonts w:ascii="GHEA Grapalat" w:hAnsi="GHEA Grapalat"/>
          <w:sz w:val="22"/>
          <w:szCs w:val="22"/>
          <w:lang w:val="hy-AM"/>
        </w:rPr>
        <w:t>ավագ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 30.01.2013թ. հարուցված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396/13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AC5E50">
        <w:rPr>
          <w:rFonts w:ascii="GHEA Grapalat" w:hAnsi="GHEA Grapalat"/>
          <w:sz w:val="22"/>
          <w:szCs w:val="22"/>
          <w:lang w:val="af-ZA"/>
        </w:rPr>
        <w:t>.</w:t>
      </w:r>
    </w:p>
    <w:p w:rsidR="004B5A6E" w:rsidRPr="00AC5E50" w:rsidRDefault="004B5A6E" w:rsidP="004B5A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4B5A6E" w:rsidRPr="00AC5E50" w:rsidRDefault="004B5A6E" w:rsidP="004B5A6E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B5A6E" w:rsidRPr="00AC5E50" w:rsidRDefault="004B5A6E" w:rsidP="004B5A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4B5A6E" w:rsidRPr="00AC5E50" w:rsidRDefault="004B5A6E" w:rsidP="004B5A6E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AC5E50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AC5E50">
        <w:rPr>
          <w:rFonts w:ascii="GHEA Grapalat" w:hAnsi="GHEA Grapalat"/>
          <w:sz w:val="22"/>
          <w:szCs w:val="22"/>
        </w:rPr>
        <w:t>դատարանի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</w:rPr>
        <w:t>կողմից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>11.02.2013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AC5E50">
        <w:rPr>
          <w:rFonts w:ascii="GHEA Grapalat" w:hAnsi="GHEA Grapalat"/>
          <w:sz w:val="22"/>
          <w:szCs w:val="22"/>
          <w:lang w:val="hy-AM"/>
        </w:rPr>
        <w:t>ԵԱՔԴ/1475/02/12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>կատարողական թերթի համաձայն պետք է ս</w:t>
      </w:r>
      <w:r w:rsidRPr="00AC5E50">
        <w:rPr>
          <w:rFonts w:ascii="GHEA Grapalat" w:hAnsi="GHEA Grapalat"/>
          <w:color w:val="21346E"/>
          <w:sz w:val="22"/>
          <w:szCs w:val="22"/>
        </w:rPr>
        <w:t>կսած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26.06.2012 </w:t>
      </w:r>
      <w:r w:rsidRPr="00AC5E50">
        <w:rPr>
          <w:rFonts w:ascii="GHEA Grapalat" w:hAnsi="GHEA Grapalat"/>
          <w:color w:val="21346E"/>
          <w:sz w:val="22"/>
          <w:szCs w:val="22"/>
        </w:rPr>
        <w:t>թվականից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մինչև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ժամկետանց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գումարների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ամբողջական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վճարումը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վարկի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գումարին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` 233.000 </w:t>
      </w:r>
      <w:r w:rsidRPr="00AC5E50">
        <w:rPr>
          <w:rFonts w:ascii="GHEA Grapalat" w:hAnsi="GHEA Grapalat"/>
          <w:color w:val="21346E"/>
          <w:sz w:val="22"/>
          <w:szCs w:val="22"/>
        </w:rPr>
        <w:t>դրամ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և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վարկի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դիմաց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հաշվարկված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տոկոսի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` 48.125,60 </w:t>
      </w:r>
      <w:r w:rsidRPr="00AC5E50">
        <w:rPr>
          <w:rFonts w:ascii="GHEA Grapalat" w:hAnsi="GHEA Grapalat"/>
          <w:color w:val="21346E"/>
          <w:sz w:val="22"/>
          <w:szCs w:val="22"/>
        </w:rPr>
        <w:t>դրամ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նկատմամբ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AC5E50">
        <w:rPr>
          <w:rFonts w:ascii="GHEA Grapalat" w:hAnsi="GHEA Grapalat"/>
          <w:color w:val="21346E"/>
          <w:sz w:val="22"/>
          <w:szCs w:val="22"/>
        </w:rPr>
        <w:t>կողմերի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միջև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19.10.2011 </w:t>
      </w:r>
      <w:r w:rsidRPr="00AC5E50">
        <w:rPr>
          <w:rFonts w:ascii="GHEA Grapalat" w:hAnsi="GHEA Grapalat"/>
          <w:color w:val="21346E"/>
          <w:sz w:val="22"/>
          <w:szCs w:val="22"/>
        </w:rPr>
        <w:t>թվականին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կնքված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պայմանագրի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11.1 </w:t>
      </w:r>
      <w:r w:rsidRPr="00AC5E50">
        <w:rPr>
          <w:rFonts w:ascii="GHEA Grapalat" w:hAnsi="GHEA Grapalat"/>
          <w:color w:val="21346E"/>
          <w:sz w:val="22"/>
          <w:szCs w:val="22"/>
        </w:rPr>
        <w:t>կետին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համապատասխան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AC5E50">
        <w:rPr>
          <w:rFonts w:ascii="GHEA Grapalat" w:hAnsi="GHEA Grapalat"/>
          <w:color w:val="21346E"/>
          <w:sz w:val="22"/>
          <w:szCs w:val="22"/>
        </w:rPr>
        <w:t>հաշվեգրել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օրական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0,2 </w:t>
      </w:r>
      <w:r w:rsidRPr="00AC5E50">
        <w:rPr>
          <w:rFonts w:ascii="GHEA Grapalat" w:hAnsi="GHEA Grapalat"/>
          <w:color w:val="21346E"/>
          <w:sz w:val="22"/>
          <w:szCs w:val="22"/>
        </w:rPr>
        <w:t>տոկոսի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չափով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տույժ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և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այդ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գումարը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բռնագանձել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Արմեն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Մաթևոսյանից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հօգուտ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ՙՎՏԲ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AC5E50">
        <w:rPr>
          <w:rFonts w:ascii="GHEA Grapalat" w:hAnsi="GHEA Grapalat"/>
          <w:color w:val="21346E"/>
          <w:sz w:val="22"/>
          <w:szCs w:val="22"/>
        </w:rPr>
        <w:t>Հայաստան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բանկ՚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ՓԲԸ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AC5E50">
        <w:rPr>
          <w:rFonts w:ascii="GHEA Grapalat" w:hAnsi="GHEA Grapalat"/>
          <w:color w:val="21346E"/>
          <w:sz w:val="22"/>
          <w:szCs w:val="22"/>
        </w:rPr>
        <w:t>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AC5E50">
        <w:rPr>
          <w:rFonts w:ascii="GHEA Grapalat" w:hAnsi="GHEA Grapalat"/>
          <w:color w:val="21346E"/>
          <w:sz w:val="22"/>
          <w:szCs w:val="22"/>
        </w:rPr>
        <w:t>իսկ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բռնագանձվող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2 </w:t>
      </w:r>
      <w:r w:rsidRPr="00AC5E50">
        <w:rPr>
          <w:rFonts w:ascii="GHEA Grapalat" w:hAnsi="GHEA Grapalat"/>
          <w:color w:val="21346E"/>
          <w:sz w:val="22"/>
          <w:szCs w:val="22"/>
        </w:rPr>
        <w:t>տոկոսը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բռնագանձել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Արմեն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Մաթևոսյանից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հօգուտ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պետական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բյուջեի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AC5E50">
        <w:rPr>
          <w:rFonts w:ascii="GHEA Grapalat" w:hAnsi="GHEA Grapalat"/>
          <w:color w:val="21346E"/>
          <w:sz w:val="22"/>
          <w:szCs w:val="22"/>
        </w:rPr>
        <w:t>որպես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պետական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տուրքի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color w:val="21346E"/>
          <w:sz w:val="22"/>
          <w:szCs w:val="22"/>
        </w:rPr>
        <w:t>գումար</w:t>
      </w:r>
      <w:r w:rsidRPr="00AC5E50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4B5A6E" w:rsidRPr="00AC5E50" w:rsidRDefault="004B5A6E" w:rsidP="004B5A6E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Արմեն Թադևոսյանին պատկանող 7 անվանում շարժական գույքերի և «ՎՏԲ-Հայաստան բանկ» ՓԲԸ-ում գրավադրված 18 անվանում ոսկյա զարդերի վրա:</w:t>
      </w:r>
    </w:p>
    <w:p w:rsidR="004B5A6E" w:rsidRPr="00AC5E50" w:rsidRDefault="004B5A6E" w:rsidP="004B5A6E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4B5A6E" w:rsidRPr="00AC5E50" w:rsidRDefault="004B5A6E" w:rsidP="004B5A6E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վրա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և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ՀՀ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>6-րդ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AC5E50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AC5E50">
        <w:rPr>
          <w:rFonts w:ascii="GHEA Grapalat" w:hAnsi="GHEA Grapalat"/>
          <w:sz w:val="22"/>
          <w:szCs w:val="22"/>
          <w:lang w:val="af-ZA"/>
        </w:rPr>
        <w:t>, «</w:t>
      </w:r>
      <w:r w:rsidRPr="00AC5E50">
        <w:rPr>
          <w:rFonts w:ascii="GHEA Grapalat" w:hAnsi="GHEA Grapalat" w:cs="Sylfaen"/>
          <w:sz w:val="22"/>
          <w:szCs w:val="22"/>
          <w:lang w:val="af-ZA"/>
        </w:rPr>
        <w:t>Դ</w:t>
      </w: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AC5E50">
        <w:rPr>
          <w:rFonts w:ascii="GHEA Grapalat" w:hAnsi="GHEA Grapalat"/>
          <w:sz w:val="22"/>
          <w:szCs w:val="22"/>
          <w:lang w:val="af-ZA"/>
        </w:rPr>
        <w:t>»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873CAC" w:rsidRPr="00873CA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AC5E50">
        <w:rPr>
          <w:rFonts w:ascii="GHEA Grapalat" w:hAnsi="GHEA Grapalat"/>
          <w:sz w:val="22"/>
          <w:szCs w:val="22"/>
          <w:lang w:val="hy-AM"/>
        </w:rPr>
        <w:t>28-րդ հոդվածով և 37-րդ հոդվածի 1-ին մասի 8-րդ կետով.</w:t>
      </w:r>
    </w:p>
    <w:p w:rsidR="004B5A6E" w:rsidRPr="00AC5E50" w:rsidRDefault="004B5A6E" w:rsidP="004B5A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4B5A6E" w:rsidRPr="00AC5E50" w:rsidRDefault="004B5A6E" w:rsidP="004B5A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B5A6E" w:rsidRPr="00AC5E50" w:rsidRDefault="004B5A6E" w:rsidP="004B5A6E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4B5A6E" w:rsidRPr="00AC5E50" w:rsidRDefault="004B5A6E" w:rsidP="004B5A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AC5E50">
        <w:rPr>
          <w:rFonts w:ascii="GHEA Grapalat" w:hAnsi="GHEA Grapalat" w:cs="Sylfaen"/>
          <w:sz w:val="22"/>
          <w:szCs w:val="22"/>
          <w:lang w:val="hy-AM"/>
        </w:rPr>
        <w:t>՝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hy-AM"/>
        </w:rPr>
        <w:t>30.01.2013թ. հարուցված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AC5E50">
        <w:rPr>
          <w:rFonts w:ascii="GHEA Grapalat" w:hAnsi="GHEA Grapalat" w:cs="Sylfaen"/>
          <w:sz w:val="22"/>
          <w:szCs w:val="22"/>
          <w:lang w:val="hy-AM"/>
        </w:rPr>
        <w:t xml:space="preserve">396/13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4B5A6E" w:rsidRPr="00AC5E50" w:rsidRDefault="004B5A6E" w:rsidP="004B5A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B5A6E" w:rsidRPr="00AC5E50" w:rsidRDefault="004B5A6E" w:rsidP="004B5A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AC5E50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AC5E50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4B5A6E" w:rsidRPr="00AC5E50" w:rsidRDefault="004B5A6E" w:rsidP="004B5A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AC5E50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AC5E50">
        <w:rPr>
          <w:rFonts w:ascii="GHEA Grapalat" w:hAnsi="GHEA Grapalat"/>
          <w:sz w:val="22"/>
          <w:szCs w:val="22"/>
          <w:lang w:val="af-ZA"/>
        </w:rPr>
        <w:t>:</w:t>
      </w:r>
    </w:p>
    <w:p w:rsidR="004B5A6E" w:rsidRPr="00AC5E50" w:rsidRDefault="004B5A6E" w:rsidP="004B5A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C5E50">
        <w:rPr>
          <w:rFonts w:ascii="GHEA Grapalat" w:hAnsi="GHEA Grapalat" w:cs="Sylfaen"/>
          <w:sz w:val="22"/>
          <w:szCs w:val="22"/>
        </w:rPr>
        <w:t>Որոշումը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կարող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է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բողոքարկվել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AC5E50">
        <w:rPr>
          <w:rFonts w:ascii="GHEA Grapalat" w:hAnsi="GHEA Grapalat"/>
          <w:sz w:val="22"/>
          <w:szCs w:val="22"/>
        </w:rPr>
        <w:t xml:space="preserve">  </w:t>
      </w:r>
      <w:r w:rsidRPr="00AC5E50">
        <w:rPr>
          <w:rFonts w:ascii="GHEA Grapalat" w:hAnsi="GHEA Grapalat" w:cs="Sylfaen"/>
          <w:sz w:val="22"/>
          <w:szCs w:val="22"/>
        </w:rPr>
        <w:t>դատարան</w:t>
      </w:r>
      <w:r w:rsidRPr="00AC5E50">
        <w:rPr>
          <w:rFonts w:ascii="GHEA Grapalat" w:hAnsi="GHEA Grapalat"/>
          <w:sz w:val="22"/>
          <w:szCs w:val="22"/>
        </w:rPr>
        <w:t xml:space="preserve">  </w:t>
      </w:r>
      <w:r w:rsidRPr="00AC5E50">
        <w:rPr>
          <w:rFonts w:ascii="GHEA Grapalat" w:hAnsi="GHEA Grapalat" w:cs="Sylfaen"/>
          <w:sz w:val="22"/>
          <w:szCs w:val="22"/>
        </w:rPr>
        <w:t>կամ</w:t>
      </w:r>
      <w:r w:rsidRPr="00AC5E50">
        <w:rPr>
          <w:rFonts w:ascii="GHEA Grapalat" w:hAnsi="GHEA Grapalat"/>
          <w:sz w:val="22"/>
          <w:szCs w:val="22"/>
        </w:rPr>
        <w:t xml:space="preserve">  </w:t>
      </w:r>
      <w:r w:rsidRPr="00AC5E50">
        <w:rPr>
          <w:rFonts w:ascii="GHEA Grapalat" w:hAnsi="GHEA Grapalat" w:cs="Sylfaen"/>
          <w:sz w:val="22"/>
          <w:szCs w:val="22"/>
        </w:rPr>
        <w:t>վերադասության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կարգով՝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որոշումը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ստանալու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օրվանից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տասնօրյա</w:t>
      </w:r>
      <w:r w:rsidRPr="00AC5E50">
        <w:rPr>
          <w:rFonts w:ascii="GHEA Grapalat" w:hAnsi="GHEA Grapalat"/>
          <w:sz w:val="22"/>
          <w:szCs w:val="22"/>
        </w:rPr>
        <w:t xml:space="preserve"> </w:t>
      </w:r>
      <w:r w:rsidRPr="00AC5E50">
        <w:rPr>
          <w:rFonts w:ascii="GHEA Grapalat" w:hAnsi="GHEA Grapalat" w:cs="Sylfaen"/>
          <w:sz w:val="22"/>
          <w:szCs w:val="22"/>
        </w:rPr>
        <w:t>ժամկետում</w:t>
      </w:r>
      <w:r w:rsidRPr="00AC5E50">
        <w:rPr>
          <w:rFonts w:ascii="GHEA Grapalat" w:hAnsi="GHEA Grapalat"/>
          <w:sz w:val="22"/>
          <w:szCs w:val="22"/>
        </w:rPr>
        <w:t>:</w:t>
      </w:r>
    </w:p>
    <w:p w:rsidR="004B5A6E" w:rsidRPr="00AC5E50" w:rsidRDefault="004B5A6E" w:rsidP="004B5A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B5A6E" w:rsidRPr="00AC5E50" w:rsidRDefault="004B5A6E" w:rsidP="004B5A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B5A6E" w:rsidRPr="00AC5E50" w:rsidRDefault="004B5A6E" w:rsidP="004B5A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B5A6E" w:rsidRPr="00AC5E50" w:rsidRDefault="004B5A6E" w:rsidP="004B5A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B5A6E" w:rsidRPr="00AC5E50" w:rsidRDefault="004B5A6E" w:rsidP="004B5A6E">
      <w:pPr>
        <w:tabs>
          <w:tab w:val="left" w:pos="7650"/>
        </w:tabs>
        <w:ind w:left="-284" w:hanging="425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C5E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C5E50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Ավագ հ</w:t>
      </w:r>
      <w:r w:rsidRPr="00AC5E50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AC5E5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AC5E50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AC5E50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</w:t>
      </w:r>
      <w:r w:rsidRPr="00AC5E50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Ա.Ասատրյան</w:t>
      </w:r>
    </w:p>
    <w:p w:rsidR="00D20CC8" w:rsidRPr="00AC5E50" w:rsidRDefault="00D20CC8">
      <w:pPr>
        <w:rPr>
          <w:rFonts w:ascii="GHEA Grapalat" w:hAnsi="GHEA Grapalat"/>
          <w:lang w:val="hy-AM"/>
        </w:rPr>
      </w:pPr>
    </w:p>
    <w:p w:rsidR="004B5A6E" w:rsidRPr="00AC5E50" w:rsidRDefault="004B5A6E">
      <w:pPr>
        <w:rPr>
          <w:rFonts w:ascii="GHEA Grapalat" w:hAnsi="GHEA Grapalat"/>
          <w:lang w:val="hy-AM"/>
        </w:rPr>
      </w:pPr>
    </w:p>
    <w:p w:rsidR="004B5A6E" w:rsidRPr="00AC5E50" w:rsidRDefault="004B5A6E">
      <w:pPr>
        <w:rPr>
          <w:rFonts w:ascii="GHEA Grapalat" w:hAnsi="GHEA Grapalat"/>
          <w:lang w:val="hy-AM"/>
        </w:rPr>
      </w:pPr>
    </w:p>
    <w:p w:rsidR="004B5A6E" w:rsidRPr="00AC5E50" w:rsidRDefault="004B5A6E">
      <w:pPr>
        <w:rPr>
          <w:rFonts w:ascii="GHEA Grapalat" w:hAnsi="GHEA Grapalat"/>
          <w:lang w:val="hy-AM"/>
        </w:rPr>
      </w:pPr>
    </w:p>
    <w:sectPr w:rsidR="004B5A6E" w:rsidRPr="00AC5E50" w:rsidSect="00D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5A6E"/>
    <w:rsid w:val="002C3D79"/>
    <w:rsid w:val="004B5A6E"/>
    <w:rsid w:val="00873CAC"/>
    <w:rsid w:val="00AC5E50"/>
    <w:rsid w:val="00CD01B1"/>
    <w:rsid w:val="00D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A6E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4B5A6E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2014-02-27T07:25:00Z</dcterms:created>
  <dcterms:modified xsi:type="dcterms:W3CDTF">2014-02-27T10:36:00Z</dcterms:modified>
</cp:coreProperties>
</file>