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684168F6" w14:textId="77777777" w:rsidR="00D015A1" w:rsidRDefault="00D015A1" w:rsidP="00D015A1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«ԷՋՄԻԱԾՆԻ ԲՈՒԱՏ» ԲԲ ընկերության </w:t>
      </w:r>
    </w:p>
    <w:p w14:paraId="30649EAD" w14:textId="77777777" w:rsidR="00D015A1" w:rsidRDefault="00D015A1" w:rsidP="00D015A1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տնօրեն Վաղարշակ Լիոնի Սարգսյանին</w:t>
      </w:r>
    </w:p>
    <w:p w14:paraId="1F282F9C" w14:textId="77777777" w:rsidR="00D015A1" w:rsidRPr="00D015A1" w:rsidRDefault="00D015A1" w:rsidP="00D015A1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D015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ՀՀ, Արմավիրի մարզ, Վաղարշապատ համայնք, Ծաղկունքի խճղ., 101 տուն)</w:t>
      </w:r>
    </w:p>
    <w:p w14:paraId="66558E76" w14:textId="77777777" w:rsidR="00621D0D" w:rsidRPr="00D015A1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9E7AAE6" w:rsidR="0009604A" w:rsidRPr="0006558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65587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65587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65587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65587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065587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065587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65587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065587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06558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65587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65587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65587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6558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65587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D015A1" w:rsidRPr="00065587">
        <w:rPr>
          <w:rFonts w:ascii="GHEA Grapalat" w:hAnsi="GHEA Grapalat"/>
          <w:bCs/>
          <w:sz w:val="24"/>
          <w:szCs w:val="24"/>
          <w:lang w:val="hy-AM"/>
        </w:rPr>
        <w:t>14</w:t>
      </w:r>
      <w:r w:rsidR="00836CDA" w:rsidRPr="00065587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065587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065587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065587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D015A1" w:rsidRPr="00065587">
        <w:rPr>
          <w:rFonts w:ascii="GHEA Grapalat" w:hAnsi="GHEA Grapalat"/>
          <w:bCs/>
          <w:sz w:val="24"/>
          <w:szCs w:val="24"/>
          <w:lang w:val="hy-AM"/>
        </w:rPr>
        <w:t>618</w:t>
      </w:r>
      <w:r w:rsidR="00367D95" w:rsidRPr="0006558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065587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065587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ապչիլ</w:t>
      </w:r>
      <w:r w:rsidR="00D155B1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499F"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065587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655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065587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6558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06558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65587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60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19454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FDF668F" w:rsidR="00481FBA" w:rsidRPr="00664498" w:rsidRDefault="0019454B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29DC37C5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իրավաբանական </w:t>
      </w:r>
      <w:r w:rsidR="0019454B">
        <w:rPr>
          <w:rFonts w:ascii="GHEA Grapalat" w:eastAsia="Calibri" w:hAnsi="GHEA Grapalat" w:cs="Times New Roman"/>
          <w:sz w:val="18"/>
          <w:szCs w:val="18"/>
          <w:lang w:val="hy-AM"/>
        </w:rPr>
        <w:t>բաժին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CAB56" w14:textId="77777777" w:rsidR="0033256C" w:rsidRDefault="0033256C" w:rsidP="007D2423">
      <w:pPr>
        <w:spacing w:after="0" w:line="240" w:lineRule="auto"/>
      </w:pPr>
      <w:r>
        <w:separator/>
      </w:r>
    </w:p>
  </w:endnote>
  <w:endnote w:type="continuationSeparator" w:id="0">
    <w:p w14:paraId="70814298" w14:textId="77777777" w:rsidR="0033256C" w:rsidRDefault="0033256C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7731" w14:textId="77777777" w:rsidR="0033256C" w:rsidRDefault="0033256C" w:rsidP="007D2423">
      <w:pPr>
        <w:spacing w:after="0" w:line="240" w:lineRule="auto"/>
      </w:pPr>
      <w:r>
        <w:separator/>
      </w:r>
    </w:p>
  </w:footnote>
  <w:footnote w:type="continuationSeparator" w:id="0">
    <w:p w14:paraId="58521A97" w14:textId="77777777" w:rsidR="0033256C" w:rsidRDefault="0033256C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65587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9454B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3256C"/>
    <w:rsid w:val="00354E4B"/>
    <w:rsid w:val="003563CE"/>
    <w:rsid w:val="00367D95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402DCE"/>
    <w:rsid w:val="00435750"/>
    <w:rsid w:val="004505EF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3559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15A1"/>
    <w:rsid w:val="00D057F6"/>
    <w:rsid w:val="00D118F9"/>
    <w:rsid w:val="00D155B1"/>
    <w:rsid w:val="00D23975"/>
    <w:rsid w:val="00D24F21"/>
    <w:rsid w:val="00D4485A"/>
    <w:rsid w:val="00D54FA7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D440B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2024-03-22T07:31:00Z</dcterms:modified>
</cp:coreProperties>
</file>