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2058" w14:textId="77777777" w:rsidR="00FE0377" w:rsidRDefault="00FB12AF" w:rsidP="00FE037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</w:t>
      </w:r>
      <w:r w:rsidR="008A32AF"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                         </w:t>
      </w:r>
      <w:r w:rsidR="00FE0377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3E77B9FE" w14:textId="77777777" w:rsidR="00FE0377" w:rsidRDefault="00FE0377" w:rsidP="00FE037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Հաստատված է</w:t>
      </w:r>
    </w:p>
    <w:p w14:paraId="12271FF1" w14:textId="77777777" w:rsidR="00FE0377" w:rsidRDefault="00FE0377" w:rsidP="00FE0377">
      <w:pPr>
        <w:spacing w:after="0"/>
        <w:ind w:firstLine="284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վարչապետի աշխատակազմի ղեկավարի </w:t>
      </w:r>
    </w:p>
    <w:p w14:paraId="666DF166" w14:textId="77777777" w:rsidR="00FE0377" w:rsidRDefault="00FE0377" w:rsidP="00FE0377">
      <w:pPr>
        <w:spacing w:after="0"/>
        <w:ind w:firstLine="284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2022 թվականի դեկտեմբերի 26-ի N1868-Լ հրամանով</w:t>
      </w:r>
    </w:p>
    <w:p w14:paraId="08FA6720" w14:textId="77777777" w:rsidR="00FE0377" w:rsidRDefault="00FE0377" w:rsidP="00FE0377">
      <w:pPr>
        <w:spacing w:after="0"/>
        <w:ind w:firstLine="284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1F18B6D7" w14:textId="43C4C358" w:rsidR="004211F1" w:rsidRPr="00FE0377" w:rsidRDefault="00FE0377" w:rsidP="00FE0377">
      <w:pPr>
        <w:spacing w:after="0"/>
        <w:ind w:firstLine="284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bookmarkStart w:id="0" w:name="_GoBack"/>
      <w:r w:rsidRPr="00FE0377">
        <w:rPr>
          <w:rFonts w:ascii="GHEA Grapalat" w:hAnsi="GHEA Grapalat" w:cs="Sylfaen"/>
          <w:b/>
          <w:bCs/>
          <w:sz w:val="24"/>
          <w:szCs w:val="24"/>
          <w:lang w:val="hy-AM"/>
        </w:rPr>
        <w:t>ՔԱՂԱՔԱՑԻԱԿԱՆ</w:t>
      </w:r>
      <w:r w:rsidRPr="00FE037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E0377">
        <w:rPr>
          <w:rFonts w:ascii="GHEA Grapalat" w:hAnsi="GHEA Grapalat" w:cs="Sylfaen"/>
          <w:b/>
          <w:bCs/>
          <w:sz w:val="24"/>
          <w:szCs w:val="24"/>
          <w:lang w:val="hy-AM"/>
        </w:rPr>
        <w:t>ԾԱՌԱՅՈՒԹՅԱՆ</w:t>
      </w:r>
      <w:r w:rsidRPr="00FE037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E0377">
        <w:rPr>
          <w:rFonts w:ascii="GHEA Grapalat" w:hAnsi="GHEA Grapalat" w:cs="Sylfaen"/>
          <w:b/>
          <w:bCs/>
          <w:sz w:val="24"/>
          <w:szCs w:val="24"/>
          <w:lang w:val="hy-AM"/>
        </w:rPr>
        <w:t>ՊԱՇՏՈՆԻ</w:t>
      </w:r>
      <w:r w:rsidRPr="00FE037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FE0377">
        <w:rPr>
          <w:rFonts w:ascii="GHEA Grapalat" w:hAnsi="GHEA Grapalat" w:cs="Sylfaen"/>
          <w:b/>
          <w:bCs/>
          <w:sz w:val="24"/>
          <w:szCs w:val="24"/>
          <w:lang w:val="hy-AM"/>
        </w:rPr>
        <w:t>ԱՆՁՆԱԳԻՐ</w:t>
      </w:r>
      <w:bookmarkEnd w:id="0"/>
    </w:p>
    <w:p w14:paraId="122B1679" w14:textId="77777777" w:rsidR="006B5E91" w:rsidRPr="006A6AA1" w:rsidRDefault="006B5E91" w:rsidP="004211F1">
      <w:pPr>
        <w:pStyle w:val="BodyText"/>
        <w:rPr>
          <w:rFonts w:ascii="GHEA Grapalat" w:hAnsi="GHEA Grapalat" w:cs="Sylfaen"/>
          <w:b/>
          <w:bCs/>
          <w:lang w:val="hy-AM"/>
        </w:rPr>
      </w:pPr>
    </w:p>
    <w:p w14:paraId="062C390F" w14:textId="660886DF" w:rsidR="004211F1" w:rsidRPr="006A6AA1" w:rsidRDefault="009349FF" w:rsidP="009349FF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9349FF">
        <w:rPr>
          <w:rFonts w:ascii="GHEA Grapalat" w:hAnsi="GHEA Grapalat"/>
          <w:b/>
          <w:lang w:val="hy-AM"/>
        </w:rPr>
        <w:t xml:space="preserve">ՎԱՐՉԱՊԵՏԻ ԱՇԽԱՏԱԿԱԶՄԻ </w:t>
      </w:r>
      <w:r w:rsidR="005D5190">
        <w:rPr>
          <w:rFonts w:ascii="GHEA Grapalat" w:hAnsi="GHEA Grapalat"/>
          <w:b/>
          <w:lang w:val="hy-AM"/>
        </w:rPr>
        <w:t xml:space="preserve">ԴԻՄՈՒՄՆԵՐԻ ՔՆՆԱՐԿՄԱՆ, </w:t>
      </w:r>
      <w:r w:rsidR="00261010" w:rsidRPr="00261010">
        <w:rPr>
          <w:rFonts w:ascii="GHEA Grapalat" w:hAnsi="GHEA Grapalat"/>
          <w:b/>
          <w:lang w:val="hy-AM"/>
        </w:rPr>
        <w:t xml:space="preserve">ՔԱՂԱՔԱՑԻՆԵՐԻ ՀԵՏ ՀԵՏԱԴԱՐՁ ԿԱՊԻ ՄՇՏԱԴԻՏԱՐԿՄԱՆ ԵՎ ԳՆԱՀԱՏՄԱՆ </w:t>
      </w:r>
      <w:r>
        <w:rPr>
          <w:rFonts w:ascii="GHEA Grapalat" w:hAnsi="GHEA Grapalat"/>
          <w:b/>
          <w:lang w:val="hy-AM"/>
        </w:rPr>
        <w:t xml:space="preserve">ՎԱՐՉՈՒԹՅԱՆ </w:t>
      </w:r>
      <w:r w:rsidR="00A90842" w:rsidRPr="00261010">
        <w:rPr>
          <w:rFonts w:ascii="GHEA Grapalat" w:hAnsi="GHEA Grapalat"/>
          <w:b/>
          <w:lang w:val="hy-AM"/>
        </w:rPr>
        <w:t>ՀԵՏԱԴԱՐՁ ԿԱՊԻ ՄՇՏԱԴԻՏԱՐԿՄԱՆ ԵՎ ԳՆԱՀԱՏՄԱՆ</w:t>
      </w:r>
      <w:r w:rsidR="00A90842">
        <w:rPr>
          <w:rFonts w:ascii="GHEA Grapalat" w:hAnsi="GHEA Grapalat"/>
          <w:b/>
          <w:lang w:val="hy-AM"/>
        </w:rPr>
        <w:t xml:space="preserve"> </w:t>
      </w:r>
      <w:r w:rsidR="008A32AF">
        <w:rPr>
          <w:rFonts w:ascii="GHEA Grapalat" w:hAnsi="GHEA Grapalat"/>
          <w:b/>
          <w:lang w:val="hy-AM"/>
        </w:rPr>
        <w:t xml:space="preserve">ԲԱԺՆԻ </w:t>
      </w:r>
      <w:r w:rsidR="001B2862" w:rsidRPr="006A6AA1">
        <w:rPr>
          <w:rFonts w:ascii="GHEA Grapalat" w:hAnsi="GHEA Grapalat" w:cs="Sylfaen"/>
          <w:b/>
          <w:lang w:val="hy-AM"/>
        </w:rPr>
        <w:t>ԳԼԽԱՎՈՐ</w:t>
      </w:r>
      <w:r w:rsidR="00146773" w:rsidRPr="006A6AA1">
        <w:rPr>
          <w:rFonts w:ascii="GHEA Grapalat" w:hAnsi="GHEA Grapalat" w:cs="Sylfaen"/>
          <w:b/>
          <w:lang w:val="hy-AM"/>
        </w:rPr>
        <w:t xml:space="preserve"> </w:t>
      </w:r>
      <w:r w:rsidR="008D0D6A" w:rsidRPr="006A6AA1">
        <w:rPr>
          <w:rFonts w:ascii="GHEA Grapalat" w:hAnsi="GHEA Grapalat" w:cs="Sylfaen"/>
          <w:b/>
          <w:lang w:val="hy-AM"/>
        </w:rPr>
        <w:t>ՄԱՍՆԱԳԵՏ</w:t>
      </w:r>
    </w:p>
    <w:p w14:paraId="6995B662" w14:textId="77777777"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14:paraId="473833DB" w14:textId="77777777" w:rsidTr="00FE17E6">
        <w:tc>
          <w:tcPr>
            <w:tcW w:w="10525" w:type="dxa"/>
            <w:hideMark/>
          </w:tcPr>
          <w:p w14:paraId="2F82C7D0" w14:textId="77777777" w:rsidR="004211F1" w:rsidRPr="000D5C8B" w:rsidRDefault="004211F1" w:rsidP="00FE17E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1. Ընդհանուր դրույթներ</w:t>
            </w:r>
          </w:p>
        </w:tc>
      </w:tr>
      <w:tr w:rsidR="004211F1" w:rsidRPr="00FE0377" w14:paraId="0D479789" w14:textId="77777777" w:rsidTr="00FE17E6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522A225D" w14:textId="77777777" w:rsidR="00903584" w:rsidRPr="000D5C8B" w:rsidRDefault="004211F1" w:rsidP="00AF0EF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Պաշտոնի անվանումը, ծածկագիրը</w:t>
            </w:r>
          </w:p>
          <w:p w14:paraId="35752067" w14:textId="1B25CAEA" w:rsidR="004211F1" w:rsidRPr="00903584" w:rsidRDefault="009349FF" w:rsidP="00E941CD">
            <w:pPr>
              <w:pStyle w:val="ListParagraph"/>
              <w:spacing w:before="100" w:beforeAutospacing="1" w:after="100" w:afterAutospacing="1"/>
              <w:ind w:left="3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9349F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Վարչապետի աշխատակազմի (այսուհետ՝ Աշխատակազմ) </w:t>
            </w:r>
            <w:r w:rsidR="005D519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դիմումների քննարկման, </w:t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ք</w:t>
            </w:r>
            <w:r w:rsidRPr="009349F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աղաքացիների հետ հետադարձ կապի մշտադիտարկման և գնահատման վարչության </w:t>
            </w:r>
            <w:r w:rsidR="00DC7654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(այսուհետ՝ Վարչություն</w:t>
            </w:r>
            <w:r w:rsidR="005D5190" w:rsidRPr="005D519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="00A90842" w:rsidRPr="009349F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հետադարձ կապի մշտադիտարկման և գնահատման</w:t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բաժնի </w:t>
            </w:r>
            <w:r w:rsidR="008A32AF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(այսուհետ՝ </w:t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Բաժին</w:t>
            </w:r>
            <w:r w:rsidR="008A32AF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)</w:t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931F3A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գ</w:t>
            </w:r>
            <w:r w:rsidR="006357A2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լխավոր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8D0D6A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մասնագետ</w:t>
            </w:r>
            <w:r w:rsidR="004211F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(ծածկագիրը՝ 06-</w:t>
            </w:r>
            <w:r w:rsidR="00FB12AF" w:rsidRPr="00FB1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13.1</w:t>
            </w:r>
            <w:r w:rsidR="004211F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-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Մ1</w:t>
            </w:r>
            <w:r w:rsidR="004211F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-</w:t>
            </w:r>
            <w:r w:rsidR="00A90842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6</w:t>
            </w:r>
            <w:r w:rsidR="004211F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):</w:t>
            </w:r>
          </w:p>
          <w:p w14:paraId="6968E85B" w14:textId="170BE67C" w:rsidR="00146773" w:rsidRPr="00903584" w:rsidRDefault="004211F1" w:rsidP="00AF0EF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Ենթակա և հաշվետու է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br/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Բաժնի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614C5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գ</w:t>
            </w:r>
            <w:r w:rsidR="006357A2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լխավոր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="008D0D6A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մասնագետն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անմիջական ենթակա և հաշվետու է </w:t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Բաժնի</w:t>
            </w:r>
            <w:r w:rsidR="00146773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պետին:</w:t>
            </w:r>
          </w:p>
          <w:p w14:paraId="100C2D85" w14:textId="722DE5A3" w:rsidR="004E2BE1" w:rsidRPr="00903584" w:rsidRDefault="004211F1" w:rsidP="00AF0EF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Փոխարինող պաշտոնի կամ պաշտոնների անվանումները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br/>
            </w:r>
            <w:r w:rsidR="008A32A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Բաժնի </w:t>
            </w:r>
            <w:r w:rsidR="004E2BE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գլխավոր մասնագետի բացակայո</w:t>
            </w:r>
            <w:r w:rsidR="004E2BE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ւթյան դեպքում նրան փոխարինում է </w:t>
            </w:r>
            <w:r w:rsidR="008A32AF">
              <w:rPr>
                <w:rFonts w:ascii="GHEA Grapalat" w:hAnsi="GHEA Grapalat"/>
                <w:sz w:val="24"/>
                <w:lang w:val="hy-AM"/>
              </w:rPr>
              <w:t>Բաժնի գլխավոր մասնագետներից մեկը</w:t>
            </w:r>
            <w:r w:rsidR="004E2BE1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:</w:t>
            </w:r>
          </w:p>
          <w:p w14:paraId="345A7502" w14:textId="2008E37E" w:rsidR="004211F1" w:rsidRPr="00903584" w:rsidRDefault="004211F1" w:rsidP="00AF0EF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Աշխատավայրը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br/>
              <w:t xml:space="preserve">Հայաստան, ք. Երևան, Կենտրոն վարչական շրջան, Հանրապետության </w:t>
            </w:r>
            <w:r w:rsidR="003E72DB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հ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րապարակ</w:t>
            </w:r>
            <w:r w:rsidR="00930CBE"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>,</w:t>
            </w:r>
            <w:r w:rsidRPr="00903584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 Կառավարական տուն 1</w:t>
            </w:r>
          </w:p>
        </w:tc>
      </w:tr>
      <w:tr w:rsidR="004211F1" w:rsidRPr="00FE0377" w14:paraId="415A8A25" w14:textId="77777777" w:rsidTr="00FE17E6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1307" w14:textId="77777777" w:rsidR="004211F1" w:rsidRPr="000D5C8B" w:rsidRDefault="002A76ED" w:rsidP="00FE1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2.</w:t>
            </w:r>
            <w:r w:rsidR="004211F1" w:rsidRPr="000D5C8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>Պաշտոնի բնութագիրը</w:t>
            </w:r>
          </w:p>
          <w:p w14:paraId="551FA61E" w14:textId="77777777" w:rsidR="004211F1" w:rsidRPr="000D5C8B" w:rsidRDefault="004211F1" w:rsidP="000D5C8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0D5C8B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2.1. Աշխատանքի բնույթը, իրավունքները, պարտականությունները </w:t>
            </w:r>
          </w:p>
          <w:p w14:paraId="6344C97E" w14:textId="7F228B6B" w:rsidR="007B78D5" w:rsidRPr="002F709F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իրականացնում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է ծառայությունների մատուցման պետական քաղաքականության և որակի կառավարման ազգային համակարգի շրջանակներում, քաղաքացիների հետ հետադարձ կապի մշտադիտարկման և գնահատման շրջանակի մշակման, ներդրման և արդիականացման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աշխատանքները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60F2DA3C" w14:textId="4B1EA5BD" w:rsid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</w:t>
            </w:r>
            <w:r w:rsidRPr="002F709F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է  էլեկտրոնային կառավարման համակարգերի և քաղաքացիների հետ հետադարձ կապի մշտադիտարկումը և գնահատումն ապահովող կառավարման համակարգերի համ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ակցման աշխատանքները</w:t>
            </w:r>
            <w:r w:rsidRPr="002F709F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.</w:t>
            </w:r>
          </w:p>
          <w:p w14:paraId="5FAB2C7A" w14:textId="6B41AD2C" w:rsidR="007B78D5" w:rsidRPr="005755F0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քաղաքացիների հետ հետադարձ կապի և այդ կապն ապահովող կառավարման համակարգերի արդյունավետ գործունեությունը.</w:t>
            </w:r>
          </w:p>
          <w:p w14:paraId="44D627C0" w14:textId="75538299" w:rsidR="007B78D5" w:rsidRPr="005755F0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քաղաքացիների հետ հետադարձ կապի գործող համակարգերի, այդ թվում՝ էլեկտրոնային/թվային կառավարման համակարգերի հասանելիությունը.</w:t>
            </w:r>
          </w:p>
          <w:p w14:paraId="66BFCC03" w14:textId="18D99037" w:rsidR="007B78D5" w:rsidRP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B78D5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իրականացնում է քաղաքացիների հետ հետադարձ կապի հասանելի մեխանիզմների և համակարգերի միջոցով ստացվող տվյալների և տեղեկատվության մշակման և դասակարգման աշխատանքները.</w:t>
            </w:r>
          </w:p>
          <w:p w14:paraId="306F2AA6" w14:textId="1A560B97" w:rsidR="007B78D5" w:rsidRP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B78D5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ծառայությունների պետական քաղաքականության և որակի կառավարման ազգային համակարգի շրջանակներում քաղաքացիների հետ հետադարձ կապի մշտադիտարկման արդյունքների վերլուծության, կարծիքի և բավարարվածության ուսումնասիրության, հնարավոր ռիսկերի բացահայտման և դրանց հաղորդակցման աշխատանքները.</w:t>
            </w:r>
          </w:p>
          <w:p w14:paraId="63DEF45A" w14:textId="04DB81B0" w:rsidR="007B78D5" w:rsidRP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7B78D5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 է վերլուծությունների և ուսումնասիրությունների արդյունքների հիման վրա համապատասխան մարմիններին խորհրդատվական բնույթի առաջարկությունների տրամադրումը՝ ի նպաստ ծառայությունների որակի բարելավման.</w:t>
            </w:r>
          </w:p>
          <w:p w14:paraId="71BB70FC" w14:textId="01F0D6BE" w:rsid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իրականացնում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է  վերլուծական ամփոփ տեղեկանքների, զեկույցների, հաշվետվությունների, քաղաքացիների հետ հետադարձ կապի մոնիթորինգի և ուսումնասիրությունների արդյունքների ամենամյա հաշվետվության կազմման և հրապարակման աշխատանքներ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14:paraId="3EEA5E2C" w14:textId="0A663F70" w:rsidR="007B78D5" w:rsidRPr="005755F0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Աշխատակազմի «թեժ» գծի բնականոն գործունեությունը, «թեժ» գծով (հեռախոսակապի, ինչպես նաև էլեկտրոնային կապի միջոցներով) ստացված դիմումների և բողոքների ընդունումն ու գրանցումը, քննարկումը և սահմանված կարգով ընթացք տալը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>դրանցում ներկայացված փաստերի ուսումնասիրություն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02B83BE" w14:textId="74E71B4B" w:rsidR="007B78D5" w:rsidRDefault="007B78D5" w:rsidP="007B78D5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իրականացնում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պետական կառավարման համակարգի մարմիններում </w:t>
            </w:r>
            <w:r w:rsidR="00C101B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և մարզպետարաններում 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գործող «թեժ» գծի ծառայությունների որակի </w:t>
            </w:r>
            <w:r w:rsidR="00A8094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մշտադի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տարկման և գնահատման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աշխատանքներ</w:t>
            </w:r>
            <w:r w:rsidRPr="002F709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ը.</w:t>
            </w:r>
          </w:p>
          <w:p w14:paraId="3176BC43" w14:textId="7BDC2AEC" w:rsidR="004D017B" w:rsidRPr="004D017B" w:rsidRDefault="007B78D5" w:rsidP="004D017B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Աշխատակազմում քաղաքացիներից, այդ թվում՝ «թեժ» գծով, հասանելի հաղորդակցության միջոցներով և համակարգերով (այդ թվում՝ թվային և էլեկտրոնային), ստացված առաջարկությունների, դիմումների և բողոքների, դրանց առաջացման պատճառների վերլուծումը և ամփոփումը, </w:t>
            </w:r>
            <w:r w:rsidR="00DB36D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ինչպես նաև դրանց առաջացման պատճառները, </w:t>
            </w:r>
            <w:r w:rsidRPr="005755F0">
              <w:rPr>
                <w:rFonts w:ascii="GHEA Grapalat" w:hAnsi="GHEA Grapalat" w:cs="Arial"/>
                <w:sz w:val="24"/>
                <w:szCs w:val="24"/>
                <w:lang w:val="hy-AM"/>
              </w:rPr>
              <w:t>ըստ ոլորտների և բնույթի, պարբերաբար դրանց մասին տեղեկատվություն և առաջարկություններ է ներկայացնում.</w:t>
            </w:r>
          </w:p>
          <w:p w14:paraId="5ADBADD8" w14:textId="14E1B202" w:rsidR="007B78D5" w:rsidRPr="004D017B" w:rsidRDefault="007B78D5" w:rsidP="004D017B">
            <w:pPr>
              <w:pStyle w:val="ListParagraph"/>
              <w:numPr>
                <w:ilvl w:val="0"/>
                <w:numId w:val="9"/>
              </w:numPr>
              <w:ind w:left="150" w:firstLine="27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D017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իրականացնում է իր գործունեության ոլորտը կարգավորող իրավական ակտերի նախագծերի մշակումը:</w:t>
            </w:r>
          </w:p>
          <w:p w14:paraId="32C29704" w14:textId="77777777" w:rsidR="00A90842" w:rsidRDefault="00A90842" w:rsidP="00A90842">
            <w:pPr>
              <w:tabs>
                <w:tab w:val="left" w:pos="851"/>
              </w:tabs>
              <w:ind w:right="9"/>
              <w:jc w:val="both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6C2EF691" w14:textId="0EACBA44" w:rsidR="00031274" w:rsidRPr="00536BB3" w:rsidRDefault="00031274" w:rsidP="00536BB3">
            <w:pPr>
              <w:tabs>
                <w:tab w:val="left" w:pos="851"/>
              </w:tabs>
              <w:ind w:right="9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</w:pPr>
            <w:r w:rsidRPr="00536BB3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Իրավունքները՝</w:t>
            </w:r>
          </w:p>
          <w:p w14:paraId="3FA3D0A3" w14:textId="7281D372" w:rsidR="005F1E1E" w:rsidRPr="005F1E1E" w:rsidRDefault="00FB6849" w:rsidP="00A90842">
            <w:pPr>
              <w:pStyle w:val="ListParagraph"/>
              <w:numPr>
                <w:ilvl w:val="0"/>
                <w:numId w:val="2"/>
              </w:numPr>
              <w:ind w:left="150" w:firstLine="18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համապատասխան մարմիններից,  </w:t>
            </w:r>
            <w:r w:rsidRPr="00C30CCF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կամ կառուցվածքային ստորաբաժանումներից  պահանջել  ներկայացնել անհրաժեշտ փաստաթղթեր, հիմնավորումներ, </w:t>
            </w:r>
            <w:r w:rsidRPr="00C30CC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մասնագիտական կարծիքներ և առաջարկություններ.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</w:t>
            </w:r>
          </w:p>
          <w:p w14:paraId="7F87E3D3" w14:textId="77777777" w:rsidR="00A90842" w:rsidRPr="006F4A1F" w:rsidRDefault="005F1E1E" w:rsidP="00A9084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60" w:firstLine="18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 w:rsidRPr="005F1E1E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  <w:t xml:space="preserve">համապատասխան մարմնի </w:t>
            </w:r>
            <w:r w:rsidR="00A90842" w:rsidRPr="00AE5229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կառուցվածքային ստորաբաժանումների ներկայացուցիչների հետ </w:t>
            </w:r>
            <w:r w:rsidR="00A90842"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կազմակերպել առաջադրված խնդիրների լուծման նպատակով մասնագիտական և աշխատանքային քննարկումներ, ստանալ կարծիքներ, առաջարկություններ.</w:t>
            </w:r>
          </w:p>
          <w:p w14:paraId="1B3C22AC" w14:textId="77777777" w:rsidR="00A90842" w:rsidRPr="006F4A1F" w:rsidRDefault="00A90842" w:rsidP="00A9084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60" w:firstLine="180"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համապատասխան մարմինների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AE5229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կառուցվածքային ստորաբաժանումների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ց</w:t>
            </w:r>
            <w:r w:rsidRPr="00AE5229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պահանջել տվյալ </w:t>
            </w:r>
            <w:r w:rsidRPr="006F4A1F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մարմիններում գործող էլեկտրոնային կառավարման համակարգի և «Քաղաքացիների հետ հետադարձ կապ» համակարգի համակցում.</w:t>
            </w:r>
          </w:p>
          <w:p w14:paraId="2A5CC32E" w14:textId="5297DFDE" w:rsidR="00FB6849" w:rsidRPr="00A90842" w:rsidRDefault="00A90842" w:rsidP="00A90842">
            <w:pPr>
              <w:pStyle w:val="ListParagraph"/>
              <w:numPr>
                <w:ilvl w:val="0"/>
                <w:numId w:val="5"/>
              </w:numPr>
              <w:ind w:left="150" w:firstLine="18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A90842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lastRenderedPageBreak/>
              <w:t xml:space="preserve">համապատասխան մարմինների կողմից մատուցվող ծառայությունների որակի և պետական գործառույթների իրականացման արդյունավետության բարձրացման վերաբերյալ տրված հանձնարարականների կատարման ընթացքի մասին հաշվետվություններ ստանալ: </w:t>
            </w:r>
          </w:p>
          <w:p w14:paraId="6F8E592C" w14:textId="77777777" w:rsidR="00A90842" w:rsidRDefault="00A90842" w:rsidP="001F4590">
            <w:pPr>
              <w:tabs>
                <w:tab w:val="left" w:pos="851"/>
              </w:tabs>
              <w:ind w:right="9"/>
              <w:jc w:val="both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 w:eastAsia="ru-RU"/>
              </w:rPr>
            </w:pPr>
          </w:p>
          <w:p w14:paraId="42DE878D" w14:textId="2BB23B01" w:rsidR="004211F1" w:rsidRPr="001F4590" w:rsidRDefault="004211F1" w:rsidP="001F4590">
            <w:pPr>
              <w:tabs>
                <w:tab w:val="left" w:pos="851"/>
              </w:tabs>
              <w:ind w:right="9"/>
              <w:jc w:val="both"/>
              <w:rPr>
                <w:rFonts w:ascii="GHEA Mariam" w:eastAsia="Calibri" w:hAnsi="GHEA Mariam"/>
                <w:b/>
                <w:sz w:val="24"/>
                <w:szCs w:val="24"/>
              </w:rPr>
            </w:pPr>
            <w:r w:rsidRPr="00536BB3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 w:eastAsia="ru-RU"/>
              </w:rPr>
              <w:t>Պարտականությունները</w:t>
            </w:r>
            <w:r w:rsidR="00E42447" w:rsidRPr="00536BB3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 w:eastAsia="ru-RU"/>
              </w:rPr>
              <w:t>`</w:t>
            </w:r>
          </w:p>
          <w:p w14:paraId="05C50AF0" w14:textId="77777777" w:rsidR="004D017B" w:rsidRDefault="005F1E1E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 w:rsidRPr="00CA2E6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սահմանված ժամկետներում </w:t>
            </w:r>
            <w:r w:rsidR="00A90842"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և կարգով ներկայացնել համապատասխան մարմինների կողմից մատուցվող ծառայությունների որակի և պետական գործառույթների իրականացման արդյունավետության վերաբերյալ քաղաքացիների բավարարվածության գնահատման արդյունքների մասին տեղեկանքներ, զեկույցներ, հաշվետվություններ, առաջարկություններ.</w:t>
            </w:r>
          </w:p>
          <w:p w14:paraId="2B0FE877" w14:textId="7116F5F8" w:rsidR="004D017B" w:rsidRDefault="00A90842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 w:rsidRPr="004D017B">
              <w:rPr>
                <w:rFonts w:ascii="GHEA Grapalat" w:eastAsia="Times New Roman" w:hAnsi="GHEA Grapalat" w:cs="Sylfaen"/>
                <w:iCs/>
                <w:sz w:val="24"/>
                <w:szCs w:val="24"/>
                <w:lang w:val="hy-AM" w:eastAsia="ru-RU"/>
              </w:rPr>
              <w:t>մատուցված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ծառայությունների որակի և պետական գործառույթների իրականացման արդյունավետության վերաբերյալ քաղաքացիների բավարարվածության գնահատմանն ուղղված ուսումնասիրությունների արդյունքում՝ օրենսդրության պահանջների խախտման հնարավոր ռիսկերի  հայտնաբերման, այդ ռիսկերի կանխարգելման ուղղությամբ՝ </w:t>
            </w:r>
            <w:r w:rsidR="00C101BC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Բաժնի պետի հանձնարարությամբ 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համապատասխան մարմիններին այդ դեպքերի մասին տեղեկատվություն փոխանցել, </w:t>
            </w:r>
            <w:r w:rsidR="00C101BC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ինչպես նաև </w:t>
            </w:r>
            <w:r w:rsidR="004D017B"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հետևել</w:t>
            </w:r>
            <w:r w:rsidR="00A80940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դրանց վերացման կապակցությամբ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տ</w:t>
            </w:r>
            <w:r w:rsidR="002A168C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րված հանձնարարականների կատարման </w:t>
            </w:r>
            <w:r w:rsidR="004D017B"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աշխատանքներին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.</w:t>
            </w:r>
            <w:r w:rsidR="004D017B"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</w:t>
            </w:r>
          </w:p>
          <w:p w14:paraId="7E4E8520" w14:textId="77777777" w:rsidR="004D017B" w:rsidRPr="004D017B" w:rsidRDefault="004D017B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ուսումնասիրել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քաղաքացիների հետ հետադարձ կապն ապահովող հաղորդակցության միջոցների, էլեկտրոնային կառավարման համակարգերի ներդաշնակեցված և համակցված աշխատանքներ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ներկայացնել առաջարկություններ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պետին.</w:t>
            </w:r>
          </w:p>
          <w:p w14:paraId="1C6265B9" w14:textId="77777777" w:rsidR="004D017B" w:rsidRPr="004D017B" w:rsidRDefault="004D017B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կատարել վերլուծություններ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ուսումնասիրություններ, որոնց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արդյունքների հիման վրա համապատասխան մարմիններին խորհրդատվական բնույթի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առաջարկություններ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տրամադրել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>՝ ի նպաստ ծառայությունների որակի բարելավման.</w:t>
            </w:r>
          </w:p>
          <w:p w14:paraId="05A2DA14" w14:textId="77777777" w:rsidR="004D017B" w:rsidRPr="004D017B" w:rsidRDefault="004D017B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քաղաքացիների հետ հետադարձ կապի մոնիթորինգի և ուսումնասիրությունների արդյունքների ամենամյա հաշվետվության կազմման գործընթացը և ներկայացնել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պետին. </w:t>
            </w:r>
          </w:p>
          <w:p w14:paraId="3C4094EE" w14:textId="77777777" w:rsidR="004D017B" w:rsidRPr="004D017B" w:rsidRDefault="004D017B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ուսումնասիրել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Աշխատակազմի «թեժ» գծի բնականոն գործունեությանը և պարբերաբար ներկայացնել առաջարկություններ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պետին</w:t>
            </w:r>
            <w:r w:rsidRPr="004D017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001FFF76" w14:textId="1E1A41EE" w:rsidR="004D017B" w:rsidRPr="004D017B" w:rsidRDefault="004D017B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ուսումնասիրել պետական կառավարման համակարգի մարմիններում </w:t>
            </w:r>
            <w:r w:rsidR="00C101B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մարզպետարաններում </w:t>
            </w:r>
            <w:r w:rsidRPr="004D017B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 «թեժ» գծի ծառայությունների որակի մշտադիրտարկման և գնահատման աշխատանքները և Բաժնի պետին ներկայացնել համապատասխան առաջարկություններ և դիտարկումներ.</w:t>
            </w:r>
          </w:p>
          <w:p w14:paraId="18855053" w14:textId="1ACC9227" w:rsidR="00A90842" w:rsidRPr="004D017B" w:rsidRDefault="00A90842" w:rsidP="004D017B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 w:rsidRPr="004D017B">
              <w:rPr>
                <w:rFonts w:ascii="GHEA Grapalat" w:eastAsia="Times New Roman" w:hAnsi="GHEA Grapalat" w:cs="Sylfaen"/>
                <w:iCs/>
                <w:sz w:val="24"/>
                <w:szCs w:val="24"/>
                <w:lang w:val="hy-AM" w:eastAsia="ru-RU"/>
              </w:rPr>
              <w:t>ուսումնասիրել</w:t>
            </w:r>
            <w:r w:rsidRPr="004D017B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համապատասխան ոլորտը կարգավորող իրավական ակտերը և դրանց վերաբերյալ ներակայացնել մասնագիտական առաջարկություններ.</w:t>
            </w:r>
          </w:p>
          <w:p w14:paraId="3CE53CCE" w14:textId="27DD459B" w:rsidR="00A56936" w:rsidRPr="00A90842" w:rsidRDefault="00A90842" w:rsidP="00A90842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150" w:firstLine="270"/>
              <w:jc w:val="both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 w:eastAsia="ru-RU"/>
              </w:rPr>
            </w:pPr>
            <w:r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կառավարությունում քննարկվելիք, իր գործունեության ոլորտին առնչվող </w:t>
            </w:r>
            <w:r w:rsidR="002A168C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հարցերի վերաբերյալ, ներկայացնել</w:t>
            </w:r>
            <w:r w:rsidRPr="006F4A1F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 xml:space="preserve"> եզրակացություններ, վերլուծական ու տեղեկատվական բնու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յթի նյութեր և առաջարկություններ</w:t>
            </w:r>
            <w:r w:rsidRPr="00A90842"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  <w:t>:</w:t>
            </w:r>
          </w:p>
        </w:tc>
      </w:tr>
      <w:tr w:rsidR="004211F1" w:rsidRPr="00031274" w14:paraId="0D063E99" w14:textId="77777777" w:rsidTr="00FB12AF">
        <w:trPr>
          <w:trHeight w:val="69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49728914" w14:textId="77777777" w:rsidR="004211F1" w:rsidRPr="00903584" w:rsidRDefault="004211F1" w:rsidP="00FE1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4A01A3B9" w14:textId="77777777" w:rsidR="004211F1" w:rsidRPr="00903584" w:rsidRDefault="004211F1" w:rsidP="00FE17E6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14:paraId="3BF2D9C8" w14:textId="77777777" w:rsidR="004211F1" w:rsidRPr="00903584" w:rsidRDefault="004211F1" w:rsidP="00FE17E6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903584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903584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14:paraId="6E99A4DF" w14:textId="77777777" w:rsidR="004211F1" w:rsidRPr="00903584" w:rsidRDefault="004211F1" w:rsidP="00FE17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03584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903584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1756E956" w14:textId="77777777" w:rsidR="004211F1" w:rsidRPr="00903584" w:rsidRDefault="004211F1" w:rsidP="00FE17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1849A1DB" w14:textId="081806B3" w:rsidR="004211F1" w:rsidRDefault="004211F1" w:rsidP="00FE17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03584">
              <w:rPr>
                <w:rFonts w:ascii="GHEA Grapalat" w:hAnsi="GHEA Grapalat"/>
                <w:b/>
                <w:lang w:val="hy-AM"/>
              </w:rPr>
              <w:t>3.3.</w:t>
            </w:r>
            <w:r w:rsidRPr="0090358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3584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903584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903584">
              <w:rPr>
                <w:rFonts w:ascii="GHEA Grapalat" w:hAnsi="GHEA Grapalat"/>
                <w:lang w:val="hy-AM"/>
              </w:rPr>
              <w:t>երկու</w:t>
            </w:r>
            <w:r w:rsidRPr="00903584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E46756" w:rsidRPr="00E46756">
              <w:rPr>
                <w:rFonts w:ascii="GHEA Grapalat" w:hAnsi="GHEA Grapalat"/>
                <w:lang w:val="hy-AM"/>
              </w:rPr>
              <w:t>երեք</w:t>
            </w:r>
            <w:r w:rsidRPr="00903584">
              <w:rPr>
                <w:rFonts w:ascii="GHEA Grapalat" w:hAnsi="GHEA Grapalat"/>
                <w:lang w:val="hy-AM"/>
              </w:rPr>
              <w:t xml:space="preserve"> տարվա մասնագիտական աշխատանքային ստաժ</w:t>
            </w:r>
            <w:r w:rsidR="004F3223">
              <w:rPr>
                <w:rFonts w:ascii="GHEA Grapalat" w:hAnsi="GHEA Grapalat"/>
                <w:lang w:val="hy-AM"/>
              </w:rPr>
              <w:t xml:space="preserve"> </w:t>
            </w:r>
            <w:r w:rsidRPr="00903584">
              <w:rPr>
                <w:rFonts w:ascii="GHEA Grapalat" w:hAnsi="GHEA Grapalat"/>
                <w:lang w:val="hy-AM"/>
              </w:rPr>
              <w:t xml:space="preserve">կամ </w:t>
            </w:r>
            <w:r w:rsidR="008E521E" w:rsidRPr="008E521E">
              <w:rPr>
                <w:rFonts w:ascii="GHEA Grapalat" w:hAnsi="GHEA Grapalat"/>
                <w:lang w:val="hy-AM"/>
              </w:rPr>
              <w:t>իրավունքի</w:t>
            </w:r>
            <w:r w:rsidRPr="00903584">
              <w:rPr>
                <w:rFonts w:ascii="GHEA Grapalat" w:hAnsi="GHEA Grapalat"/>
                <w:lang w:val="hy-AM"/>
              </w:rPr>
              <w:t xml:space="preserve"> </w:t>
            </w:r>
            <w:r w:rsidR="001428BC">
              <w:rPr>
                <w:rFonts w:ascii="GHEA Grapalat" w:hAnsi="GHEA Grapalat"/>
                <w:lang w:val="hy-AM"/>
              </w:rPr>
              <w:t xml:space="preserve">կամ տնտեսագիտության </w:t>
            </w:r>
            <w:r w:rsidRPr="00903584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E46756" w:rsidRPr="00E46756">
              <w:rPr>
                <w:rFonts w:ascii="GHEA Grapalat" w:hAnsi="GHEA Grapalat"/>
                <w:lang w:val="hy-AM"/>
              </w:rPr>
              <w:t>երեք</w:t>
            </w:r>
            <w:r w:rsidRPr="00903584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14:paraId="1CC5C00B" w14:textId="77777777" w:rsidR="00AF0EFC" w:rsidRPr="00903584" w:rsidRDefault="00AF0EFC" w:rsidP="00FE17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5BD31E81" w14:textId="77777777" w:rsidR="004211F1" w:rsidRPr="00903584" w:rsidRDefault="004211F1" w:rsidP="00FE17E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03584">
              <w:rPr>
                <w:rFonts w:ascii="GHEA Grapalat" w:hAnsi="GHEA Grapalat"/>
                <w:b/>
                <w:lang w:val="hy-AM"/>
              </w:rPr>
              <w:t>3.4. Անհրաժեշտ կոմպետենցիաներ</w:t>
            </w:r>
            <w:r w:rsidRPr="00903584">
              <w:rPr>
                <w:rFonts w:ascii="GHEA Grapalat" w:hAnsi="GHEA Grapalat"/>
                <w:lang w:val="hy-AM"/>
              </w:rPr>
              <w:br/>
            </w:r>
            <w:r w:rsidRPr="00903584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4D4633CC" w14:textId="77777777" w:rsidR="004A7438" w:rsidRPr="00903584" w:rsidRDefault="004A7438" w:rsidP="00AF0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03584">
              <w:rPr>
                <w:rFonts w:ascii="GHEA Grapalat" w:hAnsi="GHEA Grapalat"/>
                <w:color w:val="000000"/>
                <w:lang w:val="hy-AM"/>
              </w:rPr>
              <w:t>Ծրագրերի մշակում</w:t>
            </w:r>
          </w:p>
          <w:p w14:paraId="193DF965" w14:textId="77777777" w:rsidR="004A7438" w:rsidRPr="00903584" w:rsidRDefault="004A7438" w:rsidP="00AF0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903584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79955AD3" w14:textId="77777777" w:rsidR="004A7438" w:rsidRPr="004A7438" w:rsidRDefault="004A7438" w:rsidP="00AF0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A7438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71CA4743" w14:textId="77777777" w:rsidR="004A7438" w:rsidRPr="004A7438" w:rsidRDefault="004A7438" w:rsidP="00AF0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A7438">
              <w:rPr>
                <w:rFonts w:ascii="GHEA Grapalat" w:hAnsi="GHEA Grapalat"/>
                <w:color w:val="000000"/>
                <w:lang w:val="hy-AM"/>
              </w:rPr>
              <w:t>Տեղեկատվության հավաքագրում, վերլուծություն</w:t>
            </w:r>
          </w:p>
          <w:p w14:paraId="781CC3DB" w14:textId="77777777" w:rsidR="004A7438" w:rsidRPr="004A7438" w:rsidRDefault="004A7438" w:rsidP="00AF0EF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4A7438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</w:p>
          <w:p w14:paraId="0292A5C5" w14:textId="77777777" w:rsidR="004211F1" w:rsidRPr="00086896" w:rsidRDefault="004211F1" w:rsidP="00942491">
            <w:pPr>
              <w:pStyle w:val="ListParagraph"/>
              <w:ind w:left="960"/>
              <w:rPr>
                <w:rFonts w:ascii="GHEA Mariam" w:hAnsi="GHEA Mariam"/>
                <w:sz w:val="24"/>
                <w:szCs w:val="24"/>
                <w:lang w:val="hy-AM"/>
              </w:rPr>
            </w:pPr>
          </w:p>
          <w:p w14:paraId="49884108" w14:textId="38009A25" w:rsidR="00FB12AF" w:rsidRPr="00903584" w:rsidRDefault="004211F1" w:rsidP="00FE17E6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14:paraId="1F12593A" w14:textId="77777777" w:rsidR="004A7438" w:rsidRPr="004A7438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Բանակցությունների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վարում</w:t>
            </w:r>
          </w:p>
          <w:p w14:paraId="1DF5D832" w14:textId="77777777" w:rsidR="004A7438" w:rsidRPr="004A7438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Փոփոխությունների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կառավարում</w:t>
            </w:r>
          </w:p>
          <w:p w14:paraId="7B73ACA2" w14:textId="77777777" w:rsidR="004A7438" w:rsidRPr="004A7438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Հասարակության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հետ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կապերի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7438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ru-RU" w:eastAsia="ru-RU"/>
              </w:rPr>
              <w:t>ապահովում</w:t>
            </w:r>
          </w:p>
          <w:p w14:paraId="1FB2C514" w14:textId="77777777" w:rsidR="004A7438" w:rsidRPr="00E42447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Տեղեկատվական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տեխնոլոգիաներ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և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հեռահաղորդակցություն</w:t>
            </w:r>
          </w:p>
          <w:p w14:paraId="283F5E6B" w14:textId="77777777" w:rsidR="004A7438" w:rsidRPr="00E42447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Ծառայությունների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մատուցում</w:t>
            </w:r>
          </w:p>
          <w:p w14:paraId="2215F3A8" w14:textId="77777777" w:rsidR="004A7438" w:rsidRPr="00E42447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Ժողովների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և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խորհրդակցությունների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կազմակերպում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և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վարում</w:t>
            </w:r>
          </w:p>
          <w:p w14:paraId="4EA78E2D" w14:textId="2A65DF01" w:rsidR="00AF5EF5" w:rsidRPr="00E46756" w:rsidRDefault="004A7438" w:rsidP="00AF0EFC">
            <w:pPr>
              <w:numPr>
                <w:ilvl w:val="0"/>
                <w:numId w:val="4"/>
              </w:numPr>
              <w:shd w:val="clear" w:color="auto" w:fill="FFFFFF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Փաստաթղթերի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E42447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նախապատրաստում</w:t>
            </w:r>
          </w:p>
        </w:tc>
      </w:tr>
      <w:tr w:rsidR="004211F1" w:rsidRPr="00FE0377" w14:paraId="32A759B2" w14:textId="77777777" w:rsidTr="00FE17E6">
        <w:tc>
          <w:tcPr>
            <w:tcW w:w="10525" w:type="dxa"/>
            <w:hideMark/>
          </w:tcPr>
          <w:p w14:paraId="439C3CC9" w14:textId="77777777" w:rsidR="004211F1" w:rsidRPr="00903584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4. Կազմակերպական շրջանակը</w:t>
            </w:r>
          </w:p>
          <w:p w14:paraId="1F44B7AB" w14:textId="0651CA25" w:rsidR="004F3223" w:rsidRPr="00903584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  <w:r w:rsidRPr="009035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F3223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07F45BB7" w14:textId="664BBF2A" w:rsidR="004F3223" w:rsidRPr="001428BC" w:rsidRDefault="004211F1" w:rsidP="001428BC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  <w:r w:rsidRPr="009035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4F3223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14:paraId="488D91B2" w14:textId="77777777" w:rsidR="009B40DD" w:rsidRPr="00903584" w:rsidRDefault="004211F1" w:rsidP="00025B5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14:paraId="77585D9B" w14:textId="688A2676" w:rsidR="00300378" w:rsidRPr="00CF7CB1" w:rsidRDefault="00300378" w:rsidP="00300378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F7C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</w:t>
            </w:r>
            <w:r w:rsidR="001428B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ման մասնագիտական գործունեության </w:t>
            </w:r>
            <w:r w:rsidRPr="00CF7C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համապետական ազդեցություն:</w:t>
            </w:r>
          </w:p>
          <w:p w14:paraId="521BB581" w14:textId="4F732218" w:rsidR="00767A19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  <w:r w:rsidRPr="009035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67A19" w:rsidRPr="0090358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</w:t>
            </w:r>
            <w:r w:rsidR="00767A19" w:rsidRPr="00903584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lastRenderedPageBreak/>
              <w:t xml:space="preserve">խմբերի աշխատանքներին, միջազգային կազմակերպությունների ներկայացուցիչների հետ հանդիպումներին: </w:t>
            </w:r>
          </w:p>
          <w:p w14:paraId="0C0EE657" w14:textId="5E96B871" w:rsidR="004211F1" w:rsidRPr="00903584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358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903584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9353DC" w:rsidRPr="009353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համապատասխան մարմնի և կառուցվածքային ստորաբաժանման առջև դրված խնդիրների լուծմանը:</w:t>
            </w:r>
          </w:p>
        </w:tc>
      </w:tr>
    </w:tbl>
    <w:p w14:paraId="5928BD15" w14:textId="77777777" w:rsidR="004211F1" w:rsidRPr="00903584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14:paraId="0AEAAA0C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78A328C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BC21ACC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08ADA34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457636A2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31AD1A5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6E99D42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B429930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4FB805B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F780C8F" w14:textId="77777777" w:rsidR="00925B7C" w:rsidRPr="00903584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B869A32" w14:textId="31E7A200" w:rsidR="00925B7C" w:rsidRDefault="00925B7C" w:rsidP="00DC7654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</w:p>
    <w:sectPr w:rsidR="00925B7C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0"/>
    <w:multiLevelType w:val="hybridMultilevel"/>
    <w:tmpl w:val="38A81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53705"/>
    <w:multiLevelType w:val="hybridMultilevel"/>
    <w:tmpl w:val="4EE65C36"/>
    <w:lvl w:ilvl="0" w:tplc="3126E090">
      <w:numFmt w:val="bullet"/>
      <w:lvlText w:val="•"/>
      <w:lvlJc w:val="left"/>
      <w:pPr>
        <w:ind w:left="1095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46A59B9"/>
    <w:multiLevelType w:val="hybridMultilevel"/>
    <w:tmpl w:val="B24E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D03BE"/>
    <w:multiLevelType w:val="hybridMultilevel"/>
    <w:tmpl w:val="A25E68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A0D70D5"/>
    <w:multiLevelType w:val="hybridMultilevel"/>
    <w:tmpl w:val="BA420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6FE5F31"/>
    <w:multiLevelType w:val="hybridMultilevel"/>
    <w:tmpl w:val="484E6744"/>
    <w:lvl w:ilvl="0" w:tplc="3126E090">
      <w:numFmt w:val="bullet"/>
      <w:lvlText w:val="•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28C9"/>
    <w:multiLevelType w:val="hybridMultilevel"/>
    <w:tmpl w:val="AC06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88D"/>
    <w:multiLevelType w:val="hybridMultilevel"/>
    <w:tmpl w:val="FD22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CB1"/>
    <w:multiLevelType w:val="hybridMultilevel"/>
    <w:tmpl w:val="60A6273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2A6D"/>
    <w:rsid w:val="00016EE9"/>
    <w:rsid w:val="000250FB"/>
    <w:rsid w:val="0002558E"/>
    <w:rsid w:val="00025B57"/>
    <w:rsid w:val="00031274"/>
    <w:rsid w:val="000448B0"/>
    <w:rsid w:val="000503EA"/>
    <w:rsid w:val="00086896"/>
    <w:rsid w:val="000B15D1"/>
    <w:rsid w:val="000B4616"/>
    <w:rsid w:val="000C00D9"/>
    <w:rsid w:val="000D1920"/>
    <w:rsid w:val="000D5C8B"/>
    <w:rsid w:val="00115C31"/>
    <w:rsid w:val="0013466A"/>
    <w:rsid w:val="001403CF"/>
    <w:rsid w:val="001428BC"/>
    <w:rsid w:val="00146773"/>
    <w:rsid w:val="00152D23"/>
    <w:rsid w:val="0015590B"/>
    <w:rsid w:val="00175146"/>
    <w:rsid w:val="001B2862"/>
    <w:rsid w:val="001B5B3F"/>
    <w:rsid w:val="001D0A9A"/>
    <w:rsid w:val="001D7874"/>
    <w:rsid w:val="001F4590"/>
    <w:rsid w:val="002100D8"/>
    <w:rsid w:val="00240755"/>
    <w:rsid w:val="002422F2"/>
    <w:rsid w:val="00243F16"/>
    <w:rsid w:val="00261010"/>
    <w:rsid w:val="00267DA9"/>
    <w:rsid w:val="002867A2"/>
    <w:rsid w:val="00293F22"/>
    <w:rsid w:val="002A047E"/>
    <w:rsid w:val="002A168C"/>
    <w:rsid w:val="002A76ED"/>
    <w:rsid w:val="002C0544"/>
    <w:rsid w:val="002D3E74"/>
    <w:rsid w:val="002D5CF6"/>
    <w:rsid w:val="002E74FD"/>
    <w:rsid w:val="00300378"/>
    <w:rsid w:val="003003EC"/>
    <w:rsid w:val="003011AD"/>
    <w:rsid w:val="0030136A"/>
    <w:rsid w:val="00314108"/>
    <w:rsid w:val="00367EF6"/>
    <w:rsid w:val="003B7156"/>
    <w:rsid w:val="003C3C6E"/>
    <w:rsid w:val="003E72DB"/>
    <w:rsid w:val="00415EB6"/>
    <w:rsid w:val="00421071"/>
    <w:rsid w:val="004211F1"/>
    <w:rsid w:val="004320F9"/>
    <w:rsid w:val="004553FB"/>
    <w:rsid w:val="00484A6B"/>
    <w:rsid w:val="00486973"/>
    <w:rsid w:val="00493E35"/>
    <w:rsid w:val="004A164D"/>
    <w:rsid w:val="004A7438"/>
    <w:rsid w:val="004B135D"/>
    <w:rsid w:val="004B351C"/>
    <w:rsid w:val="004B536D"/>
    <w:rsid w:val="004D017B"/>
    <w:rsid w:val="004D059B"/>
    <w:rsid w:val="004E2BE1"/>
    <w:rsid w:val="004F3223"/>
    <w:rsid w:val="00513672"/>
    <w:rsid w:val="00536BB3"/>
    <w:rsid w:val="005470FA"/>
    <w:rsid w:val="00550B44"/>
    <w:rsid w:val="0055221E"/>
    <w:rsid w:val="005966B9"/>
    <w:rsid w:val="005A3330"/>
    <w:rsid w:val="005B4CF2"/>
    <w:rsid w:val="005C2122"/>
    <w:rsid w:val="005D5190"/>
    <w:rsid w:val="005F1E1E"/>
    <w:rsid w:val="005F6BAF"/>
    <w:rsid w:val="006357A2"/>
    <w:rsid w:val="00643721"/>
    <w:rsid w:val="00655C54"/>
    <w:rsid w:val="00664AE6"/>
    <w:rsid w:val="00667643"/>
    <w:rsid w:val="0068752B"/>
    <w:rsid w:val="006879B2"/>
    <w:rsid w:val="006A1667"/>
    <w:rsid w:val="006A6AA1"/>
    <w:rsid w:val="006B5E91"/>
    <w:rsid w:val="006D3EBC"/>
    <w:rsid w:val="006F07A0"/>
    <w:rsid w:val="006F1847"/>
    <w:rsid w:val="00705C46"/>
    <w:rsid w:val="00715297"/>
    <w:rsid w:val="007166E1"/>
    <w:rsid w:val="007237D3"/>
    <w:rsid w:val="007265AB"/>
    <w:rsid w:val="007356A3"/>
    <w:rsid w:val="007669D5"/>
    <w:rsid w:val="00767A19"/>
    <w:rsid w:val="00770F0B"/>
    <w:rsid w:val="00776168"/>
    <w:rsid w:val="007771EF"/>
    <w:rsid w:val="00791E61"/>
    <w:rsid w:val="00797FDA"/>
    <w:rsid w:val="007B2532"/>
    <w:rsid w:val="007B78D5"/>
    <w:rsid w:val="007D16E4"/>
    <w:rsid w:val="00807481"/>
    <w:rsid w:val="008327BA"/>
    <w:rsid w:val="008A32AF"/>
    <w:rsid w:val="008B0741"/>
    <w:rsid w:val="008B11B7"/>
    <w:rsid w:val="008B1D2E"/>
    <w:rsid w:val="008B5709"/>
    <w:rsid w:val="008B7909"/>
    <w:rsid w:val="008D0D6A"/>
    <w:rsid w:val="008E521E"/>
    <w:rsid w:val="00903584"/>
    <w:rsid w:val="0091068B"/>
    <w:rsid w:val="009107CC"/>
    <w:rsid w:val="009204FD"/>
    <w:rsid w:val="00922B6B"/>
    <w:rsid w:val="00925B7C"/>
    <w:rsid w:val="00930CBE"/>
    <w:rsid w:val="00931F3A"/>
    <w:rsid w:val="009349FF"/>
    <w:rsid w:val="009353DC"/>
    <w:rsid w:val="00942491"/>
    <w:rsid w:val="00960833"/>
    <w:rsid w:val="0099362F"/>
    <w:rsid w:val="00997555"/>
    <w:rsid w:val="00997B65"/>
    <w:rsid w:val="009B11AC"/>
    <w:rsid w:val="009B40DD"/>
    <w:rsid w:val="009C1228"/>
    <w:rsid w:val="009D2510"/>
    <w:rsid w:val="009E07EE"/>
    <w:rsid w:val="00A44429"/>
    <w:rsid w:val="00A52DC2"/>
    <w:rsid w:val="00A56936"/>
    <w:rsid w:val="00A71D32"/>
    <w:rsid w:val="00A76CFF"/>
    <w:rsid w:val="00A80940"/>
    <w:rsid w:val="00A83117"/>
    <w:rsid w:val="00A90842"/>
    <w:rsid w:val="00AB211C"/>
    <w:rsid w:val="00AB66A4"/>
    <w:rsid w:val="00AD07C8"/>
    <w:rsid w:val="00AE64E9"/>
    <w:rsid w:val="00AF0EFC"/>
    <w:rsid w:val="00AF5EF5"/>
    <w:rsid w:val="00AF71B1"/>
    <w:rsid w:val="00B23B8C"/>
    <w:rsid w:val="00B37C3E"/>
    <w:rsid w:val="00B4686A"/>
    <w:rsid w:val="00B566F9"/>
    <w:rsid w:val="00B85531"/>
    <w:rsid w:val="00B93AB9"/>
    <w:rsid w:val="00BE3C76"/>
    <w:rsid w:val="00BF35FF"/>
    <w:rsid w:val="00BF4C44"/>
    <w:rsid w:val="00C0074E"/>
    <w:rsid w:val="00C101BC"/>
    <w:rsid w:val="00C10573"/>
    <w:rsid w:val="00C11983"/>
    <w:rsid w:val="00C31122"/>
    <w:rsid w:val="00C803C5"/>
    <w:rsid w:val="00CA2E62"/>
    <w:rsid w:val="00CB723E"/>
    <w:rsid w:val="00CD56FB"/>
    <w:rsid w:val="00CF4AE3"/>
    <w:rsid w:val="00CF7CB1"/>
    <w:rsid w:val="00D0595A"/>
    <w:rsid w:val="00D12E9F"/>
    <w:rsid w:val="00D16A63"/>
    <w:rsid w:val="00D20664"/>
    <w:rsid w:val="00D30503"/>
    <w:rsid w:val="00D614C5"/>
    <w:rsid w:val="00D91273"/>
    <w:rsid w:val="00D940CE"/>
    <w:rsid w:val="00DA6D4A"/>
    <w:rsid w:val="00DB36DD"/>
    <w:rsid w:val="00DC7654"/>
    <w:rsid w:val="00DE4418"/>
    <w:rsid w:val="00E07306"/>
    <w:rsid w:val="00E22381"/>
    <w:rsid w:val="00E4188D"/>
    <w:rsid w:val="00E42447"/>
    <w:rsid w:val="00E46756"/>
    <w:rsid w:val="00E74D71"/>
    <w:rsid w:val="00E75382"/>
    <w:rsid w:val="00E75585"/>
    <w:rsid w:val="00E842C7"/>
    <w:rsid w:val="00E941CD"/>
    <w:rsid w:val="00E945EB"/>
    <w:rsid w:val="00EA1D6E"/>
    <w:rsid w:val="00EA59B5"/>
    <w:rsid w:val="00EC4357"/>
    <w:rsid w:val="00EF3E4D"/>
    <w:rsid w:val="00F06144"/>
    <w:rsid w:val="00F33AA2"/>
    <w:rsid w:val="00F3449D"/>
    <w:rsid w:val="00F9133B"/>
    <w:rsid w:val="00F964A4"/>
    <w:rsid w:val="00FA0F3C"/>
    <w:rsid w:val="00FB12AF"/>
    <w:rsid w:val="00FB6849"/>
    <w:rsid w:val="00FC27EE"/>
    <w:rsid w:val="00FC5BC0"/>
    <w:rsid w:val="00FE0377"/>
    <w:rsid w:val="00FE17E6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22FA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44"/>
  </w:style>
  <w:style w:type="paragraph" w:styleId="Heading1">
    <w:name w:val="heading 1"/>
    <w:basedOn w:val="Normal"/>
    <w:next w:val="Normal"/>
    <w:link w:val="Heading1Char"/>
    <w:uiPriority w:val="9"/>
    <w:qFormat/>
    <w:rsid w:val="00F0614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25B57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6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02DB-F0AC-4D07-9BFC-5F0B8F8E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Narine Sargsyan</cp:lastModifiedBy>
  <cp:revision>90</cp:revision>
  <cp:lastPrinted>2019-07-11T12:03:00Z</cp:lastPrinted>
  <dcterms:created xsi:type="dcterms:W3CDTF">2019-08-01T08:32:00Z</dcterms:created>
  <dcterms:modified xsi:type="dcterms:W3CDTF">2022-12-27T07:07:00Z</dcterms:modified>
</cp:coreProperties>
</file>