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649F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E51FF" w:rsidRPr="000E51FF">
        <w:rPr>
          <w:rFonts w:ascii="GHEA Grapalat" w:hAnsi="GHEA Grapalat" w:cs="Sylfaen"/>
          <w:sz w:val="20"/>
          <w:szCs w:val="20"/>
          <w:lang w:val="hy-AM"/>
        </w:rPr>
        <w:t>02126273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86635" w:rsidRDefault="0060416E" w:rsidP="00F01BD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F01BDB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</w:t>
      </w:r>
      <w:r w:rsidR="00F01BDB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01BDB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F01BDB">
        <w:rPr>
          <w:rFonts w:ascii="GHEA Grapalat" w:hAnsi="GHEA Grapalat"/>
          <w:sz w:val="20"/>
          <w:szCs w:val="18"/>
          <w:lang w:val="hy-AM"/>
        </w:rPr>
        <w:t>1002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F01BDB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Pr="0060416E">
        <w:rPr>
          <w:rFonts w:ascii="GHEA Grapalat" w:hAnsi="GHEA Grapalat"/>
          <w:sz w:val="20"/>
          <w:szCs w:val="18"/>
          <w:lang w:val="hy-AM"/>
        </w:rPr>
        <w:t>պարտապան</w:t>
      </w:r>
      <w:r w:rsidR="00286635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3B32B5" w:rsidRPr="003B32B5">
        <w:rPr>
          <w:rFonts w:ascii="GHEA Grapalat" w:hAnsi="GHEA Grapalat"/>
          <w:sz w:val="20"/>
          <w:szCs w:val="18"/>
          <w:lang w:val="hy-AM"/>
        </w:rPr>
        <w:t xml:space="preserve"> </w:t>
      </w:r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Աստղիկ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և Արամ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հօգուտ «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Օրանժ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Արմենիա» ՓԲԸ-ի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կարգով բռնագանձել՝ 38456/երեսունութ հազար չորս հարյուր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հիսունվեց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/ ՀՀ դրամ, որից 10720/տաս հազար յոթ հարյուր քսան/ՀՀ դրամ ամսական բաժանորդագրությամբ Շարժական հեռախոսակապի ծառայությունների դիմաց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բաժանորդի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կողմից չվճարված պարտքի հիմնական գումար, 62 /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վաթսուներկու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>/ՀՀ դրամ որպես հաշվարկված տույժ, 21000 /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քսանմեկ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 xml:space="preserve"> հազար/ ՀՀ դրամ որպես հեռախոսի խթանիչ առաջարկից դուրս գնի և հեռախոսի համար վճարված կանխավճար տարբերություն կամ հրաժարագին, 6674 /վեց հազար վեց հարյուր </w:t>
      </w:r>
      <w:proofErr w:type="spellStart"/>
      <w:r w:rsidR="00F01BDB" w:rsidRPr="00F01BDB">
        <w:rPr>
          <w:rFonts w:ascii="GHEA Grapalat" w:hAnsi="GHEA Grapalat"/>
          <w:sz w:val="20"/>
          <w:szCs w:val="18"/>
          <w:lang w:val="hy-AM"/>
        </w:rPr>
        <w:t>յոթանասունչորս</w:t>
      </w:r>
      <w:proofErr w:type="spellEnd"/>
      <w:r w:rsidR="00F01BDB" w:rsidRPr="00F01BDB">
        <w:rPr>
          <w:rFonts w:ascii="GHEA Grapalat" w:hAnsi="GHEA Grapalat"/>
          <w:sz w:val="20"/>
          <w:szCs w:val="18"/>
          <w:lang w:val="hy-AM"/>
        </w:rPr>
        <w:t>/ ՀՀ դրամ որպես պարտքի վճարման հավաքագրման համար կատարած դատական ծախսը, ինչպես նաև բռնագանձել 1500/մեկ հազար հինգ հարյուր/ ՀՀ դրամ որպես նախապես վճարված պետական տուրքի գումար:</w:t>
      </w:r>
    </w:p>
    <w:p w:rsidR="008D3AFD" w:rsidRDefault="008D3AFD" w:rsidP="0028663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0E51FF" w:rsidRPr="000E51FF">
        <w:rPr>
          <w:rFonts w:ascii="GHEA Grapalat" w:hAnsi="GHEA Grapalat" w:cs="Sylfaen"/>
          <w:sz w:val="20"/>
          <w:szCs w:val="20"/>
          <w:lang w:val="hy-AM"/>
        </w:rPr>
        <w:t>02126273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0E51FF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14F4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649F8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68C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128</cp:revision>
  <cp:lastPrinted>2018-01-18T06:20:00Z</cp:lastPrinted>
  <dcterms:created xsi:type="dcterms:W3CDTF">2010-11-05T11:56:00Z</dcterms:created>
  <dcterms:modified xsi:type="dcterms:W3CDTF">2018-08-09T12:38:00Z</dcterms:modified>
</cp:coreProperties>
</file>