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91B3E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D17F95">
        <w:rPr>
          <w:rFonts w:ascii="GHEA Grapalat" w:hAnsi="GHEA Grapalat" w:cs="Sylfaen"/>
          <w:sz w:val="20"/>
          <w:szCs w:val="20"/>
          <w:lang w:val="hy-AM"/>
        </w:rPr>
        <w:t>02831531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D17F95" w:rsidRPr="00D17F95" w:rsidRDefault="0060416E" w:rsidP="00D17F9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D17F95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17F95">
        <w:rPr>
          <w:rFonts w:ascii="GHEA Grapalat" w:hAnsi="GHEA Grapalat"/>
          <w:sz w:val="20"/>
          <w:szCs w:val="18"/>
          <w:lang w:val="hy-AM"/>
        </w:rPr>
        <w:t>06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D17F95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D17F95">
        <w:rPr>
          <w:rFonts w:ascii="GHEA Grapalat" w:hAnsi="GHEA Grapalat"/>
          <w:sz w:val="20"/>
          <w:szCs w:val="18"/>
          <w:lang w:val="hy-AM"/>
        </w:rPr>
        <w:t>5426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010C7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B153C3">
        <w:rPr>
          <w:rFonts w:ascii="GHEA Grapalat" w:hAnsi="GHEA Grapalat"/>
          <w:sz w:val="20"/>
          <w:szCs w:val="18"/>
          <w:lang w:val="hy-AM"/>
        </w:rPr>
        <w:t xml:space="preserve"> </w:t>
      </w:r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</w:t>
      </w:r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Աստղիկ </w:t>
      </w:r>
      <w:proofErr w:type="spellStart"/>
      <w:r w:rsidR="00D17F95" w:rsidRPr="00D17F95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D17F95" w:rsidRPr="00D17F95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="00D17F95" w:rsidRPr="00D17F95">
        <w:rPr>
          <w:rFonts w:ascii="GHEA Grapalat" w:hAnsi="GHEA Grapalat"/>
          <w:sz w:val="20"/>
          <w:szCs w:val="18"/>
          <w:lang w:val="hy-AM"/>
        </w:rPr>
        <w:t>Հայբէկոնոմբանկ</w:t>
      </w:r>
      <w:proofErr w:type="spellEnd"/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» ԲԲԸ-ի բռնագանձել 176.782,10 (մեկ հարյուր </w:t>
      </w:r>
      <w:proofErr w:type="spellStart"/>
      <w:r w:rsidR="00D17F95" w:rsidRPr="00D17F95">
        <w:rPr>
          <w:rFonts w:ascii="GHEA Grapalat" w:hAnsi="GHEA Grapalat"/>
          <w:sz w:val="20"/>
          <w:szCs w:val="18"/>
          <w:lang w:val="hy-AM"/>
        </w:rPr>
        <w:t>յոթանասունվեց</w:t>
      </w:r>
      <w:proofErr w:type="spellEnd"/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 հազար յոթ հարյուր </w:t>
      </w:r>
      <w:proofErr w:type="spellStart"/>
      <w:r w:rsidR="00D17F95" w:rsidRPr="00D17F95">
        <w:rPr>
          <w:rFonts w:ascii="GHEA Grapalat" w:hAnsi="GHEA Grapalat"/>
          <w:sz w:val="20"/>
          <w:szCs w:val="18"/>
          <w:lang w:val="hy-AM"/>
        </w:rPr>
        <w:t>ութսուներկու</w:t>
      </w:r>
      <w:proofErr w:type="spellEnd"/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 ամբողջ տաս) ՀՀ դրամ, որպես պարտք գումար </w:t>
      </w:r>
      <w:proofErr w:type="spellStart"/>
      <w:r w:rsidR="00D17F95" w:rsidRPr="00D17F95">
        <w:rPr>
          <w:rFonts w:ascii="GHEA Grapalat" w:hAnsi="GHEA Grapalat"/>
          <w:sz w:val="20"/>
          <w:szCs w:val="18"/>
          <w:lang w:val="hy-AM"/>
        </w:rPr>
        <w:t>եւ</w:t>
      </w:r>
      <w:proofErr w:type="spellEnd"/>
      <w:r w:rsidR="00D17F95" w:rsidRPr="00D17F95">
        <w:rPr>
          <w:rFonts w:ascii="GHEA Grapalat" w:hAnsi="GHEA Grapalat"/>
          <w:sz w:val="20"/>
          <w:szCs w:val="18"/>
          <w:lang w:val="hy-AM"/>
        </w:rPr>
        <w:t xml:space="preserve"> 3.600 (երեք հազար վեց հարյուր) ՀՀ դրամ՝ որպես հայցվորի կողմից կատարված դատական ծախսի՝ նախապես վճարված պետական տուրքի գումարի փոխհատուցում:</w:t>
      </w:r>
    </w:p>
    <w:p w:rsidR="00D17F95" w:rsidRPr="00D17F95" w:rsidRDefault="00D17F95" w:rsidP="00D17F9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D17F95">
        <w:rPr>
          <w:rFonts w:ascii="GHEA Grapalat" w:hAnsi="GHEA Grapalat"/>
          <w:sz w:val="20"/>
          <w:szCs w:val="18"/>
          <w:lang w:val="hy-AM"/>
        </w:rPr>
        <w:t xml:space="preserve">Սկսած 21.10.2016թ. </w:t>
      </w:r>
      <w:proofErr w:type="spellStart"/>
      <w:r w:rsidRPr="00D17F95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D17F95">
        <w:rPr>
          <w:rFonts w:ascii="GHEA Grapalat" w:hAnsi="GHEA Grapalat"/>
          <w:sz w:val="20"/>
          <w:szCs w:val="18"/>
          <w:lang w:val="hy-AM"/>
        </w:rPr>
        <w:t xml:space="preserve"> ժամկետային վարկի սահմանված մարման ժամկետները ժամկետային վարկի մնացորդի վրա հաշվեգրել տարեկան 24% տոկոսագումարները </w:t>
      </w:r>
      <w:proofErr w:type="spellStart"/>
      <w:r w:rsidRPr="00D17F95">
        <w:rPr>
          <w:rFonts w:ascii="GHEA Grapalat" w:hAnsi="GHEA Grapalat"/>
          <w:sz w:val="20"/>
          <w:szCs w:val="18"/>
          <w:lang w:val="hy-AM"/>
        </w:rPr>
        <w:t>եւ</w:t>
      </w:r>
      <w:proofErr w:type="spellEnd"/>
      <w:r w:rsidRPr="00D17F95">
        <w:rPr>
          <w:rFonts w:ascii="GHEA Grapalat" w:hAnsi="GHEA Grapalat"/>
          <w:sz w:val="20"/>
          <w:szCs w:val="18"/>
          <w:lang w:val="hy-AM"/>
        </w:rPr>
        <w:t xml:space="preserve"> բռնագանձել հօգուտ բանկի:</w:t>
      </w:r>
    </w:p>
    <w:p w:rsidR="00D17F95" w:rsidRDefault="00D17F95" w:rsidP="00D17F9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D17F95">
        <w:rPr>
          <w:rFonts w:ascii="GHEA Grapalat" w:hAnsi="GHEA Grapalat"/>
          <w:sz w:val="20"/>
          <w:szCs w:val="18"/>
          <w:lang w:val="hy-AM"/>
        </w:rPr>
        <w:t xml:space="preserve">Սկսած 21.10.2016թ. </w:t>
      </w:r>
      <w:proofErr w:type="spellStart"/>
      <w:r w:rsidRPr="00D17F95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D17F95">
        <w:rPr>
          <w:rFonts w:ascii="GHEA Grapalat" w:hAnsi="GHEA Grapalat"/>
          <w:sz w:val="20"/>
          <w:szCs w:val="18"/>
          <w:lang w:val="hy-AM"/>
        </w:rPr>
        <w:t xml:space="preserve"> վարկի փաստացի մարման օրը, ժամկետանց վարկի և տոկոսների մնացորդ պարտքի գումարների վրա հաշվեգրել </w:t>
      </w:r>
      <w:proofErr w:type="spellStart"/>
      <w:r w:rsidRPr="00D17F95">
        <w:rPr>
          <w:rFonts w:ascii="GHEA Grapalat" w:hAnsi="GHEA Grapalat"/>
          <w:sz w:val="20"/>
          <w:szCs w:val="18"/>
          <w:lang w:val="hy-AM"/>
        </w:rPr>
        <w:t>եւ</w:t>
      </w:r>
      <w:proofErr w:type="spellEnd"/>
      <w:r w:rsidRPr="00D17F95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տույժի գումարները օրական 0,1%-ի չափով: </w:t>
      </w:r>
    </w:p>
    <w:p w:rsidR="008D3AFD" w:rsidRDefault="008D3AFD" w:rsidP="00D17F9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D17F95">
        <w:rPr>
          <w:rFonts w:ascii="GHEA Grapalat" w:hAnsi="GHEA Grapalat" w:cs="Sylfaen"/>
          <w:sz w:val="20"/>
          <w:szCs w:val="20"/>
          <w:lang w:val="hy-AM"/>
        </w:rPr>
        <w:t>02831531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10C70"/>
    <w:rsid w:val="00052A26"/>
    <w:rsid w:val="00056ABB"/>
    <w:rsid w:val="000660A7"/>
    <w:rsid w:val="0007278B"/>
    <w:rsid w:val="000956C3"/>
    <w:rsid w:val="000B12AA"/>
    <w:rsid w:val="000E0F97"/>
    <w:rsid w:val="000E51FF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153C3"/>
    <w:rsid w:val="00B333C5"/>
    <w:rsid w:val="00B35F2E"/>
    <w:rsid w:val="00B4761E"/>
    <w:rsid w:val="00B55A37"/>
    <w:rsid w:val="00B64361"/>
    <w:rsid w:val="00B77511"/>
    <w:rsid w:val="00B91B3E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17F95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DB4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134</cp:revision>
  <cp:lastPrinted>2018-01-18T06:20:00Z</cp:lastPrinted>
  <dcterms:created xsi:type="dcterms:W3CDTF">2010-11-05T11:56:00Z</dcterms:created>
  <dcterms:modified xsi:type="dcterms:W3CDTF">2018-08-09T12:44:00Z</dcterms:modified>
</cp:coreProperties>
</file>