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F21248">
        <w:rPr>
          <w:rFonts w:ascii="GHEA Grapalat" w:hAnsi="GHEA Grapalat"/>
          <w:i/>
          <w:sz w:val="22"/>
          <w:lang w:val="hy-AM"/>
        </w:rPr>
        <w:t>9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370850" w:rsidRPr="00370850">
        <w:rPr>
          <w:rFonts w:ascii="GHEA Grapalat" w:hAnsi="GHEA Grapalat"/>
          <w:i/>
          <w:sz w:val="22"/>
          <w:lang w:val="hy-AM"/>
        </w:rPr>
        <w:t>մայիսի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F21248" w:rsidRPr="00F21248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F21248" w:rsidRPr="00F21248">
        <w:rPr>
          <w:rFonts w:ascii="GHEA Grapalat" w:hAnsi="GHEA Grapalat"/>
          <w:i/>
          <w:sz w:val="22"/>
          <w:lang w:val="hy-AM"/>
        </w:rPr>
        <w:t>04206213</w:t>
      </w:r>
      <w:r w:rsidR="00370850" w:rsidRPr="00370850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F21248" w:rsidRPr="00F21248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F21248">
        <w:rPr>
          <w:rFonts w:ascii="GHEA Grapalat" w:hAnsi="GHEA Grapalat"/>
          <w:i/>
          <w:sz w:val="22"/>
          <w:lang w:val="hy-AM"/>
        </w:rPr>
        <w:t>22.12.2017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F21248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F21248" w:rsidRPr="00F21248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F21248">
        <w:rPr>
          <w:rFonts w:ascii="GHEA Grapalat" w:hAnsi="GHEA Grapalat"/>
          <w:i/>
          <w:sz w:val="22"/>
          <w:lang w:val="hy-AM"/>
        </w:rPr>
        <w:t>1391/02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F21248">
        <w:rPr>
          <w:rFonts w:ascii="GHEA Grapalat" w:hAnsi="GHEA Grapalat"/>
          <w:i/>
          <w:sz w:val="22"/>
          <w:lang w:val="hy-AM"/>
        </w:rPr>
        <w:t>6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Մհեր Սիմոնյանից հօգուտ &lt;&lt;Արդշինբանկ&gt;&gt; ՓԲԸ-ի </w:t>
      </w:r>
      <w:r w:rsidR="0001137B" w:rsidRPr="0001137B">
        <w:rPr>
          <w:rFonts w:ascii="GHEA Grapalat" w:hAnsi="GHEA Grapalat"/>
          <w:b/>
          <w:i/>
          <w:sz w:val="22"/>
          <w:lang w:val="hy-AM"/>
        </w:rPr>
        <w:t xml:space="preserve"> </w:t>
      </w:r>
      <w:bookmarkStart w:id="0" w:name="_GoBack"/>
      <w:bookmarkEnd w:id="0"/>
      <w:r w:rsidR="00F21248" w:rsidRPr="00F21248">
        <w:rPr>
          <w:rFonts w:ascii="GHEA Grapalat" w:hAnsi="GHEA Grapalat"/>
          <w:b/>
          <w:i/>
          <w:sz w:val="22"/>
          <w:lang w:val="hy-AM"/>
        </w:rPr>
        <w:t>բռնագանձել 1.042.966 ՀՅՀ դրամ և տոկոսները</w:t>
      </w:r>
      <w:r w:rsidR="00370850" w:rsidRPr="00370850">
        <w:rPr>
          <w:rFonts w:ascii="GHEA Grapalat" w:hAnsi="GHEA Grapalat"/>
          <w:b/>
          <w:i/>
          <w:sz w:val="22"/>
          <w:lang w:val="hy-AM"/>
        </w:rPr>
        <w:t>: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F21248" w:rsidRPr="00F21248">
        <w:rPr>
          <w:rFonts w:ascii="GHEA Grapalat" w:hAnsi="GHEA Grapalat"/>
          <w:i/>
          <w:sz w:val="22"/>
          <w:lang w:val="hy-AM"/>
        </w:rPr>
        <w:t>չունի գույք կամ եկամուտներ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370850" w:rsidRPr="00370850">
        <w:rPr>
          <w:rFonts w:ascii="GHEA Grapalat" w:hAnsi="GHEA Grapalat"/>
          <w:i/>
          <w:sz w:val="22"/>
          <w:lang w:val="hy-AM"/>
        </w:rPr>
        <w:t>մայիսի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F21248" w:rsidRPr="00F21248">
        <w:rPr>
          <w:rFonts w:ascii="GHEA Grapalat" w:hAnsi="GHEA Grapalat"/>
          <w:i/>
          <w:sz w:val="22"/>
          <w:lang w:val="hy-AM"/>
        </w:rPr>
        <w:t>հարուցված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F21248" w:rsidRPr="0001137B">
        <w:rPr>
          <w:rFonts w:ascii="GHEA Grapalat" w:hAnsi="GHEA Grapalat"/>
          <w:i/>
          <w:sz w:val="22"/>
          <w:lang w:val="hy-AM"/>
        </w:rPr>
        <w:t>04206213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01137B">
        <w:fldChar w:fldCharType="begin"/>
      </w:r>
      <w:r w:rsidR="0001137B" w:rsidRPr="0001137B">
        <w:rPr>
          <w:lang w:val="hy-AM"/>
        </w:rPr>
        <w:instrText xml:space="preserve"> HYPERLINK "http://www.azdarar.am" </w:instrText>
      </w:r>
      <w:r w:rsidR="0001137B">
        <w:fldChar w:fldCharType="separate"/>
      </w:r>
      <w:r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01137B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01137B"/>
    <w:rsid w:val="00043ABF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F21248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8B5B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2</cp:revision>
  <cp:lastPrinted>2018-04-09T06:07:00Z</cp:lastPrinted>
  <dcterms:created xsi:type="dcterms:W3CDTF">2018-09-18T07:33:00Z</dcterms:created>
  <dcterms:modified xsi:type="dcterms:W3CDTF">2018-09-18T07:33:00Z</dcterms:modified>
</cp:coreProperties>
</file>