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883025">
        <w:rPr>
          <w:rFonts w:ascii="GHEA Grapalat" w:eastAsia="Calibri" w:hAnsi="GHEA Grapalat"/>
          <w:b/>
          <w:sz w:val="20"/>
          <w:szCs w:val="20"/>
          <w:lang w:val="en-US" w:eastAsia="en-US"/>
        </w:rPr>
        <w:t>14</w:t>
      </w:r>
      <w:bookmarkStart w:id="0" w:name="_GoBack"/>
      <w:bookmarkEnd w:id="0"/>
      <w:r w:rsidR="00A7623E" w:rsidRPr="00A7623E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14.11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2219889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D0826" w:rsidRPr="005D0826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ՀՀ Երևան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ընդհանուր իրավասության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08.11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A7623E">
        <w:rPr>
          <w:rFonts w:ascii="GHEA Grapalat" w:eastAsia="Calibri" w:hAnsi="GHEA Grapalat"/>
          <w:sz w:val="20"/>
          <w:szCs w:val="20"/>
          <w:lang w:val="hy-AM" w:eastAsia="en-US"/>
        </w:rPr>
        <w:t>ԵԿԴ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4335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/02/1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5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Մերարամ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&gt;&gt;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ՍՊԸ-ից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 xml:space="preserve">, Ռազմիկ Գառնիկի Աթանեսյանից և Անի Ռազմիկի Աթանեսյանից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հօգուտ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&lt;</w:t>
      </w:r>
      <w:r w:rsidR="008120FA">
        <w:rPr>
          <w:rFonts w:ascii="GHEA Grapalat" w:eastAsia="Calibri" w:hAnsi="GHEA Grapalat"/>
          <w:sz w:val="20"/>
          <w:szCs w:val="20"/>
          <w:lang w:val="hy-AM" w:eastAsia="en-US"/>
        </w:rPr>
        <w:t>Առե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կսիմբանկ-Գազպրոմբանկ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խումբ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&gt;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ՓԲԸ-ի իրավահաջորդ՝ &lt;Ռեդութ Ասեթ Մենեջմենթ&gt; ՍՊԸ-ի համապարտության կարգով բռնագանձել 451.640,21 ԱՄՆ դոլարին համարժեք ՀՀ դրամ գումար և հաշվարկվող տոկոսներ:</w:t>
      </w:r>
    </w:p>
    <w:p w:rsidR="00C022F5" w:rsidRPr="00C022F5" w:rsidRDefault="00C022F5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&lt;Մերարամ&gt; ՍՊԸ-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ից պետք է բռնագանձել նաև 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՝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&lt;Մերարամ&gt; ՍՊԸ-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>14.11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>02219889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294</cp:revision>
  <cp:lastPrinted>2017-11-03T10:46:00Z</cp:lastPrinted>
  <dcterms:created xsi:type="dcterms:W3CDTF">2016-06-17T06:54:00Z</dcterms:created>
  <dcterms:modified xsi:type="dcterms:W3CDTF">2018-12-14T06:06:00Z</dcterms:modified>
</cp:coreProperties>
</file>