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2E4648" w:rsidRPr="002A321E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2E4648">
        <w:rPr>
          <w:rFonts w:ascii="GHEA Grapalat" w:hAnsi="GHEA Grapalat"/>
          <w:i/>
          <w:sz w:val="20"/>
          <w:szCs w:val="20"/>
          <w:lang w:val="hy-AM"/>
        </w:rPr>
        <w:t>0</w:t>
      </w:r>
      <w:r w:rsidR="006E1760" w:rsidRPr="00834BDE">
        <w:rPr>
          <w:rFonts w:ascii="GHEA Grapalat" w:hAnsi="GHEA Grapalat"/>
          <w:i/>
          <w:sz w:val="20"/>
          <w:szCs w:val="20"/>
          <w:lang w:val="hy-AM"/>
        </w:rPr>
        <w:t>6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Մարտի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6E1760">
        <w:rPr>
          <w:rFonts w:ascii="GHEA Grapalat" w:hAnsi="GHEA Grapalat"/>
          <w:i/>
          <w:sz w:val="20"/>
          <w:szCs w:val="20"/>
          <w:lang w:val="hy-AM"/>
        </w:rPr>
        <w:t>11.1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7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0</w:t>
      </w:r>
      <w:r w:rsidR="006E1760">
        <w:rPr>
          <w:rFonts w:ascii="GHEA Grapalat" w:hAnsi="GHEA Grapalat"/>
          <w:i/>
          <w:sz w:val="20"/>
          <w:szCs w:val="20"/>
          <w:lang w:val="hy-AM"/>
        </w:rPr>
        <w:t>0247357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6E1760" w:rsidRPr="006E1760" w:rsidRDefault="00BB50E9" w:rsidP="006E1760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 դատարանի կողմից 17.11.2017թ-ին տրված թիվ ԼԴ1/0927/02/16 կատարողական թերթի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համաձայն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պետք է՝ ՀԲՄ &lt;&lt;Ֆինանսական արբիտրաժ&gt;&gt; հիմնարկի միանձնյա արբիտրաժային տրիբունալի 03.10.2013թ-ի թիվ ԵԿԴ/0618/17/13 վճռով սահմանված պարտավորության գումարի չափով բռնագանձումը տարածել ՀՀ Լոռու մարզի Ալավերդի քաղաքի Սանահին Սարահարթ 3/11-3 հասցեում գտնվող և Լիլիթ Վարուժանի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Բոշյանին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, Վարուժան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Լևոնի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Բոշյանին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, Լիդա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Ճալինոսի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Էվանիսյանին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և Արեն Վարուժանի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Բոշյանին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համասեփականության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իրավունքով պատկանող անշարժ գույքի վրա /կադաստրային ծածկագիր՝ 06-002-054-001-010-003/, նշված անշարժ գույքը վաճառել հրապարակային սակարկությունների միջոցով, ստացված գումարը բաշխել ընդհանուր սեփականության մասնակիցների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միջև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՝ նրանց բաժիններին համաչափ, յուրաքանչյուրին գումարի մեկ չորրորդը, պարտավորության գումարի չափով բռնագանձումը տարածել պարտապան Լիլիթ Վարուժանի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Բոշյանի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բաժնեմասի՝ մեկ չորրորդ բաժնին համաչափ գումարի վրա: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Պատասխանող Լիլիթ Վարուժանի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Բոշյանից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հօգուտ &lt;&lt;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Ակբա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-Կրեդիտ </w:t>
      </w:r>
      <w:proofErr w:type="spellStart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>Ագրիկոլ</w:t>
      </w:r>
      <w:proofErr w:type="spellEnd"/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բանկ&gt;&gt; ՓԲԸ-ի բռնագանձել 4.000 ՀՀ դրամ, որպես նախապես վճարված պետական տուրքի գումար</w:t>
      </w:r>
      <w:r w:rsidR="006E1760">
        <w:rPr>
          <w:rFonts w:ascii="GHEA Grapalat" w:hAnsi="GHEA Grapalat"/>
          <w:i/>
          <w:sz w:val="20"/>
          <w:szCs w:val="20"/>
          <w:lang w:val="hy-AM"/>
        </w:rPr>
        <w:t>,</w:t>
      </w:r>
      <w:r w:rsidR="006E1760" w:rsidRP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6E1760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="006E1760"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6E1760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ծախս։</w:t>
      </w:r>
    </w:p>
    <w:p w:rsidR="006E1760" w:rsidRPr="006E1760" w:rsidRDefault="006E1760" w:rsidP="006E1760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6E1760">
        <w:rPr>
          <w:rFonts w:ascii="GHEA Grapalat" w:hAnsi="GHEA Grapalat"/>
          <w:i/>
          <w:sz w:val="20"/>
          <w:szCs w:val="20"/>
          <w:lang w:val="hy-AM"/>
        </w:rPr>
        <w:t>ՀՀ Լոռու մարզի Ալավերդի քաղաքի Սանահին Սարահարթ 3/11-3 հասցեում գտնվող անշարժ գույքը 05.03.2018թ-ին ներկայացվել է հարկադիր էլեկտրոնային աճուրդ վաճառքի՝ 2.925.000 ՀՀ դրամ մեկնարկային գնով:</w:t>
      </w:r>
    </w:p>
    <w:p w:rsidR="00BB50E9" w:rsidRDefault="006E1760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proofErr w:type="spellStart"/>
      <w:r w:rsidRPr="006E1760">
        <w:rPr>
          <w:rFonts w:ascii="GHEA Grapalat" w:hAnsi="GHEA Grapalat"/>
          <w:i/>
          <w:sz w:val="20"/>
          <w:szCs w:val="20"/>
          <w:lang w:val="hy-AM"/>
        </w:rPr>
        <w:t>Կրկնաճուրդների</w:t>
      </w:r>
      <w:proofErr w:type="spellEnd"/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 արդյունքում ՀՀ Լոռու մարզի Ալավերդի քաղաքի Սանահին Սարահարթ 3/11-3 հասցեում գտնվող բնակարանի /լոտ՝ 314686/ գինը նվազել է և 21.02.2019թ-ի դրությամբ կազմում է 395.124,2 ՀՀ դրամ</w:t>
      </w:r>
      <w:r>
        <w:rPr>
          <w:rFonts w:ascii="GHEA Grapalat" w:hAnsi="GHEA Grapalat"/>
          <w:i/>
          <w:sz w:val="20"/>
          <w:szCs w:val="20"/>
          <w:lang w:val="hy-AM"/>
        </w:rPr>
        <w:t>։</w:t>
      </w:r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 28.02.2019թ-ին </w:t>
      </w:r>
      <w:proofErr w:type="spellStart"/>
      <w:r w:rsidRPr="006E1760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 կողմից ստացվել է թիվ 443-1128 գրությունը, համաձայն որի թիվ ԵԿԴ/0618/17/13 կատարողական թերթով պարտապանների պարտքը կազմում է 1.815.124,2 ՀՀ դրամ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ուստի ի հայտ են եկել </w:t>
      </w:r>
      <w:proofErr w:type="spellStart"/>
      <w:r w:rsidRPr="006E1760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6E1760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Լիլիթ Վարուժանի </w:t>
      </w:r>
      <w:proofErr w:type="spellStart"/>
      <w:r w:rsidR="006E1760">
        <w:rPr>
          <w:rFonts w:ascii="GHEA Grapalat" w:hAnsi="GHEA Grapalat"/>
          <w:i/>
          <w:sz w:val="20"/>
          <w:szCs w:val="20"/>
          <w:lang w:val="hy-AM"/>
        </w:rPr>
        <w:t>Բոշյանին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պարտապանին սեփականության (ընդհանուր համատեղ և /կամ/ բաժնային սեփականության) իրավունքով պատկանող 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</w:t>
      </w:r>
      <w:r w:rsidR="006E1760">
        <w:rPr>
          <w:rFonts w:ascii="GHEA Grapalat" w:hAnsi="GHEA Grapalat"/>
          <w:i/>
          <w:sz w:val="20"/>
          <w:szCs w:val="20"/>
          <w:lang w:val="hy-AM"/>
        </w:rPr>
        <w:t xml:space="preserve"> այլ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2E4648" w:rsidRPr="002A321E" w:rsidRDefault="00E27875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E1760">
        <w:rPr>
          <w:rFonts w:ascii="GHEA Grapalat" w:hAnsi="GHEA Grapalat"/>
          <w:i/>
          <w:sz w:val="20"/>
          <w:szCs w:val="20"/>
          <w:lang w:val="hy-AM"/>
        </w:rPr>
        <w:t>11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6E1760">
        <w:rPr>
          <w:rFonts w:ascii="GHEA Grapalat" w:hAnsi="GHEA Grapalat"/>
          <w:i/>
          <w:sz w:val="20"/>
          <w:szCs w:val="20"/>
          <w:lang w:val="hy-AM"/>
        </w:rPr>
        <w:t>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6E1760">
        <w:rPr>
          <w:rFonts w:ascii="GHEA Grapalat" w:hAnsi="GHEA Grapalat"/>
          <w:i/>
          <w:sz w:val="20"/>
          <w:szCs w:val="20"/>
          <w:lang w:val="hy-AM"/>
        </w:rPr>
        <w:t>7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6E1760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E1760">
        <w:rPr>
          <w:rFonts w:ascii="GHEA Grapalat" w:hAnsi="GHEA Grapalat"/>
          <w:i/>
          <w:sz w:val="20"/>
          <w:szCs w:val="20"/>
          <w:lang w:val="hy-AM"/>
        </w:rPr>
        <w:t>00247357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F57824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 </w:t>
      </w:r>
      <w:bookmarkStart w:id="0" w:name="_GoBack"/>
      <w:bookmarkEnd w:id="0"/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84164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A7EC8"/>
    <w:rsid w:val="006E1760"/>
    <w:rsid w:val="00783CD3"/>
    <w:rsid w:val="007C5212"/>
    <w:rsid w:val="007F6FAD"/>
    <w:rsid w:val="00834BDE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E1249C"/>
    <w:rsid w:val="00E27875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63</cp:revision>
  <cp:lastPrinted>2019-03-06T05:28:00Z</cp:lastPrinted>
  <dcterms:created xsi:type="dcterms:W3CDTF">2013-11-25T09:02:00Z</dcterms:created>
  <dcterms:modified xsi:type="dcterms:W3CDTF">2019-03-06T05:30:00Z</dcterms:modified>
</cp:coreProperties>
</file>