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085DD1">
        <w:rPr>
          <w:rFonts w:ascii="GHEA Grapalat" w:hAnsi="GHEA Grapalat"/>
          <w:i/>
          <w:sz w:val="22"/>
          <w:lang w:val="hy-AM"/>
        </w:rPr>
        <w:t>11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997931" w:rsidRPr="00997931">
        <w:rPr>
          <w:rFonts w:ascii="GHEA Grapalat" w:hAnsi="GHEA Grapalat"/>
          <w:i/>
          <w:sz w:val="22"/>
          <w:lang w:val="hy-AM"/>
        </w:rPr>
        <w:t xml:space="preserve">04925534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97931">
        <w:rPr>
          <w:rFonts w:ascii="GHEA Grapalat" w:hAnsi="GHEA Grapalat"/>
          <w:i/>
          <w:lang w:val="af-ZA"/>
        </w:rPr>
        <w:t xml:space="preserve">Կենտրոն և Նորք-Մարաշ վարչական շրջանի </w:t>
      </w:r>
      <w:r w:rsidR="00987B0E" w:rsidRPr="000D3BAF">
        <w:rPr>
          <w:rFonts w:ascii="GHEA Grapalat" w:hAnsi="GHEA Grapalat"/>
          <w:i/>
          <w:lang w:val="af-ZA"/>
        </w:rPr>
        <w:t xml:space="preserve">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97931">
        <w:rPr>
          <w:rFonts w:ascii="GHEA Grapalat" w:hAnsi="GHEA Grapalat"/>
          <w:i/>
          <w:lang w:val="af-ZA"/>
        </w:rPr>
        <w:t xml:space="preserve"> ԵԿԴ/1061/17/17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97931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085DD1">
        <w:rPr>
          <w:rFonts w:ascii="GHEA Grapalat" w:hAnsi="GHEA Grapalat"/>
          <w:i/>
          <w:lang w:val="af-ZA"/>
        </w:rPr>
        <w:t>Անուշ Ռազմիկի Գրդիկանյանից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085DD1">
        <w:rPr>
          <w:rFonts w:ascii="GHEA Grapalat" w:hAnsi="GHEA Grapalat"/>
          <w:i/>
          <w:lang w:val="af-ZA"/>
        </w:rPr>
        <w:t>Յունիբանկ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085DD1">
        <w:rPr>
          <w:rFonts w:ascii="GHEA Grapalat" w:hAnsi="GHEA Grapalat"/>
          <w:i/>
          <w:lang w:val="af-ZA"/>
        </w:rPr>
        <w:t>Բ</w:t>
      </w:r>
      <w:r w:rsidR="00FE0D86">
        <w:rPr>
          <w:rFonts w:ascii="GHEA Grapalat" w:hAnsi="GHEA Grapalat"/>
          <w:i/>
          <w:lang w:val="af-ZA"/>
        </w:rPr>
        <w:t>ԲԸ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997931">
        <w:rPr>
          <w:rFonts w:ascii="GHEA Grapalat" w:hAnsi="GHEA Grapalat"/>
          <w:i/>
          <w:lang w:val="af-ZA"/>
        </w:rPr>
        <w:t>223.008</w:t>
      </w:r>
      <w:r w:rsidR="00FE0D86">
        <w:rPr>
          <w:rFonts w:ascii="GHEA Grapalat" w:hAnsi="GHEA Grapalat"/>
          <w:i/>
          <w:lang w:val="af-ZA"/>
        </w:rPr>
        <w:t xml:space="preserve"> ՀՀ դրամ և տոկոսները, ինչպես նաև որպես կատարողական ծախս </w:t>
      </w:r>
      <w:r w:rsidR="00997931">
        <w:rPr>
          <w:rFonts w:ascii="GHEA Grapalat" w:hAnsi="GHEA Grapalat"/>
          <w:i/>
          <w:lang w:val="af-ZA"/>
        </w:rPr>
        <w:t>11.150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</w:t>
      </w:r>
      <w:bookmarkStart w:id="0" w:name="_GoBack"/>
      <w:bookmarkEnd w:id="0"/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997931" w:rsidRPr="00997931">
        <w:rPr>
          <w:rFonts w:ascii="GHEA Grapalat" w:hAnsi="GHEA Grapalat"/>
          <w:i/>
          <w:sz w:val="22"/>
          <w:lang w:val="hy-AM"/>
        </w:rPr>
        <w:t>04925534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6142F"/>
    <w:rsid w:val="00987B0E"/>
    <w:rsid w:val="00997931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4402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42</cp:revision>
  <dcterms:created xsi:type="dcterms:W3CDTF">2017-04-21T08:55:00Z</dcterms:created>
  <dcterms:modified xsi:type="dcterms:W3CDTF">2019-03-11T05:56:00Z</dcterms:modified>
</cp:coreProperties>
</file>