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A10B58" w:rsidP="0073446A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A10B58">
        <w:rPr>
          <w:rFonts w:ascii="Sylfaen" w:hAnsi="Sylfaen"/>
          <w:b/>
          <w:sz w:val="20"/>
          <w:szCs w:val="20"/>
          <w:lang w:val="hy-AM"/>
        </w:rPr>
        <w:t xml:space="preserve">11 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>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05621" w:rsidRPr="00E0562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19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E05621" w:rsidRPr="00E0562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³åñÇÉ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A10B58" w:rsidRPr="00A10B5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201</w:t>
      </w:r>
      <w:r w:rsidR="0073446A" w:rsidRPr="0073446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0562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01831193</w:t>
      </w:r>
      <w:r w:rsidR="00E0562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73446A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1A13A0" w:rsidRPr="0073446A" w:rsidRDefault="009A230D" w:rsidP="00E0562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0562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§03¦ ¹»Ïï»Ùµ»ñ 2015Ã.</w:t>
      </w:r>
      <w:r w:rsidR="00E05621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E05621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E0562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E05621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E0562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Þ¸/1436/02/15</w:t>
      </w:r>
      <w:r w:rsidR="00E0562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FD264C" w:rsidRPr="00FD264C">
        <w:rPr>
          <w:rFonts w:ascii="Sylfaen" w:hAnsi="Sylfaen"/>
          <w:sz w:val="20"/>
          <w:szCs w:val="20"/>
          <w:lang w:val="hy-AM"/>
        </w:rPr>
        <w:t xml:space="preserve">պատասխանող` </w:t>
      </w:r>
      <w:r w:rsidR="00E05621" w:rsidRPr="00E05621">
        <w:rPr>
          <w:rFonts w:ascii="Sylfaen" w:hAnsi="Sylfaen"/>
          <w:sz w:val="20"/>
          <w:szCs w:val="20"/>
          <w:lang w:val="hy-AM"/>
        </w:rPr>
        <w:t xml:space="preserve">Թամարա Հմայակի Մարգարյանից հօգուտ հայցվոր «ՎՏԲ-Հայաստան բանկ» փակ բաժնետիրական ընկերության բռնագանձել 406.907 (չորս հարյուր վեց հազար ինը հարյուր յոթ) ՀՀ դրամ, որից՝ 281.527 (երկու հարյուր ութսունմեկ հազար հինգ հարյուր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քսանյոթ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>) ՀՀ դրամ՝ որպես վարկի գումար, 52.264 (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հազար երկու հարյուր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վաթսունչորս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) ՀՀ դրամ՝ որպես վարկի դիմաց հաշվարկված տոկոսագումար, 9.157 (ինը հազար հարյուր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) ՀՀ դրամ՝ որպես ժամկետանց տոկոսի դիմաց հաշվարկված տույժ, 50.000 (հիսուն հազար) ՀՀ դրամ՝ որպես վարկի գումարի առնվազն 10%-ի (տասը տոկոսի) չափով յուրաքանչյուր ամիս մարում չկատարելու համար տուգանք, 13.959 (տասներեք հազար ինը հարյուր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հիսունինը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) ՀՀ դրամ՝ որպես վարկի սպասարկման հաշիվներ, ինչպես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նաեւ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բռնագանձել 8.138 (ութ հազար հարյուր երեսունութ) ՀՀ դրամ՝ որպես հայցվորի կողմից կատարված դատական ծախսի՝ նախապես վճարված պետական տուրքի գումարի փոխհատուցում: Վարկային գծի օգտագործված մասի մնացորդի՝ 281.527 (երկու հարյուր ութսունմեկ հազար հինգ հարյուր քսանութ) ՀՀ դրամի չվճարված մասի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վարկի դիմաց հաշվարկված տոկոսագումարի՝ 52.264 (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հազար երկու հարյուր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վաթսունչորս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) ՀՀ դրամի չվճարված մասի նկատմամբ սկսած 07.04.2015թ-ից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մինչեւ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պարտավորության փաստացի մարումը հաշվարկել յուրաքանչյուր ուշացված օրվա համար 0,2%-ի (զրո ամբողջ երկու տասներորդական տոկոսի) չափով տույժ, իսկ 07.04.2015թ-ից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մինչեւ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ընթացիկ ամսվա վերջին աշխատանքային օրը ներառյալ՝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մինչեւ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նախանցած ամսվա վերջին աշխատանքային օրվա դրությամբ վարկի օգտագործված գումարի 10%-ի (տասը տոկոսի) չափով յուրաքանչյուր ամիս մարում չկատարելու դեպքում հաշվեգրել յուրաքանչյուր ամսվա համար 5.000 (հինգ հազար) ՀՀ դրամի չափով տուգանք ու նշված տույժի </w:t>
      </w:r>
      <w:proofErr w:type="spellStart"/>
      <w:r w:rsidR="00E05621" w:rsidRPr="00E05621">
        <w:rPr>
          <w:rFonts w:ascii="Sylfaen" w:hAnsi="Sylfaen"/>
          <w:sz w:val="20"/>
          <w:szCs w:val="20"/>
          <w:lang w:val="hy-AM"/>
        </w:rPr>
        <w:t>եւ</w:t>
      </w:r>
      <w:proofErr w:type="spellEnd"/>
      <w:r w:rsidR="00E05621" w:rsidRPr="00E05621">
        <w:rPr>
          <w:rFonts w:ascii="Sylfaen" w:hAnsi="Sylfaen"/>
          <w:sz w:val="20"/>
          <w:szCs w:val="20"/>
          <w:lang w:val="hy-AM"/>
        </w:rPr>
        <w:t xml:space="preserve"> տուգանքի գումարները բռնագանձել պատասխանող Թամարա Հմայակի Մարգարյանից հօգուտ հայցվոր «ՎՏԲ-Հայաստան բանկ» փակ բաժնետիրական ընկերության:</w:t>
      </w:r>
    </w:p>
    <w:p w:rsidR="0073446A" w:rsidRPr="00914218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="00E05621" w:rsidRPr="00E05621">
        <w:rPr>
          <w:rFonts w:ascii="Sylfaen" w:hAnsi="Sylfaen" w:cs="Arial AM"/>
          <w:sz w:val="20"/>
          <w:szCs w:val="20"/>
          <w:lang w:val="hy-AM"/>
        </w:rPr>
        <w:t>25.03</w:t>
      </w:r>
      <w:r w:rsidRPr="0073446A">
        <w:rPr>
          <w:rFonts w:ascii="Sylfaen" w:hAnsi="Sylfaen" w:cs="Arial AM"/>
          <w:sz w:val="20"/>
          <w:szCs w:val="20"/>
          <w:lang w:val="hy-AM"/>
        </w:rPr>
        <w:t>.2016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թիվ </w:t>
      </w:r>
      <w:r w:rsidRPr="0073446A">
        <w:rPr>
          <w:rFonts w:ascii="Sylfaen" w:hAnsi="Sylfaen" w:cs="Arial AM"/>
          <w:sz w:val="20"/>
          <w:szCs w:val="20"/>
          <w:lang w:val="hy-AM"/>
        </w:rPr>
        <w:t>Տ-</w:t>
      </w:r>
      <w:r w:rsidR="00E05621" w:rsidRPr="00E05621">
        <w:rPr>
          <w:rFonts w:ascii="Sylfaen" w:hAnsi="Sylfaen" w:cs="Arial AM"/>
          <w:sz w:val="20"/>
          <w:szCs w:val="20"/>
          <w:lang w:val="hy-AM"/>
        </w:rPr>
        <w:t>0016076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E0562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Þ¸/1436/02/15</w:t>
      </w:r>
      <w:r w:rsidR="00E0562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="00E05621" w:rsidRPr="00E05621">
        <w:rPr>
          <w:rFonts w:ascii="Sylfaen" w:hAnsi="Sylfaen" w:cs="Arial AM"/>
          <w:sz w:val="20"/>
          <w:szCs w:val="20"/>
          <w:lang w:val="hy-AM"/>
        </w:rPr>
        <w:t>25.03.2016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դրությամբ կազմում է </w:t>
      </w:r>
      <w:r w:rsidR="00E05621" w:rsidRPr="00E05621">
        <w:rPr>
          <w:rFonts w:ascii="Sylfaen" w:hAnsi="Sylfaen" w:cs="Arial AM"/>
          <w:b/>
          <w:sz w:val="20"/>
          <w:szCs w:val="20"/>
          <w:lang w:val="hy-AM"/>
        </w:rPr>
        <w:t>506265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1A13A0" w:rsidRDefault="001A13A0" w:rsidP="0073446A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E05621" w:rsidRPr="00E05621">
        <w:rPr>
          <w:rFonts w:ascii="Sylfaen" w:hAnsi="Sylfaen"/>
          <w:b/>
          <w:sz w:val="20"/>
          <w:szCs w:val="20"/>
          <w:lang w:val="hy-AM"/>
        </w:rPr>
        <w:t>25313</w:t>
      </w:r>
      <w:r w:rsidR="0073446A" w:rsidRPr="0073446A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73446A" w:rsidRPr="00914218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թիվ </w:t>
      </w:r>
      <w:r w:rsidRPr="0073446A">
        <w:rPr>
          <w:rFonts w:ascii="Sylfaen" w:hAnsi="Sylfaen" w:cs="Arial AM"/>
          <w:sz w:val="20"/>
          <w:szCs w:val="20"/>
          <w:lang w:val="hy-AM"/>
        </w:rPr>
        <w:t>Ա-52</w:t>
      </w:r>
      <w:r w:rsidR="00E05621" w:rsidRPr="00E05621">
        <w:rPr>
          <w:rFonts w:ascii="Sylfaen" w:hAnsi="Sylfaen" w:cs="Arial AM"/>
          <w:sz w:val="20"/>
          <w:szCs w:val="20"/>
          <w:lang w:val="hy-AM"/>
        </w:rPr>
        <w:t>6</w:t>
      </w:r>
      <w:r w:rsidRPr="0073446A">
        <w:rPr>
          <w:rFonts w:ascii="Sylfaen" w:hAnsi="Sylfaen" w:cs="Arial AM"/>
          <w:sz w:val="20"/>
          <w:szCs w:val="20"/>
          <w:lang w:val="hy-AM"/>
        </w:rPr>
        <w:t>/19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="00E0562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Þ¸/1436/02/15</w:t>
      </w:r>
      <w:r w:rsidR="00E0562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դրությամբ կազմում է </w:t>
      </w:r>
      <w:r w:rsidR="00E05621" w:rsidRPr="00E05621">
        <w:rPr>
          <w:rFonts w:ascii="Sylfaen" w:hAnsi="Sylfaen" w:cs="Arial AM"/>
          <w:b/>
          <w:sz w:val="20"/>
          <w:szCs w:val="20"/>
          <w:lang w:val="hy-AM"/>
        </w:rPr>
        <w:t>895233.80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73446A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>հինգ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 xml:space="preserve">2541126.6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>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73446A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0562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01831193</w:t>
      </w:r>
      <w:r w:rsidR="00E0562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E32C24" w:rsidRPr="00914218" w:rsidRDefault="00E32C2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73446A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73446A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73446A">
      <w:pgSz w:w="11906" w:h="16838"/>
      <w:pgMar w:top="36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D2339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446A"/>
    <w:rsid w:val="007357F9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B58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621"/>
    <w:rsid w:val="00E05DBC"/>
    <w:rsid w:val="00E27372"/>
    <w:rsid w:val="00E3028F"/>
    <w:rsid w:val="00E32940"/>
    <w:rsid w:val="00E32C24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45B6D"/>
    <w:rsid w:val="00F55524"/>
    <w:rsid w:val="00FB00FA"/>
    <w:rsid w:val="00FC1EC9"/>
    <w:rsid w:val="00FD264C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524C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176</cp:revision>
  <cp:lastPrinted>2019-03-05T14:48:00Z</cp:lastPrinted>
  <dcterms:created xsi:type="dcterms:W3CDTF">2010-11-05T11:56:00Z</dcterms:created>
  <dcterms:modified xsi:type="dcterms:W3CDTF">2019-03-11T13:11:00Z</dcterms:modified>
</cp:coreProperties>
</file>