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140877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140877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8F1A21">
        <w:rPr>
          <w:rFonts w:ascii="Arial Unicode" w:hAnsi="Arial Unicode"/>
          <w:sz w:val="20"/>
          <w:szCs w:val="20"/>
        </w:rPr>
        <w:t>8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2F4B45">
        <w:rPr>
          <w:rFonts w:ascii="Sylfaen" w:hAnsi="Sylfaen"/>
          <w:lang w:val="en-AU"/>
        </w:rPr>
        <w:t>Սեդա</w:t>
      </w:r>
      <w:proofErr w:type="spellEnd"/>
      <w:r w:rsidR="002F4B45">
        <w:rPr>
          <w:rFonts w:ascii="Sylfaen" w:hAnsi="Sylfaen"/>
          <w:lang w:val="en-AU"/>
        </w:rPr>
        <w:t xml:space="preserve"> </w:t>
      </w:r>
      <w:proofErr w:type="spellStart"/>
      <w:r w:rsidR="002F4B45">
        <w:rPr>
          <w:rFonts w:ascii="Sylfaen" w:hAnsi="Sylfaen"/>
          <w:lang w:val="en-AU"/>
        </w:rPr>
        <w:t>Աբրահամյան</w:t>
      </w:r>
      <w:r w:rsidR="002F4B45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8F1A21">
        <w:rPr>
          <w:rFonts w:ascii="Arial Unicode" w:eastAsia="Sylfaen" w:hAnsi="Arial Unicode" w:cs="Sylfaen"/>
          <w:sz w:val="22"/>
        </w:rPr>
        <w:t>Սեդա</w:t>
      </w:r>
      <w:proofErr w:type="spellEnd"/>
      <w:r w:rsidR="008F1A21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8F1A21">
        <w:rPr>
          <w:rFonts w:ascii="Arial Unicode" w:eastAsia="Sylfaen" w:hAnsi="Arial Unicode" w:cs="Sylfaen"/>
          <w:sz w:val="22"/>
        </w:rPr>
        <w:t>Հարություն</w:t>
      </w:r>
      <w:r w:rsidR="00470565">
        <w:rPr>
          <w:rFonts w:ascii="Arial Unicode" w:eastAsia="Sylfaen" w:hAnsi="Arial Unicode" w:cs="Sylfaen"/>
          <w:sz w:val="22"/>
        </w:rPr>
        <w:t>ի</w:t>
      </w:r>
      <w:proofErr w:type="spellEnd"/>
      <w:r w:rsidR="00470565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470565">
        <w:rPr>
          <w:rFonts w:ascii="Arial Unicode" w:eastAsia="Sylfaen" w:hAnsi="Arial Unicode" w:cs="Sylfaen"/>
          <w:sz w:val="22"/>
        </w:rPr>
        <w:t>Աբրահամյան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8F1A21">
        <w:rPr>
          <w:rFonts w:ascii="Sylfaen" w:eastAsia="Sylfaen" w:hAnsi="Sylfaen" w:cs="Sylfaen"/>
          <w:sz w:val="22"/>
        </w:rPr>
        <w:t>3-րդ</w:t>
      </w:r>
      <w:r w:rsidR="0044283B">
        <w:rPr>
          <w:rFonts w:ascii="Sylfaen" w:eastAsia="Sylfaen" w:hAnsi="Sylfaen" w:cs="Sylfaen"/>
          <w:sz w:val="22"/>
        </w:rPr>
        <w:t xml:space="preserve"> </w:t>
      </w:r>
      <w:r w:rsidR="008F1A21">
        <w:rPr>
          <w:rFonts w:ascii="Sylfaen" w:eastAsia="Sylfaen" w:hAnsi="Sylfaen" w:cs="Sylfaen"/>
          <w:sz w:val="22"/>
        </w:rPr>
        <w:t>4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8F1A21">
        <w:rPr>
          <w:rFonts w:ascii="Sylfaen" w:hAnsi="Sylfaen" w:cs="Sylfaen"/>
        </w:rPr>
        <w:t>11.370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8F1A21">
        <w:rPr>
          <w:rFonts w:ascii="Sylfaen" w:hAnsi="Sylfaen" w:cs="Sylfaen"/>
        </w:rPr>
        <w:t>8126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8F1A21">
        <w:rPr>
          <w:rFonts w:ascii="Sylfaen" w:hAnsi="Sylfaen" w:cs="Sylfaen"/>
        </w:rPr>
        <w:t>3244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735031">
        <w:rPr>
          <w:rFonts w:ascii="Sylfaen" w:hAnsi="Sylfaen" w:cs="Sylfaen"/>
          <w:lang w:val="en-AU"/>
        </w:rPr>
        <w:t>1</w:t>
      </w:r>
      <w:r w:rsidR="00735031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8F1A21">
        <w:rPr>
          <w:rFonts w:ascii="Sylfaen" w:hAnsi="Sylfaen" w:cs="Sylfaen"/>
          <w:lang w:val="en-AU"/>
        </w:rPr>
        <w:t>862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8F1A21">
        <w:rPr>
          <w:rFonts w:ascii="Sylfaen" w:hAnsi="Sylfaen"/>
          <w:lang w:val="en-AU"/>
        </w:rPr>
        <w:t>Սեդա</w:t>
      </w:r>
      <w:proofErr w:type="spellEnd"/>
      <w:r w:rsidR="00470565">
        <w:rPr>
          <w:rFonts w:ascii="Sylfaen" w:hAnsi="Sylfaen"/>
          <w:lang w:val="en-AU"/>
        </w:rPr>
        <w:t xml:space="preserve"> </w:t>
      </w:r>
      <w:proofErr w:type="spellStart"/>
      <w:r w:rsidR="00470565">
        <w:rPr>
          <w:rFonts w:ascii="Sylfaen" w:hAnsi="Sylfaen"/>
          <w:lang w:val="en-AU"/>
        </w:rPr>
        <w:t>Աբրահամյան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8F1A21">
        <w:rPr>
          <w:rFonts w:ascii="Sylfaen" w:hAnsi="Sylfaen" w:cs="Sylfaen"/>
          <w:bCs/>
          <w:noProof/>
        </w:rPr>
        <w:t>11.370</w:t>
      </w:r>
      <w:r w:rsidRPr="0005073C">
        <w:rPr>
          <w:rFonts w:ascii="Sylfaen" w:hAnsi="Sylfaen" w:cs="Sylfaen"/>
          <w:bCs/>
          <w:noProof/>
          <w:lang w:val="en-AU"/>
        </w:rPr>
        <w:t>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8F1A21">
        <w:rPr>
          <w:rFonts w:ascii="Sylfaen" w:hAnsi="Sylfaen" w:cs="Sylfaen"/>
          <w:bCs/>
          <w:noProof/>
        </w:rPr>
        <w:t>8126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8F1A21">
        <w:rPr>
          <w:rFonts w:ascii="Sylfaen" w:hAnsi="Sylfaen" w:cs="Sylfaen"/>
          <w:bCs/>
          <w:noProof/>
        </w:rPr>
        <w:t>3244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40877"/>
    <w:rsid w:val="00167BAF"/>
    <w:rsid w:val="00173BA3"/>
    <w:rsid w:val="00184F81"/>
    <w:rsid w:val="001E38F7"/>
    <w:rsid w:val="0020430A"/>
    <w:rsid w:val="002418A4"/>
    <w:rsid w:val="00253550"/>
    <w:rsid w:val="002F4B45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70565"/>
    <w:rsid w:val="0048046B"/>
    <w:rsid w:val="00491B7C"/>
    <w:rsid w:val="004A142A"/>
    <w:rsid w:val="004B0DD6"/>
    <w:rsid w:val="005067A9"/>
    <w:rsid w:val="0050685B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7C96"/>
    <w:rsid w:val="0068027B"/>
    <w:rsid w:val="006D0D2C"/>
    <w:rsid w:val="006D2AF2"/>
    <w:rsid w:val="00705BB1"/>
    <w:rsid w:val="00721F64"/>
    <w:rsid w:val="00734B58"/>
    <w:rsid w:val="00735031"/>
    <w:rsid w:val="00760985"/>
    <w:rsid w:val="00782D6C"/>
    <w:rsid w:val="0079573B"/>
    <w:rsid w:val="007A6CBF"/>
    <w:rsid w:val="007C5F8F"/>
    <w:rsid w:val="007D6B3F"/>
    <w:rsid w:val="007E6C85"/>
    <w:rsid w:val="00803997"/>
    <w:rsid w:val="00836C85"/>
    <w:rsid w:val="00843410"/>
    <w:rsid w:val="00854707"/>
    <w:rsid w:val="008577C0"/>
    <w:rsid w:val="00871233"/>
    <w:rsid w:val="008748AA"/>
    <w:rsid w:val="008771E4"/>
    <w:rsid w:val="008B5ABE"/>
    <w:rsid w:val="008C09D2"/>
    <w:rsid w:val="008F1A21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63A3"/>
    <w:rsid w:val="00A50667"/>
    <w:rsid w:val="00A718F4"/>
    <w:rsid w:val="00A72100"/>
    <w:rsid w:val="00AB4DBF"/>
    <w:rsid w:val="00AD271C"/>
    <w:rsid w:val="00AF2E3C"/>
    <w:rsid w:val="00B2228B"/>
    <w:rsid w:val="00BD55E5"/>
    <w:rsid w:val="00BD571F"/>
    <w:rsid w:val="00BF686A"/>
    <w:rsid w:val="00C22589"/>
    <w:rsid w:val="00C45A46"/>
    <w:rsid w:val="00C96C78"/>
    <w:rsid w:val="00CA509F"/>
    <w:rsid w:val="00D0388B"/>
    <w:rsid w:val="00D1401B"/>
    <w:rsid w:val="00D160FC"/>
    <w:rsid w:val="00D64275"/>
    <w:rsid w:val="00D8158C"/>
    <w:rsid w:val="00DA3B6B"/>
    <w:rsid w:val="00E04F6C"/>
    <w:rsid w:val="00E33E18"/>
    <w:rsid w:val="00E5162F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70</cp:revision>
  <cp:lastPrinted>2019-01-29T12:18:00Z</cp:lastPrinted>
  <dcterms:created xsi:type="dcterms:W3CDTF">2017-09-19T14:10:00Z</dcterms:created>
  <dcterms:modified xsi:type="dcterms:W3CDTF">2019-02-01T08:29:00Z</dcterms:modified>
</cp:coreProperties>
</file>