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17" w:rsidRPr="00E478D5" w:rsidRDefault="00786217" w:rsidP="00786217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ՈՐՈՇՈՒՄ</w:t>
      </w:r>
    </w:p>
    <w:p w:rsidR="00786217" w:rsidRPr="00E478D5" w:rsidRDefault="00786217" w:rsidP="00786217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Կատարողական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վարույթը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կասեցնելու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մասին</w:t>
      </w:r>
    </w:p>
    <w:p w:rsidR="00786217" w:rsidRPr="00E478D5" w:rsidRDefault="00786217" w:rsidP="00786217">
      <w:pPr>
        <w:tabs>
          <w:tab w:val="left" w:pos="4275"/>
          <w:tab w:val="left" w:pos="633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       </w:t>
      </w:r>
      <w:r w:rsidRPr="00226CD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2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9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.0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4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.2019թ.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ab/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                   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      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                                             </w:t>
      </w:r>
      <w:proofErr w:type="spellStart"/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ք.Երևան</w:t>
      </w:r>
      <w:proofErr w:type="spellEnd"/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Հարկադիր կատարումն</w:t>
      </w:r>
      <w:r w:rsidRPr="00726AE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Pr="00726AE9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Pr="00726AE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ավագ հարկադիր կատարող՝ արդարադատության կապիտան </w:t>
      </w:r>
      <w:proofErr w:type="spellStart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>Սյուզաննա</w:t>
      </w:r>
      <w:proofErr w:type="spellEnd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>Սարգսյանս</w:t>
      </w:r>
      <w:proofErr w:type="spellEnd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26AE9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08.04.2019թ. վերսկսված </w:t>
      </w:r>
      <w:r w:rsidRPr="00726AE9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03962008 կատարողական </w:t>
      </w:r>
      <w:r w:rsidRPr="00726AE9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Pr="00726AE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26AE9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Pr="00726AE9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26AE9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                                        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726AE9">
        <w:rPr>
          <w:rFonts w:ascii="GHEA Grapalat" w:eastAsia="Times New Roman" w:hAnsi="GHEA Grapalat" w:cs="Sylfaen"/>
          <w:b/>
          <w:sz w:val="20"/>
          <w:szCs w:val="20"/>
          <w:lang w:val="af-ZA"/>
        </w:rPr>
        <w:t>ՊԱՐԶԵՑԻ</w:t>
      </w:r>
    </w:p>
    <w:p w:rsidR="00786217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26AE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ՀՀ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Երևան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քաղաքի ընդհանուր իրավասության դատարանի կողմից 01.03.2018թ տրված թիվ ԵԱՔԴ/4776/02/17 կատարողական  թերթի համաձայն պետք է Նաիրի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Մերուժանի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Շահինյանից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հօգուտ «ՎՏԲ-Հայաստան բանկ» ՓԲԸ-ի բռնագանձել 1.478.011,80 ՀՀ դրամ, որից 1.361.000  ՀՀ դրամը` վարկի գումար, որից՝ 287.875,50 (երկու հարյուր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ութսունյոթ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հազար ութ հարյուր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յոթանասունհինգ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ՀՀ դրամ հիսուն լ</w:t>
      </w:r>
      <w:bookmarkStart w:id="0" w:name="_GoBack"/>
      <w:bookmarkEnd w:id="0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ումա ՀՀ դրամը՝ ժամկետանց գումար, 78.743,80 (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յոթանասունութ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հազար յոթ հարյուր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քառասուներեք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ՀՀ դրամ ութսուն լումա ՀՀ դրամը` վարկի դիմաց հաշվարկված տոկոս, որից ժամկետանց տոկոս՝ 78.214,60 (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յոթանասունութ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հազար երկու հարյուր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տասնչորս ՀՀ դրամ վաթսուն լումա 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ՀՀ դրամ, 3.548,30 (երեք հազար հինգ հարյուր քառասունութ ՀՀ դրամ երեսուն լումա ՀՀ դրամը՝ ժամկետանց տոկոսի դիմաց հաշվարկված տույժ, 11.854,90 (տասնմեկ հազար ութ հարյուր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հիսունչորս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ՀՀ դրամ իննսուն լումա¤ ՀՀ դրամը՝ ժամկետանց գումարի դիմաց հաշվարկված տույժ, 22.864,80 (քսաներկու հազար ութ հարյուր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վա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թսունչորս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ՀՀ դրամ ութսուն լումա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ՀՀ դրամը՝ վարկերի սպասարկման հաշիվներ:</w:t>
      </w:r>
    </w:p>
    <w:p w:rsidR="00786217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2. Սկսած 20.11.2017 թվականից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մինչև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ժամկետանց գումարների ամբողջական վճարումը ժամկետանց վարկի մնացորդի և ժամկետանց տոկոսների նկատմամբ, կողմերի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միջև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17.07.2017 թվականին կնքված թիվ ՈՎ_056_17_00660 ոսկյա իրերի գրավադրմամբ վարկային պայմանագրի 6.1 կետին համապատասխան, հաշվեգրել օրական 0,09 տոկոսի չափով տույժ և այդ գումարը բռնագանձել Նաիրի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Մերուժանի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Շահինյանից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հօգուտ «ՎՏԲ-Հայաստան բանկ» ՓԲԸ-ի, իսկ բռնագանձվող գումարի 2 տոկոսը բռնագանձել Նաիրի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Մերուժանի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Շահինյանից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հօգուտ Հայաստանի Հանրապետության` որպես պետական տուրքի գումար:</w:t>
      </w:r>
    </w:p>
    <w:p w:rsidR="00786217" w:rsidRPr="00E478D5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3. Նաիրի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Մերուժանի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Շահինյանից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հօգուտ «ՎՏԲ-Հայաստան բանկ» ՓԲԸ-ի, որպես նախապես վճարված պետական տուրքի գումար, բռնագանձել 29.560,20 (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քսանինը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հազար հինգ հարյուր վաթսուն ՀՀ դրամ քսան լումա) ՀՀ դրամ:  </w:t>
      </w:r>
    </w:p>
    <w:p w:rsidR="00786217" w:rsidRPr="00E478D5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Պահանջատեր «ՎՏԲ-Հայաստան բանկ» ՓԲԸ-ի կողմից հայտնվել է, որ 08.04.2019թ. դրությամբ թիվ ԵԱՔԴ/4776/02/17 կատարողական  թերթով սահմանված պարտավորությունը կազմում է 2.196.028 ՀՀ դրամ։</w:t>
      </w:r>
    </w:p>
    <w:p w:rsidR="00786217" w:rsidRPr="00E478D5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Պարտապանից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պետք է բռնագանձել նաև բռնագանձման ենթակա գումարի 5 տոկոսը՝ որպես կատարողական գործողությունների կատարման ծախս։    </w:t>
      </w:r>
    </w:p>
    <w:p w:rsidR="00786217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Կատարողական գործողությունների ընթացքում պարզվել է, որ պարտավորությունն ապահովված է զարդերի գրավով։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Վերոգրյալի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կապակցությամբ նշանակվել է փորձագետ և փորձագետի եզրակացության համաձայն նշված գույքի շուկայական արժեքը կազմում է 1</w:t>
      </w:r>
      <w:r w:rsidRPr="00CD5910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074</w:t>
      </w:r>
      <w:r w:rsidRPr="00CD5910">
        <w:rPr>
          <w:rFonts w:ascii="GHEA Grapalat" w:eastAsia="Times New Roman" w:hAnsi="GHEA Grapalat" w:cs="Sylfaen"/>
          <w:sz w:val="20"/>
          <w:szCs w:val="20"/>
          <w:lang w:val="hy-AM"/>
        </w:rPr>
        <w:t>.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040 ՀՀ դրամ:</w:t>
      </w:r>
    </w:p>
    <w:p w:rsidR="00786217" w:rsidRPr="00CD5910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Արգելանք է կիրառվել նաև պարտապանի անվամբ հաշվառված MERCEDES-</w:t>
      </w:r>
      <w:r w:rsidRPr="00CD59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BENZ C 180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մակնիշի </w:t>
      </w:r>
      <w:r w:rsidRPr="00CD59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34 RT 507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պետհամարանիշի 1997թ</w:t>
      </w:r>
      <w:r w:rsidRPr="00CD59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.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արտադրության ավտոմեքենայի վրա, որի նկատմամբ հայտարարվել է հետախուզում։</w:t>
      </w:r>
    </w:p>
    <w:p w:rsidR="00786217" w:rsidRPr="00E478D5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Պարտապան Նաիրի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Մերուժանի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Շահինյանից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գումարի բռնագանձման պահանջի վերաբերյալ Հարկա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դիր կատարումն ապահովող ծառայության </w:t>
      </w:r>
      <w:proofErr w:type="spellStart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Pr="00726AE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բաժնում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հարուցված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են նաև 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այլ կատարողական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վարույթներ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։ </w:t>
      </w:r>
    </w:p>
    <w:p w:rsidR="00786217" w:rsidRPr="00E478D5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Կատարողական գործողությունների ընթացքում պարզվել է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,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որ պարտապանի գույքը բավարար չէ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պահանջատիրոջ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պահանջները կատարելու համար:</w:t>
      </w:r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proofErr w:type="spellStart"/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Վերոգրյալի</w:t>
      </w:r>
      <w:proofErr w:type="spellEnd"/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հիման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վրա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և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ղեկավարվելով «</w:t>
      </w:r>
      <w:proofErr w:type="spellStart"/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Սնանկության</w:t>
      </w:r>
      <w:proofErr w:type="spellEnd"/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մասին» ՀՀ օրենքի 6-րդ հոդվածի 2 մասով,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«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Դատական ակտերի հարկադիր կատարման մասին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» 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ՀՀ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>օրենքի</w:t>
      </w:r>
      <w:r w:rsidRPr="00726AE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28-րդ հոդվածով և 37-րդ հոդվածի 8-րդ կետով</w:t>
      </w:r>
      <w:r w:rsidRPr="00726AE9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</w:t>
      </w:r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726AE9">
        <w:rPr>
          <w:rFonts w:ascii="GHEA Grapalat" w:eastAsia="Times New Roman" w:hAnsi="GHEA Grapalat" w:cs="Sylfaen"/>
          <w:b/>
          <w:sz w:val="20"/>
          <w:szCs w:val="20"/>
          <w:lang w:val="af-ZA"/>
        </w:rPr>
        <w:t>ՈՐՈՇԵՑԻ</w:t>
      </w:r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hanging="141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Կասեցնել </w:t>
      </w: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08.04.2019թ. վերսկսված 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թիվ 03962008 կատարողական</w:t>
      </w: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60-օրյա ժամկետով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։</w:t>
      </w:r>
    </w:p>
    <w:p w:rsidR="00786217" w:rsidRPr="00726AE9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hanging="141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Առաջարկել </w:t>
      </w:r>
      <w:proofErr w:type="spellStart"/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>պահանջատիրոջը</w:t>
      </w:r>
      <w:proofErr w:type="spellEnd"/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և պարտապանին նրանցից </w:t>
      </w:r>
      <w:proofErr w:type="spellStart"/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>որևէ</w:t>
      </w:r>
      <w:proofErr w:type="spellEnd"/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>սնանկ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հայց ներկայացնել դատարան։</w:t>
      </w:r>
    </w:p>
    <w:p w:rsidR="00786217" w:rsidRPr="00E478D5" w:rsidRDefault="00786217" w:rsidP="00786217">
      <w:pPr>
        <w:tabs>
          <w:tab w:val="center" w:pos="4320"/>
          <w:tab w:val="left" w:pos="5325"/>
        </w:tabs>
        <w:spacing w:after="0" w:line="240" w:lineRule="auto"/>
        <w:ind w:left="-426" w:right="-846" w:hanging="141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www.azdarar.am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ինտերնետային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proofErr w:type="spellStart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կայքում</w:t>
      </w:r>
      <w:proofErr w:type="spellEnd"/>
      <w:r w:rsidRPr="00E478D5">
        <w:rPr>
          <w:rFonts w:ascii="GHEA Grapalat" w:eastAsia="Times New Roman" w:hAnsi="GHEA Grapalat" w:cs="Sylfaen"/>
          <w:sz w:val="20"/>
          <w:szCs w:val="20"/>
          <w:lang w:val="hy-AM"/>
        </w:rPr>
        <w:t>:</w:t>
      </w:r>
    </w:p>
    <w:p w:rsidR="00786217" w:rsidRPr="00E478D5" w:rsidRDefault="00786217" w:rsidP="00786217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786217" w:rsidRPr="00E478D5" w:rsidRDefault="00786217" w:rsidP="00786217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E478D5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786217" w:rsidRPr="00E478D5" w:rsidRDefault="00786217" w:rsidP="00786217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E478D5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E478D5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E478D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  <w:r>
        <w:rPr>
          <w:rFonts w:ascii="GHEA Grapalat" w:eastAsia="Times New Roman" w:hAnsi="GHEA Grapalat" w:cs="Sylfaen"/>
          <w:sz w:val="18"/>
          <w:szCs w:val="18"/>
          <w:lang w:val="hy-AM"/>
        </w:rPr>
        <w:t>։</w:t>
      </w:r>
    </w:p>
    <w:p w:rsidR="00786217" w:rsidRDefault="00786217" w:rsidP="00786217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</w:t>
      </w:r>
    </w:p>
    <w:p w:rsidR="00786217" w:rsidRPr="00E478D5" w:rsidRDefault="00786217" w:rsidP="00786217">
      <w:pPr>
        <w:tabs>
          <w:tab w:val="left" w:pos="7650"/>
        </w:tabs>
        <w:spacing w:after="0" w:line="240" w:lineRule="auto"/>
        <w:ind w:left="-426" w:right="-846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26AE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>Ավագ  հ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արկադիր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af-ZA"/>
        </w:rPr>
        <w:t>կատարող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                                                        </w:t>
      </w:r>
    </w:p>
    <w:p w:rsidR="00786217" w:rsidRPr="00E478D5" w:rsidRDefault="00786217" w:rsidP="00786217">
      <w:pPr>
        <w:tabs>
          <w:tab w:val="left" w:pos="5370"/>
        </w:tabs>
        <w:spacing w:after="0" w:line="240" w:lineRule="auto"/>
        <w:ind w:left="-426" w:right="-846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Արդարադատության կապիտան         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         </w:t>
      </w:r>
      <w:proofErr w:type="spellStart"/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>Սյուզաննա</w:t>
      </w:r>
      <w:proofErr w:type="spellEnd"/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Սարգս</w:t>
      </w:r>
      <w:r w:rsidRPr="00E478D5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յան</w:t>
      </w:r>
      <w:r w:rsidRPr="00E478D5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</w:t>
      </w:r>
    </w:p>
    <w:p w:rsidR="00786217" w:rsidRPr="00E478D5" w:rsidRDefault="00786217" w:rsidP="00786217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337698" w:rsidRPr="00786217" w:rsidRDefault="00337698">
      <w:pPr>
        <w:rPr>
          <w:lang w:val="hy-AM"/>
        </w:rPr>
      </w:pPr>
    </w:p>
    <w:sectPr w:rsidR="00337698" w:rsidRPr="00786217" w:rsidSect="00786217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7"/>
    <w:rsid w:val="00337698"/>
    <w:rsid w:val="00786217"/>
    <w:rsid w:val="00E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12B77-95B6-456D-8F50-A29656B5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Arabkir-19</dc:creator>
  <cp:keywords/>
  <dc:description/>
  <cp:lastModifiedBy>Arabkir-19</cp:lastModifiedBy>
  <cp:revision>2</cp:revision>
  <dcterms:created xsi:type="dcterms:W3CDTF">2019-04-29T10:55:00Z</dcterms:created>
  <dcterms:modified xsi:type="dcterms:W3CDTF">2019-04-29T10:55:00Z</dcterms:modified>
</cp:coreProperties>
</file>