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32" w:rsidRDefault="00C61432" w:rsidP="00C61432">
      <w:pPr>
        <w:rPr>
          <w:rFonts w:ascii="GHEA Grapalat" w:hAnsi="GHEA Grapalat" w:cs="Sylfaen"/>
          <w:b/>
          <w:bCs/>
        </w:rPr>
      </w:pPr>
    </w:p>
    <w:p w:rsidR="00C61432" w:rsidRDefault="00C61432" w:rsidP="00C61432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C61432" w:rsidRDefault="00C61432" w:rsidP="00C61432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C61432" w:rsidRDefault="00C61432" w:rsidP="00C61432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C61432" w:rsidRDefault="00C917E7" w:rsidP="00C61432">
      <w:pPr>
        <w:rPr>
          <w:rFonts w:ascii="GHEA Grapalat" w:hAnsi="GHEA Grapalat" w:cs="Sylfaen"/>
          <w:bCs/>
          <w:sz w:val="20"/>
        </w:rPr>
      </w:pPr>
      <w:r w:rsidRPr="00C917E7">
        <w:rPr>
          <w:rFonts w:ascii="GHEA Grapalat" w:hAnsi="GHEA Grapalat"/>
          <w:sz w:val="20"/>
        </w:rPr>
        <w:t>06</w:t>
      </w:r>
      <w:r>
        <w:rPr>
          <w:rFonts w:ascii="GHEA Grapalat" w:hAnsi="GHEA Grapalat"/>
          <w:sz w:val="20"/>
        </w:rPr>
        <w:t>.06</w:t>
      </w:r>
      <w:r w:rsidR="00D61446">
        <w:rPr>
          <w:rFonts w:ascii="GHEA Grapalat" w:hAnsi="GHEA Grapalat"/>
          <w:sz w:val="20"/>
        </w:rPr>
        <w:t>.2019</w:t>
      </w:r>
      <w:r w:rsidR="00C61432">
        <w:rPr>
          <w:rFonts w:ascii="GHEA Grapalat" w:hAnsi="GHEA Grapalat"/>
          <w:sz w:val="20"/>
        </w:rPr>
        <w:t>թ</w:t>
      </w:r>
      <w:r w:rsidR="00C61432">
        <w:rPr>
          <w:rFonts w:ascii="GHEA Grapalat" w:hAnsi="GHEA Grapalat" w:cs="Sylfaen"/>
          <w:bCs/>
          <w:sz w:val="20"/>
        </w:rPr>
        <w:t>.                                                                                                                  ք.Երևան</w:t>
      </w:r>
    </w:p>
    <w:p w:rsidR="00C61432" w:rsidRDefault="00C61432" w:rsidP="00C61432">
      <w:pPr>
        <w:jc w:val="both"/>
        <w:rPr>
          <w:rFonts w:ascii="GHEA Grapalat" w:hAnsi="GHEA Grapalat" w:cs="Sylfaen"/>
          <w:i/>
          <w:sz w:val="20"/>
        </w:rPr>
      </w:pPr>
    </w:p>
    <w:p w:rsidR="00C61432" w:rsidRDefault="00C61432" w:rsidP="00C61432">
      <w:pPr>
        <w:ind w:right="-23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Calibri" w:hAnsi="Calibri" w:cs="Sylfaen"/>
          <w:sz w:val="20"/>
          <w:szCs w:val="20"/>
        </w:rPr>
        <w:t>    </w:t>
      </w:r>
      <w:r>
        <w:rPr>
          <w:rFonts w:ascii="GHEA Grapalat" w:hAnsi="GHEA Grapalat" w:cs="Sylfaen"/>
          <w:sz w:val="20"/>
          <w:szCs w:val="20"/>
        </w:rPr>
        <w:t>Հարկադիր կատարումն ապահովող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Երևան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քաղաքի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 ավագ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հարկադիր կատարող Ռ.Նամաթյանս</w:t>
      </w:r>
      <w:r w:rsidR="00C917E7">
        <w:rPr>
          <w:rFonts w:ascii="GHEA Grapalat" w:hAnsi="GHEA Grapalat" w:cs="Sylfaen"/>
          <w:bCs/>
          <w:sz w:val="20"/>
          <w:szCs w:val="20"/>
        </w:rPr>
        <w:t>, ուսումնասիրելով 01.03</w:t>
      </w:r>
      <w:r w:rsidR="00D61446">
        <w:rPr>
          <w:rFonts w:ascii="GHEA Grapalat" w:hAnsi="GHEA Grapalat" w:cs="Sylfaen"/>
          <w:bCs/>
          <w:sz w:val="20"/>
          <w:szCs w:val="20"/>
        </w:rPr>
        <w:t>.2019</w:t>
      </w:r>
      <w:r>
        <w:rPr>
          <w:rFonts w:ascii="GHEA Grapalat" w:hAnsi="GHEA Grapalat" w:cs="Sylfaen"/>
          <w:bCs/>
          <w:sz w:val="20"/>
          <w:szCs w:val="20"/>
        </w:rPr>
        <w:t>թ. վերսկսված</w:t>
      </w:r>
      <w:r>
        <w:rPr>
          <w:rFonts w:ascii="GHEA Grapalat" w:hAnsi="GHEA Grapalat"/>
          <w:sz w:val="20"/>
          <w:szCs w:val="20"/>
        </w:rPr>
        <w:t xml:space="preserve"> թիվ </w:t>
      </w:r>
      <w:r w:rsidR="00C917E7" w:rsidRPr="00C917E7">
        <w:rPr>
          <w:rFonts w:ascii="GHEA Grapalat" w:hAnsi="GHEA Grapalat"/>
          <w:bCs/>
          <w:sz w:val="20"/>
          <w:szCs w:val="20"/>
        </w:rPr>
        <w:t>02777200</w:t>
      </w:r>
      <w:r w:rsidR="00D61446">
        <w:rPr>
          <w:rFonts w:ascii="GHEA Grapalat" w:hAnsi="GHEA Grapalat"/>
          <w:bCs/>
          <w:sz w:val="20"/>
          <w:szCs w:val="20"/>
        </w:rPr>
        <w:t xml:space="preserve"> </w:t>
      </w:r>
      <w:r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C61432" w:rsidRDefault="00C61432" w:rsidP="00C61432">
      <w:pPr>
        <w:spacing w:line="276" w:lineRule="auto"/>
        <w:ind w:right="-23"/>
        <w:jc w:val="both"/>
        <w:rPr>
          <w:rFonts w:ascii="GHEA Grapalat" w:hAnsi="GHEA Grapalat" w:cs="Sylfaen"/>
          <w:b/>
          <w:bCs/>
          <w:i/>
        </w:rPr>
      </w:pPr>
    </w:p>
    <w:p w:rsidR="00C61432" w:rsidRDefault="00C61432" w:rsidP="00C61432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</w:t>
      </w:r>
    </w:p>
    <w:p w:rsidR="00C61432" w:rsidRDefault="00C61432" w:rsidP="00C61432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 Պ Ա Ր Զ Ե Ց Ի</w:t>
      </w:r>
    </w:p>
    <w:p w:rsidR="00CD14AC" w:rsidRDefault="00C61432" w:rsidP="00C61432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քաղաքի </w:t>
      </w:r>
      <w:proofErr w:type="spellStart"/>
      <w:r w:rsidR="00C917E7">
        <w:rPr>
          <w:rFonts w:ascii="GHEA Grapalat" w:hAnsi="GHEA Grapalat"/>
          <w:color w:val="000000" w:themeColor="text1"/>
          <w:sz w:val="20"/>
          <w:szCs w:val="20"/>
          <w:lang w:val="hy-AM"/>
        </w:rPr>
        <w:t>Կենտորն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 </w:t>
      </w:r>
      <w:r w:rsidR="00C917E7">
        <w:rPr>
          <w:rFonts w:ascii="GHEA Grapalat" w:hAnsi="GHEA Grapalat"/>
          <w:color w:val="000000" w:themeColor="text1"/>
          <w:sz w:val="20"/>
          <w:szCs w:val="20"/>
          <w:lang w:val="hy-AM"/>
        </w:rPr>
        <w:t>Նորք-Մարաշ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վարչական շրջանների ընդհանուր իրավասության </w:t>
      </w:r>
      <w:r w:rsidR="00C917E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առաջին ատյանի դատարանի կողմից </w:t>
      </w:r>
      <w:proofErr w:type="spellStart"/>
      <w:r w:rsidR="00C917E7">
        <w:rPr>
          <w:rFonts w:ascii="GHEA Grapalat" w:hAnsi="GHEA Grapalat"/>
          <w:color w:val="000000" w:themeColor="text1"/>
          <w:sz w:val="20"/>
          <w:szCs w:val="20"/>
          <w:lang w:val="hy-AM"/>
        </w:rPr>
        <w:t>23.11.2016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թ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տրված թիվ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Ե</w:t>
      </w:r>
      <w:r w:rsidR="00C917E7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Դ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/</w:t>
      </w:r>
      <w:r w:rsidR="00C917E7">
        <w:rPr>
          <w:rFonts w:ascii="GHEA Grapalat" w:hAnsi="GHEA Grapalat"/>
          <w:color w:val="000000" w:themeColor="text1"/>
          <w:sz w:val="20"/>
          <w:szCs w:val="20"/>
          <w:lang w:val="hy-AM"/>
        </w:rPr>
        <w:t>1306/17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/16 կատարողական թերթի համաձայն պետք է 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Գագիկ Կարենի </w:t>
      </w:r>
      <w:proofErr w:type="spellStart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Զաքարյանից</w:t>
      </w:r>
      <w:proofErr w:type="spellEnd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հօգուտ «Գլոբալ Կրեդիտ» </w:t>
      </w:r>
      <w:proofErr w:type="spellStart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ՈւՎԿ</w:t>
      </w:r>
      <w:proofErr w:type="spellEnd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ՓԲԸ</w:t>
      </w:r>
      <w:proofErr w:type="spellEnd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բռնագանձել 271․367,20 ՀՀ դրամ՝ որպես </w:t>
      </w:r>
      <w:proofErr w:type="spellStart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14</w:t>
      </w:r>
      <w:r w:rsidR="00C917E7" w:rsidRP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.04.2016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թ</w:t>
      </w:r>
      <w:proofErr w:type="spellEnd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դրությամբ վարկային պայմանագրով ստանձնած պարտավորության ընդհանուր պարտքի գումար, որից 231</w:t>
      </w:r>
      <w:r w:rsidR="00C917E7" w:rsidRP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.127,40 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ՀՀ դրամը՝ որպես վարկի հիմնական գումարի մնացորդ, որից 47</w:t>
      </w:r>
      <w:r w:rsidR="00C917E7" w:rsidRP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.167,80 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ՀՀ դրամ՝ որպես </w:t>
      </w:r>
      <w:proofErr w:type="spellStart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14․04․2016թ</w:t>
      </w:r>
      <w:proofErr w:type="spellEnd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դրությամբ հաշվարկված տոկոսագումար, որից ժամկետանց՝ 8</w:t>
      </w:r>
      <w:r w:rsidR="00C917E7" w:rsidRP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.702,90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ՀՀ դրամ և 1</w:t>
      </w:r>
      <w:r w:rsidR="00C917E7" w:rsidRP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.393,30 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ՀՀ դրամ՝ որպես հաշվարկված </w:t>
      </w:r>
      <w:proofErr w:type="spellStart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ժամկետանցգումարի</w:t>
      </w:r>
      <w:proofErr w:type="spellEnd"/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տույժ, 2</w:t>
      </w:r>
      <w:r w:rsidR="00C917E7" w:rsidRP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.033,20 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ՀՀ դրամ որպես ժամկետանց տոկոսի տույժ և 18</w:t>
      </w:r>
      <w:r w:rsidR="00C917E7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="00C917E7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000 ՀՀ դրամ՝ որպես չվճարված </w:t>
      </w:r>
      <w:r w:rsidR="00790C44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ամսական սպասարկման միջնորդա</w:t>
      </w:r>
      <w:r w:rsidR="00CD14A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վճար։</w:t>
      </w:r>
    </w:p>
    <w:p w:rsidR="00C61432" w:rsidRDefault="00CD14AC" w:rsidP="00C61432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Հիմք ընդունելով վարկային պայմանագրի 1</w:t>
      </w:r>
      <w:r w:rsidRPr="00CD14A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.2-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կետը, վարկի գումարի մնացորդի նկատմամբ շարունակել հաշվարկվել և բռնագանձել տարեկան 24 տոկոս՝ սկսած 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15</w:t>
      </w:r>
      <w:r w:rsidRPr="00CD14A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.04.2016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թ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մինչև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պարտավորության ամբողջական մարումը բայց ոչ ավել քան վարկային պայմանագրի ժամկետի ավարտը՝ 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12</w:t>
      </w:r>
      <w:r w:rsidRPr="00CD14A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.10.2016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թ</w:t>
      </w:r>
      <w:proofErr w:type="spellEnd"/>
      <w:r w:rsidR="00C61432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:</w:t>
      </w:r>
    </w:p>
    <w:p w:rsidR="00CD14AC" w:rsidRPr="00CD14AC" w:rsidRDefault="00CD14AC" w:rsidP="00C61432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Պահանջատեր «Գլոբալ Կրեդիտ» 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ՈւՎԿ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ՓԲԸ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գրությամբ հայտնել է, որ Գագիկ Կարենի Զաքարյանի պարտավորությունն 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15</w:t>
      </w:r>
      <w:r w:rsidRPr="00CD14A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.02.2019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թ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դրությամբ կազմում է 1</w:t>
      </w:r>
      <w:r w:rsidRPr="00CD14AC">
        <w:rPr>
          <w:rFonts w:ascii="Calibri" w:hAnsi="Calibri" w:cs="Calibri"/>
          <w:color w:val="000000" w:themeColor="text1"/>
          <w:sz w:val="20"/>
          <w:szCs w:val="20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277</w:t>
      </w:r>
      <w:r>
        <w:rPr>
          <w:rFonts w:ascii="Calibri" w:hAnsi="Calibri" w:cs="Calibri"/>
          <w:color w:val="000000" w:themeColor="text1"/>
          <w:sz w:val="20"/>
          <w:szCs w:val="20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101,9</w:t>
      </w:r>
      <w:r w:rsidRPr="00CD14A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ՀՀ դրամ։</w:t>
      </w:r>
    </w:p>
    <w:p w:rsidR="00C61432" w:rsidRDefault="00C61432" w:rsidP="00C61432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Ինչպես նաև </w:t>
      </w:r>
      <w:proofErr w:type="spellStart"/>
      <w:r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C61432" w:rsidRDefault="00C61432" w:rsidP="00C61432">
      <w:pPr>
        <w:spacing w:line="276" w:lineRule="auto"/>
        <w:jc w:val="both"/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</w:pPr>
      <w:r>
        <w:rPr>
          <w:rFonts w:ascii="GHEA Grapalat" w:hAnsi="GHEA Grapalat"/>
          <w:bCs/>
          <w:color w:val="000000" w:themeColor="text1"/>
          <w:sz w:val="20"/>
          <w:szCs w:val="20"/>
        </w:rPr>
        <w:t xml:space="preserve">      Կատարողական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վարույթով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բռնագանձման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վերաբերյալ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վճռի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հարկադիր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կատարման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ընթացքում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 xml:space="preserve">պարտապան </w:t>
      </w:r>
      <w:r w:rsidR="00CD14AC">
        <w:rPr>
          <w:rFonts w:ascii="GHEA Grapalat" w:hAnsi="GHEA Grapalat" w:cs="Arial"/>
          <w:color w:val="000000" w:themeColor="text1"/>
          <w:sz w:val="20"/>
          <w:szCs w:val="20"/>
        </w:rPr>
        <w:t>Գագիկ Զաքարյանի</w:t>
      </w:r>
      <w:r>
        <w:rPr>
          <w:rFonts w:ascii="GHEA Grapalat" w:hAnsi="GHEA Grapalat" w:cs="Arial"/>
          <w:color w:val="000000" w:themeColor="text1"/>
          <w:sz w:val="20"/>
          <w:szCs w:val="20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գույքի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վրա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բռնագանձում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տարածելու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պարագայում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պարզվել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է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0"/>
          <w:szCs w:val="20"/>
        </w:rPr>
        <w:t>որ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այդ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գույքը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օրենքով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սահմանված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նվազագույն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աշխատավարձի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հազարապատիկի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և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ավելի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չափով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բավարար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չէ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պահանջատիրոջ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հանդեպ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պարտավորությունների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ամբողջական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կատարումն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ապահովելու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համար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C61432" w:rsidRDefault="00C61432" w:rsidP="00C61432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C61432" w:rsidRDefault="00C61432" w:rsidP="00C61432">
      <w:pPr>
        <w:ind w:right="-23"/>
        <w:jc w:val="center"/>
        <w:rPr>
          <w:rFonts w:ascii="GHEA Grapalat" w:hAnsi="GHEA Grapalat" w:cs="Sylfaen"/>
          <w:b/>
          <w:bCs/>
        </w:rPr>
      </w:pPr>
    </w:p>
    <w:p w:rsidR="00C61432" w:rsidRDefault="00C61432" w:rsidP="00C61432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C61432" w:rsidRDefault="00CD14AC" w:rsidP="00C61432">
      <w:pPr>
        <w:ind w:right="-23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  01.03</w:t>
      </w:r>
      <w:r w:rsidR="00D61446">
        <w:rPr>
          <w:rFonts w:ascii="GHEA Grapalat" w:hAnsi="GHEA Grapalat" w:cs="Sylfaen"/>
          <w:bCs/>
          <w:sz w:val="20"/>
          <w:szCs w:val="20"/>
        </w:rPr>
        <w:t>.2019</w:t>
      </w:r>
      <w:r w:rsidR="00C61432">
        <w:rPr>
          <w:rFonts w:ascii="GHEA Grapalat" w:hAnsi="GHEA Grapalat" w:cs="Sylfaen"/>
          <w:bCs/>
          <w:sz w:val="20"/>
          <w:szCs w:val="20"/>
        </w:rPr>
        <w:t xml:space="preserve">թ. վերսկսված </w:t>
      </w:r>
      <w:r w:rsidR="00C61432">
        <w:rPr>
          <w:rFonts w:ascii="GHEA Grapalat" w:hAnsi="GHEA Grapalat"/>
          <w:sz w:val="20"/>
          <w:szCs w:val="20"/>
        </w:rPr>
        <w:t xml:space="preserve">թիվ </w:t>
      </w:r>
      <w:r>
        <w:rPr>
          <w:rFonts w:ascii="GHEA Grapalat" w:hAnsi="GHEA Grapalat"/>
          <w:bCs/>
          <w:sz w:val="20"/>
          <w:szCs w:val="20"/>
        </w:rPr>
        <w:t>02777200</w:t>
      </w:r>
      <w:r w:rsidR="00C61432">
        <w:rPr>
          <w:rFonts w:ascii="GHEA Grapalat" w:hAnsi="GHEA Grapalat"/>
          <w:bCs/>
          <w:sz w:val="20"/>
          <w:szCs w:val="20"/>
        </w:rPr>
        <w:t xml:space="preserve"> կատարողական վարույթը 60-օրյա ժամկետով.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61432" w:rsidRDefault="00C61432" w:rsidP="00C61432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>
        <w:rPr>
          <w:rFonts w:ascii="GHEA Grapalat" w:hAnsi="GHEA Grapalat"/>
          <w:b/>
          <w:bCs/>
          <w:sz w:val="18"/>
          <w:szCs w:val="18"/>
        </w:rPr>
        <w:t>Սույն որոշումը երկու աշխատանքային օրվա ընթացքում հրապարակել www.azdarar.am ինտերնետային կայքում.</w:t>
      </w:r>
    </w:p>
    <w:p w:rsidR="00C61432" w:rsidRDefault="00C61432" w:rsidP="00C61432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>
        <w:rPr>
          <w:rFonts w:ascii="GHEA Grapalat" w:hAnsi="GHEA Grapalat" w:cs="Sylfaen"/>
          <w:b/>
          <w:bCs/>
          <w:sz w:val="18"/>
          <w:szCs w:val="18"/>
        </w:rPr>
        <w:t>Որոշման պատճեն ուղարկել կողմերին։</w:t>
      </w:r>
    </w:p>
    <w:p w:rsidR="00C61432" w:rsidRDefault="00C61432" w:rsidP="00C61432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>
        <w:rPr>
          <w:rFonts w:ascii="GHEA Grapalat" w:hAnsi="GHEA Grapalat" w:cs="Sylfaen"/>
          <w:b/>
          <w:bCs/>
          <w:sz w:val="18"/>
          <w:szCs w:val="18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</w:rPr>
      </w:pP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305D24">
        <w:rPr>
          <w:rFonts w:ascii="GHEA Grapalat" w:hAnsi="GHEA Grapalat" w:cs="Sylfaen"/>
          <w:b/>
          <w:bCs/>
          <w:sz w:val="22"/>
          <w:szCs w:val="22"/>
        </w:rPr>
        <w:t>կապիտան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</w:rPr>
      </w:pPr>
    </w:p>
    <w:p w:rsidR="00C61432" w:rsidRDefault="00C61432" w:rsidP="00C61432">
      <w:pPr>
        <w:rPr>
          <w:rFonts w:ascii="GHEA Grapalat" w:hAnsi="GHEA Grapalat" w:cs="Sylfaen"/>
          <w:bCs/>
          <w:i/>
          <w:sz w:val="28"/>
          <w:szCs w:val="28"/>
        </w:rPr>
      </w:pPr>
    </w:p>
    <w:p w:rsidR="00C61432" w:rsidRDefault="00C61432" w:rsidP="00C61432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lastRenderedPageBreak/>
        <w:t xml:space="preserve"> </w:t>
      </w:r>
      <w:r>
        <w:rPr>
          <w:i/>
          <w:lang w:val="en-US" w:eastAsia="en-US"/>
        </w:rPr>
        <w:drawing>
          <wp:inline distT="0" distB="0" distL="0" distR="0">
            <wp:extent cx="981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2" w:rsidRDefault="00C61432" w:rsidP="00C61432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C61432" w:rsidRDefault="00C61432" w:rsidP="00C61432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C61432" w:rsidRDefault="00C61432" w:rsidP="00C61432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55139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C61432" w:rsidRDefault="00C61432" w:rsidP="00C61432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 xml:space="preserve">__________________                                                        </w:t>
      </w:r>
      <w:r w:rsidRPr="00D61446">
        <w:rPr>
          <w:rFonts w:ascii="GHEA Grapalat" w:hAnsi="GHEA Grapalat"/>
          <w:bCs/>
          <w:sz w:val="22"/>
          <w:szCs w:val="22"/>
        </w:rPr>
        <w:t xml:space="preserve">  </w:t>
      </w:r>
      <w:r>
        <w:rPr>
          <w:rFonts w:ascii="GHEA Grapalat" w:hAnsi="GHEA Grapalat"/>
          <w:bCs/>
          <w:sz w:val="22"/>
          <w:szCs w:val="22"/>
        </w:rPr>
        <w:t xml:space="preserve">  0078, Երևան, Հալաբյան 41ա</w:t>
      </w:r>
    </w:p>
    <w:p w:rsidR="00C61432" w:rsidRDefault="00D61446" w:rsidP="00C61432">
      <w:pPr>
        <w:rPr>
          <w:rFonts w:ascii="GHEA Grapalat" w:hAnsi="GHEA Grapalat" w:cs="Tahoma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_______/_______/2019</w:t>
      </w:r>
      <w:r w:rsidR="00C61432">
        <w:rPr>
          <w:rFonts w:ascii="GHEA Grapalat" w:hAnsi="GHEA Grapalat"/>
          <w:sz w:val="22"/>
          <w:szCs w:val="22"/>
        </w:rPr>
        <w:t>թ.</w:t>
      </w:r>
      <w:r w:rsidR="00C61432">
        <w:rPr>
          <w:rFonts w:ascii="GHEA Grapalat" w:hAnsi="GHEA Grapalat"/>
          <w:bCs/>
          <w:sz w:val="22"/>
          <w:szCs w:val="22"/>
        </w:rPr>
        <w:t xml:space="preserve">                                                           </w:t>
      </w:r>
      <w:r w:rsidR="00C61432" w:rsidRPr="00D61446">
        <w:rPr>
          <w:rFonts w:ascii="GHEA Grapalat" w:hAnsi="GHEA Grapalat"/>
          <w:bCs/>
          <w:sz w:val="22"/>
          <w:szCs w:val="22"/>
        </w:rPr>
        <w:t xml:space="preserve">        </w:t>
      </w:r>
      <w:r w:rsidR="00C61432">
        <w:rPr>
          <w:rFonts w:ascii="GHEA Grapalat" w:hAnsi="GHEA Grapalat"/>
          <w:bCs/>
          <w:sz w:val="22"/>
          <w:szCs w:val="22"/>
        </w:rPr>
        <w:t xml:space="preserve">     Հեռ. /060/ </w:t>
      </w:r>
      <w:r w:rsidR="00C61432">
        <w:rPr>
          <w:rFonts w:ascii="GHEA Grapalat" w:hAnsi="GHEA Grapalat" w:cs="Tahoma"/>
          <w:sz w:val="22"/>
          <w:szCs w:val="22"/>
        </w:rPr>
        <w:t xml:space="preserve">570-451 </w:t>
      </w:r>
    </w:p>
    <w:p w:rsidR="00C61432" w:rsidRDefault="00C61432" w:rsidP="00C61432">
      <w:pPr>
        <w:rPr>
          <w:rFonts w:ascii="GHEA Grapalat" w:hAnsi="GHEA Grapalat" w:cs="Tahoma"/>
        </w:rPr>
      </w:pPr>
    </w:p>
    <w:p w:rsidR="00CD14AC" w:rsidRDefault="00CD14AC" w:rsidP="00CD14AC">
      <w:pPr>
        <w:ind w:firstLine="540"/>
        <w:jc w:val="right"/>
        <w:rPr>
          <w:rFonts w:ascii="GHEA Grapalat" w:hAnsi="GHEA Grapalat"/>
          <w:b/>
        </w:rPr>
      </w:pPr>
    </w:p>
    <w:p w:rsidR="00CD14AC" w:rsidRDefault="00CD14AC" w:rsidP="00CD14AC">
      <w:pPr>
        <w:ind w:firstLine="540"/>
        <w:jc w:val="right"/>
        <w:rPr>
          <w:rFonts w:ascii="GHEA Grapalat" w:hAnsi="GHEA Grapalat"/>
          <w:b/>
        </w:rPr>
      </w:pPr>
    </w:p>
    <w:p w:rsidR="00CD14AC" w:rsidRPr="00517A6B" w:rsidRDefault="00CD14AC" w:rsidP="00CD14AC">
      <w:pPr>
        <w:ind w:firstLine="540"/>
        <w:jc w:val="right"/>
        <w:rPr>
          <w:rFonts w:ascii="GHEA Grapalat" w:hAnsi="GHEA Grapalat"/>
          <w:b/>
        </w:rPr>
      </w:pPr>
      <w:r w:rsidRPr="00517A6B">
        <w:rPr>
          <w:rFonts w:ascii="GHEA Grapalat" w:hAnsi="GHEA Grapalat"/>
          <w:b/>
        </w:rPr>
        <w:t>«Գլոբալ Կրեդիտ» ՈւՎԿ ՓԲԸ</w:t>
      </w:r>
    </w:p>
    <w:p w:rsidR="00CD14AC" w:rsidRPr="00517A6B" w:rsidRDefault="00CD14AC" w:rsidP="00CD14AC">
      <w:pPr>
        <w:ind w:firstLine="540"/>
        <w:jc w:val="right"/>
        <w:rPr>
          <w:rFonts w:ascii="GHEA Grapalat" w:eastAsia="MS Mincho" w:hAnsi="GHEA Grapalat" w:cs="MS Mincho"/>
          <w:b/>
        </w:rPr>
      </w:pPr>
      <w:r w:rsidRPr="00517A6B">
        <w:rPr>
          <w:rFonts w:ascii="GHEA Grapalat" w:hAnsi="GHEA Grapalat"/>
          <w:b/>
        </w:rPr>
        <w:t>/ք</w:t>
      </w:r>
      <w:r w:rsidRPr="00517A6B">
        <w:rPr>
          <w:rFonts w:ascii="MS Mincho" w:eastAsia="MS Mincho" w:hAnsi="MS Mincho" w:cs="MS Mincho" w:hint="eastAsia"/>
          <w:b/>
        </w:rPr>
        <w:t>․</w:t>
      </w:r>
      <w:r w:rsidRPr="00517A6B">
        <w:rPr>
          <w:rFonts w:ascii="GHEA Grapalat" w:eastAsia="MS Mincho" w:hAnsi="GHEA Grapalat" w:cs="MS Mincho"/>
          <w:b/>
        </w:rPr>
        <w:t>Երևան, Սասնա Ծռեր 2շ</w:t>
      </w:r>
      <w:r w:rsidRPr="00517A6B">
        <w:rPr>
          <w:rFonts w:ascii="MS Mincho" w:eastAsia="MS Mincho" w:hAnsi="MS Mincho" w:cs="MS Mincho" w:hint="eastAsia"/>
          <w:b/>
        </w:rPr>
        <w:t>․</w:t>
      </w:r>
      <w:r w:rsidRPr="00517A6B">
        <w:rPr>
          <w:rFonts w:ascii="GHEA Grapalat" w:eastAsia="MS Mincho" w:hAnsi="GHEA Grapalat" w:cs="MS Mincho"/>
          <w:b/>
        </w:rPr>
        <w:t>, 251 տար/</w:t>
      </w:r>
    </w:p>
    <w:p w:rsidR="00C61432" w:rsidRDefault="00C61432" w:rsidP="00C61432">
      <w:pPr>
        <w:ind w:firstLine="720"/>
        <w:jc w:val="right"/>
        <w:rPr>
          <w:rFonts w:ascii="GHEA Grapalat" w:hAnsi="GHEA Grapalat"/>
          <w:b/>
        </w:rPr>
      </w:pPr>
    </w:p>
    <w:p w:rsidR="00C61432" w:rsidRDefault="00C61432" w:rsidP="00C61432">
      <w:pPr>
        <w:ind w:firstLine="720"/>
        <w:jc w:val="right"/>
        <w:rPr>
          <w:rFonts w:ascii="GHEA Grapalat" w:hAnsi="GHEA Grapalat"/>
          <w:b/>
        </w:rPr>
      </w:pPr>
    </w:p>
    <w:p w:rsidR="00C61432" w:rsidRDefault="00CD14AC" w:rsidP="00C61432">
      <w:pPr>
        <w:ind w:firstLine="72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Գագիկ Զաքարյանին</w:t>
      </w:r>
    </w:p>
    <w:p w:rsidR="00C61432" w:rsidRPr="00D61446" w:rsidRDefault="00D61446" w:rsidP="00C61432">
      <w:pPr>
        <w:ind w:firstLine="720"/>
        <w:jc w:val="right"/>
        <w:rPr>
          <w:rFonts w:ascii="GHEA Grapalat" w:hAnsi="GHEA Grapalat"/>
          <w:b/>
        </w:rPr>
      </w:pPr>
      <w:r w:rsidRPr="00D61446">
        <w:rPr>
          <w:rFonts w:ascii="GHEA Grapalat" w:hAnsi="GHEA Grapalat"/>
          <w:b/>
        </w:rPr>
        <w:t>/ք</w:t>
      </w:r>
      <w:r w:rsidR="00C61432" w:rsidRPr="00D61446">
        <w:rPr>
          <w:rFonts w:ascii="MS Mincho" w:eastAsia="MS Mincho" w:hAnsi="MS Mincho" w:cs="MS Mincho" w:hint="eastAsia"/>
          <w:b/>
        </w:rPr>
        <w:t>․</w:t>
      </w:r>
      <w:r w:rsidRPr="00D61446">
        <w:rPr>
          <w:rFonts w:ascii="GHEA Grapalat" w:eastAsia="MS Mincho" w:hAnsi="GHEA Grapalat" w:cs="MS Mincho"/>
          <w:b/>
        </w:rPr>
        <w:t>Երևան</w:t>
      </w:r>
      <w:r w:rsidR="00C61432" w:rsidRPr="00D61446">
        <w:rPr>
          <w:rFonts w:ascii="GHEA Grapalat" w:hAnsi="GHEA Grapalat"/>
          <w:b/>
        </w:rPr>
        <w:t>.</w:t>
      </w:r>
      <w:r w:rsidR="00CD14AC">
        <w:rPr>
          <w:rFonts w:ascii="GHEA Grapalat" w:hAnsi="GHEA Grapalat"/>
          <w:b/>
        </w:rPr>
        <w:t>Աջափնյակ, Վ</w:t>
      </w:r>
      <w:r w:rsidR="00CD14AC" w:rsidRPr="00CD14AC">
        <w:rPr>
          <w:rFonts w:ascii="GHEA Grapalat" w:hAnsi="GHEA Grapalat"/>
          <w:b/>
        </w:rPr>
        <w:t>.</w:t>
      </w:r>
      <w:r w:rsidR="00CD14AC">
        <w:rPr>
          <w:rFonts w:ascii="GHEA Grapalat" w:hAnsi="GHEA Grapalat"/>
          <w:b/>
        </w:rPr>
        <w:t>Ռուստամյան Փ 29 Տ</w:t>
      </w:r>
      <w:r w:rsidRPr="00D61446">
        <w:rPr>
          <w:rFonts w:ascii="GHEA Grapalat" w:hAnsi="GHEA Grapalat"/>
          <w:b/>
        </w:rPr>
        <w:t>/</w:t>
      </w:r>
    </w:p>
    <w:p w:rsidR="00C61432" w:rsidRDefault="00C61432" w:rsidP="00C61432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C61432" w:rsidRDefault="00C61432" w:rsidP="00C61432">
      <w:pPr>
        <w:jc w:val="both"/>
        <w:rPr>
          <w:rFonts w:ascii="GHEA Grapalat" w:hAnsi="GHEA Grapalat"/>
          <w:i/>
          <w:sz w:val="20"/>
        </w:rPr>
      </w:pPr>
    </w:p>
    <w:p w:rsidR="00C61432" w:rsidRDefault="00C61432" w:rsidP="00C61432">
      <w:pPr>
        <w:jc w:val="both"/>
        <w:rPr>
          <w:rFonts w:ascii="GHEA Grapalat" w:hAnsi="GHEA Grapalat"/>
          <w:i/>
          <w:sz w:val="20"/>
        </w:rPr>
      </w:pP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Կից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Ձեզ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ուղարկվում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CD14AC">
        <w:rPr>
          <w:rFonts w:ascii="GHEA Grapalat" w:hAnsi="GHEA Grapalat"/>
          <w:sz w:val="18"/>
          <w:szCs w:val="18"/>
        </w:rPr>
        <w:t>02777200</w:t>
      </w:r>
      <w:r>
        <w:rPr>
          <w:rFonts w:ascii="GHEA Grapalat" w:hAnsi="GHEA Grapalat"/>
          <w:bCs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CD14AC">
        <w:rPr>
          <w:rFonts w:ascii="GHEA Grapalat" w:hAnsi="GHEA Grapalat"/>
          <w:sz w:val="18"/>
          <w:szCs w:val="18"/>
        </w:rPr>
        <w:t>06.06</w:t>
      </w:r>
      <w:r w:rsidR="00D61446">
        <w:rPr>
          <w:rFonts w:ascii="GHEA Grapalat" w:hAnsi="GHEA Grapalat"/>
          <w:sz w:val="18"/>
          <w:szCs w:val="18"/>
        </w:rPr>
        <w:t>.2019</w:t>
      </w:r>
      <w:r>
        <w:rPr>
          <w:rFonts w:ascii="GHEA Grapalat" w:hAnsi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C61432" w:rsidRDefault="00C61432" w:rsidP="00C61432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C61432" w:rsidRDefault="00C61432" w:rsidP="00C61432">
      <w:pPr>
        <w:ind w:right="142"/>
        <w:jc w:val="both"/>
        <w:rPr>
          <w:rFonts w:ascii="GHEA Grapalat" w:hAnsi="GHEA Grapalat"/>
          <w:b/>
          <w:color w:val="333333"/>
          <w:sz w:val="18"/>
          <w:szCs w:val="18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18"/>
          <w:szCs w:val="18"/>
        </w:rPr>
        <w:t>Առդիր</w:t>
      </w:r>
      <w:r>
        <w:rPr>
          <w:rFonts w:ascii="GHEA Grapalat" w:hAnsi="GHEA Grapalat"/>
          <w:b/>
          <w:color w:val="333333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18"/>
          <w:szCs w:val="18"/>
        </w:rPr>
        <w:t>որոշումը</w:t>
      </w:r>
      <w:r>
        <w:rPr>
          <w:rFonts w:ascii="GHEA Grapalat" w:hAnsi="GHEA Grapalat"/>
          <w:b/>
          <w:color w:val="333333"/>
          <w:sz w:val="18"/>
          <w:szCs w:val="18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18"/>
          <w:szCs w:val="18"/>
        </w:rPr>
        <w:t>թերթից</w:t>
      </w:r>
      <w:r>
        <w:rPr>
          <w:rFonts w:ascii="GHEA Grapalat" w:hAnsi="GHEA Grapalat"/>
          <w:b/>
          <w:color w:val="333333"/>
          <w:sz w:val="18"/>
          <w:szCs w:val="18"/>
          <w:lang w:val="af-ZA"/>
        </w:rPr>
        <w:t>:</w:t>
      </w:r>
    </w:p>
    <w:p w:rsidR="00C61432" w:rsidRDefault="00C61432" w:rsidP="00C61432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C61432" w:rsidRDefault="00C61432" w:rsidP="00C61432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ԲԱԺՆԻ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C61432" w:rsidRDefault="00C61432" w:rsidP="00C61432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ԱՐԴԱՐԱԴԱՏՈՒԹՅԱՆ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ՄԱՅՈՐ՝</w:t>
      </w:r>
      <w:r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</w:t>
      </w:r>
      <w:r>
        <w:rPr>
          <w:rFonts w:ascii="GHEA Grapalat" w:hAnsi="GHEA Grapalat"/>
          <w:b/>
          <w:sz w:val="22"/>
          <w:szCs w:val="22"/>
        </w:rPr>
        <w:t>Ս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>
        <w:rPr>
          <w:rFonts w:ascii="GHEA Grapalat" w:hAnsi="GHEA Grapalat"/>
          <w:b/>
          <w:sz w:val="22"/>
          <w:szCs w:val="22"/>
        </w:rPr>
        <w:t>ՍԻՄՈՆՅԱՆ</w:t>
      </w: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CD14AC">
        <w:rPr>
          <w:rFonts w:ascii="GHEA Grapalat" w:hAnsi="GHEA Grapalat" w:cs="Sylfaen"/>
          <w:b/>
          <w:sz w:val="18"/>
          <w:szCs w:val="18"/>
        </w:rPr>
        <w:t>02777200</w:t>
      </w:r>
    </w:p>
    <w:p w:rsidR="00C61432" w:rsidRDefault="00C61432" w:rsidP="00C61432">
      <w:pPr>
        <w:rPr>
          <w:rFonts w:ascii="GHEA Grapalat" w:hAnsi="GHEA Grapalat"/>
          <w:b/>
          <w:i/>
          <w:sz w:val="16"/>
          <w:szCs w:val="16"/>
        </w:rPr>
      </w:pPr>
    </w:p>
    <w:p w:rsidR="00C61432" w:rsidRDefault="00C61432" w:rsidP="00C61432">
      <w:pPr>
        <w:rPr>
          <w:lang w:val="af-ZA"/>
        </w:rPr>
      </w:pPr>
    </w:p>
    <w:p w:rsidR="00C87B25" w:rsidRPr="00C61432" w:rsidRDefault="00C87B25" w:rsidP="00C61432">
      <w:bookmarkStart w:id="0" w:name="_GoBack"/>
      <w:bookmarkEnd w:id="0"/>
    </w:p>
    <w:sectPr w:rsidR="00C87B25" w:rsidRPr="00C61432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275C3"/>
    <w:rsid w:val="001D1795"/>
    <w:rsid w:val="00264FA1"/>
    <w:rsid w:val="00305D24"/>
    <w:rsid w:val="003B25CA"/>
    <w:rsid w:val="00470FAB"/>
    <w:rsid w:val="004B451C"/>
    <w:rsid w:val="004D05F2"/>
    <w:rsid w:val="00773FC9"/>
    <w:rsid w:val="00790C44"/>
    <w:rsid w:val="008F1A47"/>
    <w:rsid w:val="00904155"/>
    <w:rsid w:val="00AA03BE"/>
    <w:rsid w:val="00BA3739"/>
    <w:rsid w:val="00BF6F46"/>
    <w:rsid w:val="00C61432"/>
    <w:rsid w:val="00C87B25"/>
    <w:rsid w:val="00C917E7"/>
    <w:rsid w:val="00CD14AC"/>
    <w:rsid w:val="00CE7B7B"/>
    <w:rsid w:val="00D61446"/>
    <w:rsid w:val="00DC61B6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BD41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26</cp:revision>
  <cp:lastPrinted>2019-05-08T12:25:00Z</cp:lastPrinted>
  <dcterms:created xsi:type="dcterms:W3CDTF">2018-04-17T13:58:00Z</dcterms:created>
  <dcterms:modified xsi:type="dcterms:W3CDTF">2019-06-06T06:31:00Z</dcterms:modified>
</cp:coreProperties>
</file>