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7" w:rsidRPr="00143D27" w:rsidRDefault="00143D27">
      <w:pPr>
        <w:rPr>
          <w:rFonts w:ascii="GHEA Grapalat" w:hAnsi="GHEA Grapalat"/>
          <w:b/>
        </w:rPr>
      </w:pPr>
      <w:proofErr w:type="gramStart"/>
      <w:r w:rsidRPr="00143D27">
        <w:rPr>
          <w:rFonts w:ascii="GHEA Grapalat" w:hAnsi="GHEA Grapalat"/>
          <w:b/>
        </w:rPr>
        <w:t>ՀԱՎԵԼՎԱԾ 2.</w:t>
      </w:r>
      <w:proofErr w:type="gramEnd"/>
      <w:r w:rsidRPr="00143D27">
        <w:rPr>
          <w:rFonts w:ascii="GHEA Grapalat" w:hAnsi="GHEA Grapalat"/>
          <w:b/>
        </w:rPr>
        <w:t xml:space="preserve"> </w:t>
      </w:r>
      <w:proofErr w:type="spellStart"/>
      <w:r w:rsidRPr="00143D27">
        <w:rPr>
          <w:rFonts w:ascii="GHEA Grapalat" w:hAnsi="GHEA Grapalat"/>
          <w:b/>
        </w:rPr>
        <w:t>Պլանավորման</w:t>
      </w:r>
      <w:proofErr w:type="spellEnd"/>
      <w:r w:rsidRPr="00143D27">
        <w:rPr>
          <w:rFonts w:ascii="GHEA Grapalat" w:hAnsi="GHEA Grapalat"/>
          <w:b/>
        </w:rPr>
        <w:t xml:space="preserve"> </w:t>
      </w:r>
      <w:proofErr w:type="spellStart"/>
      <w:r w:rsidRPr="00143D27">
        <w:rPr>
          <w:rFonts w:ascii="GHEA Grapalat" w:hAnsi="GHEA Grapalat"/>
          <w:b/>
        </w:rPr>
        <w:t>վերլուծական</w:t>
      </w:r>
      <w:proofErr w:type="spellEnd"/>
      <w:r w:rsidRPr="00143D27">
        <w:rPr>
          <w:rFonts w:ascii="GHEA Grapalat" w:hAnsi="GHEA Grapalat"/>
          <w:b/>
        </w:rPr>
        <w:t xml:space="preserve"> </w:t>
      </w:r>
      <w:proofErr w:type="spellStart"/>
      <w:r w:rsidRPr="00143D27">
        <w:rPr>
          <w:rFonts w:ascii="GHEA Grapalat" w:hAnsi="GHEA Grapalat"/>
          <w:b/>
        </w:rPr>
        <w:t>ընթացակարգեր</w:t>
      </w:r>
      <w:proofErr w:type="spellEnd"/>
    </w:p>
    <w:p w:rsidR="00143D27" w:rsidRDefault="00143D27"/>
    <w:p w:rsidR="00143D27" w:rsidRDefault="00143D27"/>
    <w:p w:rsidR="00143D27" w:rsidRDefault="00143D27"/>
    <w:tbl>
      <w:tblPr>
        <w:tblW w:w="13290" w:type="dxa"/>
        <w:tblLook w:val="04A0"/>
      </w:tblPr>
      <w:tblGrid>
        <w:gridCol w:w="3870"/>
        <w:gridCol w:w="4680"/>
        <w:gridCol w:w="2607"/>
        <w:gridCol w:w="2133"/>
      </w:tblGrid>
      <w:tr w:rsidR="00D74A14" w:rsidRPr="00E35257" w:rsidTr="003011BA">
        <w:trPr>
          <w:trHeight w:val="33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A14" w:rsidRPr="00E35257" w:rsidRDefault="00D74A14" w:rsidP="00D74A14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</w:t>
            </w:r>
            <w:proofErr w:type="spellEnd"/>
            <w:r w:rsidRP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տեսակ</w:t>
            </w:r>
            <w:proofErr w:type="spellEnd"/>
            <w:r w:rsid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D74A14" w:rsidRPr="00E35257" w:rsidRDefault="00D74A14" w:rsidP="00D74A1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35257">
              <w:rPr>
                <w:rFonts w:ascii="GHEA Grapalat" w:hAnsi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 w:rsidRPr="00E3525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4B8C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հաշվեքննություն</w:t>
            </w:r>
            <w:proofErr w:type="spellEnd"/>
          </w:p>
        </w:tc>
        <w:tc>
          <w:tcPr>
            <w:tcW w:w="2607" w:type="dxa"/>
          </w:tcPr>
          <w:p w:rsidR="00D74A14" w:rsidRPr="00E35257" w:rsidRDefault="00D74A14" w:rsidP="00D74A1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Ա/Փ </w:t>
            </w:r>
            <w:proofErr w:type="spellStart"/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հղում</w:t>
            </w:r>
            <w:proofErr w:type="spellEnd"/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133" w:type="dxa"/>
          </w:tcPr>
          <w:p w:rsidR="00D74A14" w:rsidRPr="00E35257" w:rsidRDefault="00D74A14" w:rsidP="00D74A1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Ե10</w:t>
            </w:r>
          </w:p>
        </w:tc>
      </w:tr>
      <w:tr w:rsidR="00D74A14" w:rsidRPr="00E35257" w:rsidTr="003011BA">
        <w:trPr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A14" w:rsidRPr="00E35257" w:rsidRDefault="00A04B8C" w:rsidP="00D74A14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D74A14" w:rsidRP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4A14" w:rsidRP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ենթակա</w:t>
            </w:r>
            <w:proofErr w:type="spellEnd"/>
            <w:r w:rsidR="00D74A14" w:rsidRP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4A14" w:rsidRP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մարմին</w:t>
            </w:r>
            <w:proofErr w:type="spellEnd"/>
            <w:r w:rsid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D74A14" w:rsidRPr="00E35257" w:rsidRDefault="00E35257" w:rsidP="00D74A14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ԱԲԳ</w:t>
            </w:r>
            <w:r w:rsidR="00D74A14" w:rsidRPr="00E3525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D74A14" w:rsidRPr="00E35257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607" w:type="dxa"/>
          </w:tcPr>
          <w:p w:rsidR="00D74A14" w:rsidRPr="00E35257" w:rsidRDefault="00D74A14" w:rsidP="00D74A1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</w:t>
            </w:r>
            <w:proofErr w:type="spellEnd"/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D74A14" w:rsidRPr="00E35257" w:rsidRDefault="00E35257" w:rsidP="00D74A1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35257">
              <w:rPr>
                <w:rFonts w:ascii="GHEA Grapalat" w:hAnsi="GHEA Grapalat"/>
                <w:color w:val="000000"/>
                <w:sz w:val="22"/>
                <w:szCs w:val="22"/>
              </w:rPr>
              <w:t>ԱԱ</w:t>
            </w:r>
          </w:p>
        </w:tc>
      </w:tr>
      <w:tr w:rsidR="00D74A14" w:rsidRPr="00E35257" w:rsidTr="003011BA">
        <w:trPr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A14" w:rsidRPr="00E35257" w:rsidRDefault="00D74A14" w:rsidP="00D74A14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</w:t>
            </w:r>
            <w:proofErr w:type="spellEnd"/>
            <w:r w:rsidRP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ժամանակաշրջան</w:t>
            </w:r>
            <w:proofErr w:type="spellEnd"/>
            <w:r w:rsidR="00E35257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D74A14" w:rsidRPr="00E35257" w:rsidRDefault="00D74A14" w:rsidP="00C2216E">
            <w:pPr>
              <w:rPr>
                <w:rFonts w:ascii="GHEA Grapalat" w:hAnsi="GHEA Grapalat"/>
                <w:sz w:val="22"/>
                <w:szCs w:val="22"/>
              </w:rPr>
            </w:pPr>
            <w:r w:rsidRPr="00E35257">
              <w:rPr>
                <w:rFonts w:ascii="GHEA Grapalat" w:hAnsi="GHEA Grapalat"/>
                <w:sz w:val="22"/>
                <w:szCs w:val="22"/>
              </w:rPr>
              <w:t>20</w:t>
            </w:r>
            <w:r w:rsidR="00C2216E">
              <w:rPr>
                <w:rFonts w:ascii="GHEA Grapalat" w:hAnsi="GHEA Grapalat"/>
                <w:sz w:val="22"/>
                <w:szCs w:val="22"/>
              </w:rPr>
              <w:t>__</w:t>
            </w:r>
            <w:r w:rsidR="00E35257" w:rsidRPr="00E35257">
              <w:rPr>
                <w:rFonts w:ascii="GHEA Grapalat" w:hAnsi="GHEA Grapalat"/>
                <w:sz w:val="22"/>
                <w:szCs w:val="22"/>
              </w:rPr>
              <w:t xml:space="preserve">թ. </w:t>
            </w:r>
            <w:proofErr w:type="spellStart"/>
            <w:r w:rsidR="00E35257" w:rsidRPr="00E35257">
              <w:rPr>
                <w:rFonts w:ascii="GHEA Grapalat" w:hAnsi="GHEA Grapalat"/>
                <w:sz w:val="22"/>
                <w:szCs w:val="22"/>
              </w:rPr>
              <w:t>դեկտեմբերի</w:t>
            </w:r>
            <w:proofErr w:type="spellEnd"/>
            <w:r w:rsidR="00E35257" w:rsidRPr="00E35257">
              <w:rPr>
                <w:rFonts w:ascii="GHEA Grapalat" w:hAnsi="GHEA Grapalat"/>
                <w:sz w:val="22"/>
                <w:szCs w:val="22"/>
              </w:rPr>
              <w:t xml:space="preserve"> 31-ին </w:t>
            </w:r>
            <w:proofErr w:type="spellStart"/>
            <w:r w:rsidR="00E35257" w:rsidRPr="00E35257">
              <w:rPr>
                <w:rFonts w:ascii="GHEA Grapalat" w:hAnsi="GHEA Grapalat"/>
                <w:sz w:val="22"/>
                <w:szCs w:val="22"/>
              </w:rPr>
              <w:t>ավարտված</w:t>
            </w:r>
            <w:proofErr w:type="spellEnd"/>
            <w:r w:rsidR="00E35257" w:rsidRPr="00E3525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E35257" w:rsidRPr="00E35257">
              <w:rPr>
                <w:rFonts w:ascii="GHEA Grapalat" w:hAnsi="GHEA Grapalat"/>
                <w:sz w:val="22"/>
                <w:szCs w:val="22"/>
              </w:rPr>
              <w:t>հաշվետու</w:t>
            </w:r>
            <w:proofErr w:type="spellEnd"/>
            <w:r w:rsidR="00E35257" w:rsidRPr="00E3525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E35257" w:rsidRPr="00E35257">
              <w:rPr>
                <w:rFonts w:ascii="GHEA Grapalat" w:hAnsi="GHEA Grapalat"/>
                <w:sz w:val="22"/>
                <w:szCs w:val="22"/>
              </w:rPr>
              <w:t>տարի</w:t>
            </w:r>
            <w:proofErr w:type="spellEnd"/>
          </w:p>
        </w:tc>
        <w:tc>
          <w:tcPr>
            <w:tcW w:w="2607" w:type="dxa"/>
          </w:tcPr>
          <w:p w:rsidR="00D74A14" w:rsidRPr="00E35257" w:rsidRDefault="00D74A14" w:rsidP="00D74A1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D74A14" w:rsidRPr="00E35257" w:rsidRDefault="00D74A14" w:rsidP="00D74A1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D74A14" w:rsidRPr="00E35257" w:rsidTr="003011BA">
        <w:trPr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4A14" w:rsidRPr="00E35257" w:rsidRDefault="00D74A14" w:rsidP="00D74A14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74A14" w:rsidRPr="00E35257" w:rsidRDefault="00D74A14" w:rsidP="00D74A1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07" w:type="dxa"/>
          </w:tcPr>
          <w:p w:rsidR="00D74A14" w:rsidRPr="00E35257" w:rsidRDefault="00D74A14" w:rsidP="00D74A1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</w:t>
            </w:r>
            <w:proofErr w:type="spellEnd"/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D74A14" w:rsidRPr="00E35257" w:rsidRDefault="00E35257" w:rsidP="00D74A1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35257">
              <w:rPr>
                <w:rFonts w:ascii="GHEA Grapalat" w:hAnsi="GHEA Grapalat"/>
                <w:color w:val="000000"/>
                <w:sz w:val="22"/>
                <w:szCs w:val="22"/>
              </w:rPr>
              <w:t>ԲԲ</w:t>
            </w:r>
          </w:p>
        </w:tc>
      </w:tr>
      <w:tr w:rsidR="00D74A14" w:rsidRPr="00E35257" w:rsidTr="003011BA">
        <w:trPr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4A14" w:rsidRPr="00E35257" w:rsidRDefault="00D74A14" w:rsidP="00D74A14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74A14" w:rsidRPr="00E35257" w:rsidRDefault="00D74A14" w:rsidP="00D74A1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07" w:type="dxa"/>
          </w:tcPr>
          <w:p w:rsidR="00D74A14" w:rsidRPr="00E35257" w:rsidRDefault="00D74A14" w:rsidP="00D74A1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</w:t>
            </w:r>
            <w:proofErr w:type="spellEnd"/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 w:rsidRPr="00E3525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D74A14" w:rsidRPr="00E35257" w:rsidRDefault="00D74A14" w:rsidP="00D74A1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</w:tbl>
    <w:p w:rsidR="00D74A14" w:rsidRDefault="00D74A14" w:rsidP="00D74A14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</w:p>
    <w:p w:rsidR="00D74A14" w:rsidRPr="00E35257" w:rsidRDefault="00D74A14" w:rsidP="00E35257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Կատարված</w:t>
      </w:r>
      <w:proofErr w:type="spellEnd"/>
      <w:r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աշխատանք</w:t>
      </w:r>
      <w:proofErr w:type="spellEnd"/>
      <w:r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:  </w:t>
      </w:r>
      <w:r w:rsidR="00E35257">
        <w:rPr>
          <w:rFonts w:ascii="GHEA Grapalat" w:eastAsia="Times New Roman" w:hAnsi="GHEA Grapalat"/>
          <w:color w:val="000000"/>
          <w:sz w:val="22"/>
          <w:szCs w:val="22"/>
        </w:rPr>
        <w:t xml:space="preserve">ԱԲԳ </w:t>
      </w:r>
      <w:proofErr w:type="spellStart"/>
      <w:r w:rsidR="00E35257">
        <w:rPr>
          <w:rFonts w:ascii="GHEA Grapalat" w:eastAsia="Times New Roman" w:hAnsi="GHEA Grapalat"/>
          <w:color w:val="000000"/>
          <w:sz w:val="22"/>
          <w:szCs w:val="22"/>
        </w:rPr>
        <w:t>նախարարություն</w:t>
      </w:r>
      <w:r w:rsidRPr="00E35257">
        <w:rPr>
          <w:rFonts w:ascii="GHEA Grapalat" w:eastAsia="Times New Roman" w:hAnsi="GHEA Grapalat"/>
          <w:color w:val="000000"/>
          <w:sz w:val="22"/>
          <w:szCs w:val="22"/>
        </w:rPr>
        <w:t>ում</w:t>
      </w:r>
      <w:proofErr w:type="spellEnd"/>
      <w:r w:rsidRPr="00E352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առաջադրանքի</w:t>
      </w:r>
      <w:proofErr w:type="spellEnd"/>
      <w:r w:rsidRPr="00E352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պլանավորման</w:t>
      </w:r>
      <w:proofErr w:type="spellEnd"/>
      <w:r w:rsidRPr="00E352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շրջանակում</w:t>
      </w:r>
      <w:proofErr w:type="spellEnd"/>
      <w:r w:rsidRPr="00E352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պլանավորման</w:t>
      </w:r>
      <w:proofErr w:type="spellEnd"/>
      <w:r w:rsidRPr="00E352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վերլուծ</w:t>
      </w:r>
      <w:r w:rsidR="00E35257">
        <w:rPr>
          <w:rFonts w:ascii="GHEA Grapalat" w:eastAsia="Times New Roman" w:hAnsi="GHEA Grapalat"/>
          <w:color w:val="000000"/>
          <w:sz w:val="22"/>
          <w:szCs w:val="22"/>
        </w:rPr>
        <w:t>ա</w:t>
      </w:r>
      <w:r w:rsidRPr="00E35257">
        <w:rPr>
          <w:rFonts w:ascii="GHEA Grapalat" w:eastAsia="Times New Roman" w:hAnsi="GHEA Grapalat"/>
          <w:color w:val="000000"/>
          <w:sz w:val="22"/>
          <w:szCs w:val="22"/>
        </w:rPr>
        <w:t>կան</w:t>
      </w:r>
      <w:proofErr w:type="spellEnd"/>
      <w:r w:rsidRPr="00E352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ընթացակարգերի</w:t>
      </w:r>
      <w:proofErr w:type="spellEnd"/>
      <w:r w:rsidRPr="00E352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իրականացում</w:t>
      </w:r>
      <w:proofErr w:type="spellEnd"/>
      <w:r w:rsidRPr="00E352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բյուջետային</w:t>
      </w:r>
      <w:proofErr w:type="spellEnd"/>
      <w:r w:rsidRPr="00E352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ծախսերի</w:t>
      </w:r>
      <w:proofErr w:type="spellEnd"/>
      <w:r w:rsidRPr="00E35257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բյուջետային</w:t>
      </w:r>
      <w:proofErr w:type="spellEnd"/>
      <w:r w:rsidRPr="00E352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եկամուտների</w:t>
      </w:r>
      <w:proofErr w:type="spellEnd"/>
      <w:r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հաշվետվության</w:t>
      </w:r>
      <w:proofErr w:type="spellEnd"/>
      <w:r w:rsidRPr="00E352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հիման</w:t>
      </w:r>
      <w:proofErr w:type="spellEnd"/>
      <w:r w:rsidRPr="00E352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color w:val="000000"/>
          <w:sz w:val="22"/>
          <w:szCs w:val="22"/>
        </w:rPr>
        <w:t>վրա</w:t>
      </w:r>
      <w:proofErr w:type="spellEnd"/>
      <w:r w:rsidR="00E35257" w:rsidRPr="00E35257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D74A14" w:rsidRPr="00E35257" w:rsidRDefault="00D74A14" w:rsidP="00D74A14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</w:p>
    <w:p w:rsidR="00D74A14" w:rsidRPr="00E35257" w:rsidRDefault="00D74A14" w:rsidP="00D74A14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proofErr w:type="spellStart"/>
      <w:r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Վերլուծական</w:t>
      </w:r>
      <w:proofErr w:type="spellEnd"/>
      <w:r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ընթացակարգի</w:t>
      </w:r>
      <w:proofErr w:type="spellEnd"/>
      <w:r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արդյունքները</w:t>
      </w:r>
      <w:proofErr w:type="spellEnd"/>
      <w:r w:rsidR="00656275" w:rsidRPr="00E3525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</w:p>
    <w:p w:rsidR="00656275" w:rsidRPr="00D74A14" w:rsidRDefault="00656275" w:rsidP="00D74A14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1984"/>
        <w:gridCol w:w="1843"/>
        <w:gridCol w:w="1984"/>
        <w:gridCol w:w="1701"/>
        <w:gridCol w:w="3179"/>
      </w:tblGrid>
      <w:tr w:rsidR="00656275" w:rsidRPr="00E35257" w:rsidTr="00E714CC">
        <w:trPr>
          <w:trHeight w:val="840"/>
          <w:tblHeader/>
        </w:trPr>
        <w:tc>
          <w:tcPr>
            <w:tcW w:w="2689" w:type="dxa"/>
            <w:shd w:val="clear" w:color="auto" w:fill="auto"/>
            <w:vAlign w:val="center"/>
            <w:hideMark/>
          </w:tcPr>
          <w:p w:rsidR="00656275" w:rsidRPr="00E35257" w:rsidRDefault="00656275" w:rsidP="006872BD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Բյուջետային</w:t>
            </w:r>
            <w:proofErr w:type="spellEnd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ծախսերի</w:t>
            </w:r>
            <w:proofErr w:type="spellEnd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տնտեսագիտական</w:t>
            </w:r>
            <w:proofErr w:type="spellEnd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անվանում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6275" w:rsidRPr="00E35257" w:rsidRDefault="00656275" w:rsidP="006872BD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Տարեկան</w:t>
            </w:r>
            <w:proofErr w:type="spellEnd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պլան</w:t>
            </w:r>
            <w:proofErr w:type="spellEnd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     (</w:t>
            </w:r>
            <w:r w:rsidRPr="00E35257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4CE1" w:rsidRDefault="00656275" w:rsidP="006872BD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Փաստացի</w:t>
            </w:r>
            <w:proofErr w:type="spellEnd"/>
          </w:p>
          <w:p w:rsidR="00656275" w:rsidRPr="00E35257" w:rsidRDefault="00656275" w:rsidP="006872BD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(</w:t>
            </w:r>
            <w:r w:rsidRPr="00E35257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6275" w:rsidRPr="00E35257" w:rsidRDefault="00656275" w:rsidP="006872BD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Փոփոխություն</w:t>
            </w:r>
            <w:proofErr w:type="spellEnd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գումար</w:t>
            </w:r>
            <w:proofErr w:type="spellEnd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r w:rsidRPr="00E35257">
              <w:rPr>
                <w:rFonts w:ascii="GHEA Grapalat" w:eastAsia="Times New Roman" w:hAnsi="GHEA Grapalat"/>
                <w:color w:val="000000"/>
              </w:rPr>
              <w:t xml:space="preserve">               (ՀՀ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6275" w:rsidRPr="007F4CE1" w:rsidRDefault="00656275" w:rsidP="006872BD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7F4CE1">
              <w:rPr>
                <w:rFonts w:ascii="GHEA Grapalat" w:eastAsia="Times New Roman" w:hAnsi="GHEA Grapalat"/>
                <w:b/>
                <w:bCs/>
                <w:color w:val="000000"/>
              </w:rPr>
              <w:t>Փոփոխություն</w:t>
            </w:r>
            <w:proofErr w:type="spellEnd"/>
            <w:r w:rsidRPr="007F4CE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(</w:t>
            </w:r>
            <w:proofErr w:type="spellStart"/>
            <w:r w:rsidRPr="007F4CE1">
              <w:rPr>
                <w:rFonts w:ascii="GHEA Grapalat" w:eastAsia="Times New Roman" w:hAnsi="GHEA Grapalat"/>
                <w:color w:val="000000"/>
              </w:rPr>
              <w:t>Տոկոս</w:t>
            </w:r>
            <w:proofErr w:type="spellEnd"/>
            <w:r w:rsidRPr="007F4CE1"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3179" w:type="dxa"/>
            <w:shd w:val="clear" w:color="auto" w:fill="auto"/>
            <w:noWrap/>
            <w:vAlign w:val="center"/>
            <w:hideMark/>
          </w:tcPr>
          <w:p w:rsidR="00656275" w:rsidRPr="007F4CE1" w:rsidRDefault="00656275" w:rsidP="006872BD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7F4CE1">
              <w:rPr>
                <w:rFonts w:ascii="GHEA Grapalat" w:eastAsia="Times New Roman" w:hAnsi="GHEA Grapalat"/>
                <w:b/>
                <w:bCs/>
                <w:color w:val="000000"/>
              </w:rPr>
              <w:t>Մեկնաբանություն</w:t>
            </w:r>
            <w:proofErr w:type="spellEnd"/>
          </w:p>
        </w:tc>
      </w:tr>
      <w:tr w:rsidR="00656275" w:rsidRPr="00E35257" w:rsidTr="00E714CC">
        <w:trPr>
          <w:trHeight w:val="87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Աշխատողների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աշխատավարձեր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և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հավելավճարներ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2,595,000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2,773,000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178,000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7%</w:t>
            </w:r>
          </w:p>
        </w:tc>
        <w:tc>
          <w:tcPr>
            <w:tcW w:w="3179" w:type="dxa"/>
            <w:shd w:val="clear" w:color="auto" w:fill="auto"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2013թ.ընթացքում 2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նոր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աշխատակից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են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ընդունվել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աշխատանքի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,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որը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կարող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էր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հանգեցնել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ծախսերի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նշված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աճի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>:</w:t>
            </w:r>
          </w:p>
        </w:tc>
      </w:tr>
      <w:tr w:rsidR="00656275" w:rsidRPr="00E35257" w:rsidTr="00E714CC">
        <w:trPr>
          <w:trHeight w:val="135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Էներգետիկ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ծառայություններ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57,600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61,402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3,802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7F4CE1">
              <w:rPr>
                <w:rFonts w:ascii="GHEA Grapalat" w:eastAsia="Times New Roman" w:hAnsi="GHEA Grapalat"/>
                <w:color w:val="000000"/>
              </w:rPr>
              <w:t>7%</w:t>
            </w:r>
          </w:p>
        </w:tc>
        <w:tc>
          <w:tcPr>
            <w:tcW w:w="3179" w:type="dxa"/>
            <w:shd w:val="clear" w:color="auto" w:fill="auto"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2013թ.հունիս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ամսվանից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էլեկտրաէներգիայի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վարձը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բարձրացել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է 5%-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ով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,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ինչը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տարեկան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կտրվածքով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պետք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է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հանգեցնել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էլեկտրաէներգիայի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3%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աճի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: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Հաշվի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առնելով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չբացատրված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աճը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՝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էներգետիկ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ծառայությունների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բնորոշ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ռիսկը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պետք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է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t>գնահատվի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F4CE1">
              <w:rPr>
                <w:rFonts w:ascii="GHEA Grapalat" w:eastAsia="Times New Roman" w:hAnsi="GHEA Grapalat"/>
                <w:color w:val="000000"/>
              </w:rPr>
              <w:lastRenderedPageBreak/>
              <w:t>բարձր</w:t>
            </w:r>
            <w:proofErr w:type="spellEnd"/>
            <w:r w:rsidR="007F4CE1">
              <w:rPr>
                <w:rFonts w:ascii="GHEA Grapalat" w:eastAsia="Times New Roman" w:hAnsi="GHEA Grapalat"/>
                <w:color w:val="000000"/>
              </w:rPr>
              <w:t>:</w:t>
            </w:r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lastRenderedPageBreak/>
              <w:t>Կոմունալ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ծառայություններ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11,590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11,464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(126)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756AD9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656275" w:rsidRPr="00E35257">
              <w:rPr>
                <w:rFonts w:ascii="GHEA Grapalat" w:eastAsia="Times New Roman" w:hAnsi="GHEA Grapalat"/>
                <w:color w:val="000000"/>
              </w:rPr>
              <w:t>1%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Ոչ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էական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շեղում</w:t>
            </w:r>
            <w:proofErr w:type="spellEnd"/>
          </w:p>
        </w:tc>
      </w:tr>
      <w:tr w:rsidR="00656275" w:rsidRPr="00E35257" w:rsidTr="00E714CC">
        <w:trPr>
          <w:trHeight w:val="81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Կապի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ծառայություններ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59,900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61,697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1,797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3%</w:t>
            </w:r>
          </w:p>
        </w:tc>
        <w:tc>
          <w:tcPr>
            <w:tcW w:w="3179" w:type="dxa"/>
            <w:shd w:val="clear" w:color="auto" w:fill="auto"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2013թ.ընթացքում 1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նոր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հեռախոսագիծ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է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ավելացվել</w:t>
            </w:r>
            <w:proofErr w:type="spellEnd"/>
            <w:r w:rsidR="006872BD">
              <w:rPr>
                <w:rFonts w:ascii="GHEA Grapalat" w:eastAsia="Times New Roman" w:hAnsi="GHEA Grapalat"/>
                <w:color w:val="000000"/>
              </w:rPr>
              <w:t>:</w:t>
            </w:r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Ապահովագրական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ծախսեր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2,390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2,443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53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2%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Ոչ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էական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շեղում</w:t>
            </w:r>
            <w:proofErr w:type="spellEnd"/>
          </w:p>
        </w:tc>
      </w:tr>
      <w:tr w:rsidR="00656275" w:rsidRPr="00E35257" w:rsidTr="00E714CC">
        <w:trPr>
          <w:trHeight w:val="1199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Գույքի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և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սարքավորումների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վարձակալություն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25,690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28,259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2,569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10%</w:t>
            </w:r>
          </w:p>
        </w:tc>
        <w:tc>
          <w:tcPr>
            <w:tcW w:w="3179" w:type="dxa"/>
            <w:shd w:val="clear" w:color="auto" w:fill="auto"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2013թ.սեպտեմբերից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վարձակալված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սարքավորման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վարձավճարը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բարձրացել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է 10%-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ով</w:t>
            </w:r>
            <w:proofErr w:type="spellEnd"/>
            <w:r w:rsidR="006872BD">
              <w:rPr>
                <w:rFonts w:ascii="GHEA Grapalat" w:eastAsia="Times New Roman" w:hAnsi="GHEA Grapalat"/>
                <w:color w:val="000000"/>
              </w:rPr>
              <w:t>:</w:t>
            </w:r>
          </w:p>
        </w:tc>
      </w:tr>
      <w:tr w:rsidR="00656275" w:rsidRPr="00E35257" w:rsidTr="00E714CC">
        <w:trPr>
          <w:trHeight w:val="1247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Գործուղումների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և 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շրջագայությունների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ծախսեր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159,390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138,600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(20,790)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B11CB3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656275" w:rsidRPr="00E35257">
              <w:rPr>
                <w:rFonts w:ascii="GHEA Grapalat" w:eastAsia="Times New Roman" w:hAnsi="GHEA Grapalat"/>
                <w:color w:val="000000"/>
              </w:rPr>
              <w:t>13%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3179" w:type="dxa"/>
            <w:shd w:val="clear" w:color="auto" w:fill="auto"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Աշխատակիցներից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մեկը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պլանավորված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գործուղման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չի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կարողացել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մեկնել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՝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հիվանդության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պատճառով</w:t>
            </w:r>
            <w:proofErr w:type="spellEnd"/>
            <w:r w:rsidR="006872BD">
              <w:rPr>
                <w:rFonts w:ascii="GHEA Grapalat" w:eastAsia="Times New Roman" w:hAnsi="GHEA Grapalat"/>
                <w:color w:val="000000"/>
              </w:rPr>
              <w:t>:</w:t>
            </w:r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Համակարգչային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ծառայություններ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-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0%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Աշխատակազմի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վերապատրաստման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250,500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255,510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5,010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2%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Ոչ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էական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շեղում</w:t>
            </w:r>
            <w:proofErr w:type="spellEnd"/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Ընթացիկ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նորոգման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և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պահպանման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ծախսեր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26,600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27,132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532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2%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Ոչ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էական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շեղում</w:t>
            </w:r>
            <w:proofErr w:type="spellEnd"/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Գրասենյակային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նյութեր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և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հագուստ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111,650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113,883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 xml:space="preserve">2,233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GHEA Grapalat" w:eastAsia="Times New Roman" w:hAnsi="GHEA Grapalat"/>
                <w:color w:val="000000"/>
              </w:rPr>
              <w:t>2%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6872BD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Ոչ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էական</w:t>
            </w:r>
            <w:proofErr w:type="spellEnd"/>
            <w:r w:rsidRPr="00E3525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color w:val="000000"/>
              </w:rPr>
              <w:t>շեղում</w:t>
            </w:r>
            <w:proofErr w:type="spellEnd"/>
          </w:p>
        </w:tc>
      </w:tr>
      <w:tr w:rsidR="00656275" w:rsidRPr="00E35257" w:rsidTr="00E714CC">
        <w:trPr>
          <w:trHeight w:val="33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7F4CE1">
            <w:pPr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Ընդամենը</w:t>
            </w:r>
            <w:proofErr w:type="spellEnd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>ծախսեր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3,400,310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275" w:rsidRPr="00E35257" w:rsidRDefault="00415169" w:rsidP="00E35257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3,573,390</w:t>
            </w:r>
            <w:r w:rsidR="00656275"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6275" w:rsidRPr="00E35257" w:rsidRDefault="00415169" w:rsidP="00415169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173,080</w:t>
            </w:r>
            <w:r w:rsidR="00656275" w:rsidRPr="00E3525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6275" w:rsidRPr="00E35257" w:rsidRDefault="00656275" w:rsidP="00E3525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79" w:type="dxa"/>
            <w:shd w:val="clear" w:color="auto" w:fill="auto"/>
            <w:noWrap/>
            <w:hideMark/>
          </w:tcPr>
          <w:p w:rsidR="00656275" w:rsidRPr="00E35257" w:rsidRDefault="00656275" w:rsidP="00D74A14">
            <w:pPr>
              <w:rPr>
                <w:rFonts w:ascii="GHEA Grapalat" w:eastAsia="Times New Roman" w:hAnsi="GHEA Grapalat"/>
                <w:color w:val="000000"/>
              </w:rPr>
            </w:pPr>
            <w:r w:rsidRPr="00E35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87337" w:rsidRDefault="00487337">
      <w:bookmarkStart w:id="0" w:name="_GoBack"/>
      <w:bookmarkEnd w:id="0"/>
    </w:p>
    <w:sectPr w:rsidR="00487337" w:rsidSect="00235E59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1B" w:rsidRDefault="00867B1B" w:rsidP="00D74A14">
      <w:r>
        <w:separator/>
      </w:r>
    </w:p>
  </w:endnote>
  <w:endnote w:type="continuationSeparator" w:id="0">
    <w:p w:rsidR="00867B1B" w:rsidRDefault="00867B1B" w:rsidP="00D7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29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538" w:rsidRDefault="00222AD5">
        <w:pPr>
          <w:pStyle w:val="Footer"/>
          <w:jc w:val="right"/>
        </w:pPr>
        <w:r>
          <w:fldChar w:fldCharType="begin"/>
        </w:r>
        <w:r w:rsidR="00794538">
          <w:instrText xml:space="preserve"> PAGE   \* MERGEFORMAT </w:instrText>
        </w:r>
        <w:r>
          <w:fldChar w:fldCharType="separate"/>
        </w:r>
        <w:r w:rsidR="00C221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538" w:rsidRDefault="00794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1B" w:rsidRDefault="00867B1B" w:rsidP="00D74A14">
      <w:r>
        <w:separator/>
      </w:r>
    </w:p>
  </w:footnote>
  <w:footnote w:type="continuationSeparator" w:id="0">
    <w:p w:rsidR="00867B1B" w:rsidRDefault="00867B1B" w:rsidP="00D74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FE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0"/>
  </w:num>
  <w:num w:numId="28">
    <w:abstractNumId w:val="1"/>
  </w:num>
  <w:num w:numId="29">
    <w:abstractNumId w:val="4"/>
  </w:num>
  <w:num w:numId="30">
    <w:abstractNumId w:val="12"/>
  </w:num>
  <w:num w:numId="31">
    <w:abstractNumId w:val="3"/>
  </w:num>
  <w:num w:numId="32">
    <w:abstractNumId w:val="4"/>
  </w:num>
  <w:num w:numId="33">
    <w:abstractNumId w:val="9"/>
  </w:num>
  <w:num w:numId="34">
    <w:abstractNumId w:val="10"/>
  </w:num>
  <w:num w:numId="35">
    <w:abstractNumId w:val="4"/>
  </w:num>
  <w:num w:numId="36">
    <w:abstractNumId w:val="4"/>
  </w:num>
  <w:num w:numId="37">
    <w:abstractNumId w:val="4"/>
  </w:num>
  <w:num w:numId="38">
    <w:abstractNumId w:val="5"/>
  </w:num>
  <w:num w:numId="39">
    <w:abstractNumId w:val="11"/>
  </w:num>
  <w:num w:numId="40">
    <w:abstractNumId w:val="6"/>
  </w:num>
  <w:num w:numId="41">
    <w:abstractNumId w:val="2"/>
  </w:num>
  <w:num w:numId="42">
    <w:abstractNumId w:val="8"/>
  </w:num>
  <w:num w:numId="43">
    <w:abstractNumId w:val="7"/>
  </w:num>
  <w:num w:numId="44">
    <w:abstractNumId w:val="4"/>
  </w:num>
  <w:num w:numId="45">
    <w:abstractNumId w:val="4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8DF"/>
    <w:rsid w:val="000C574D"/>
    <w:rsid w:val="000D086F"/>
    <w:rsid w:val="00143D27"/>
    <w:rsid w:val="00222AD5"/>
    <w:rsid w:val="00235E59"/>
    <w:rsid w:val="003011BA"/>
    <w:rsid w:val="003738AC"/>
    <w:rsid w:val="00415169"/>
    <w:rsid w:val="00487337"/>
    <w:rsid w:val="005271A3"/>
    <w:rsid w:val="00575775"/>
    <w:rsid w:val="005E0B6E"/>
    <w:rsid w:val="0060290E"/>
    <w:rsid w:val="00656275"/>
    <w:rsid w:val="00676035"/>
    <w:rsid w:val="006768F0"/>
    <w:rsid w:val="006872BD"/>
    <w:rsid w:val="006B209E"/>
    <w:rsid w:val="00756AD9"/>
    <w:rsid w:val="00794538"/>
    <w:rsid w:val="007F4CE1"/>
    <w:rsid w:val="00867B1B"/>
    <w:rsid w:val="008E3FCF"/>
    <w:rsid w:val="009748DF"/>
    <w:rsid w:val="00A04B8C"/>
    <w:rsid w:val="00B11CB3"/>
    <w:rsid w:val="00B67AC3"/>
    <w:rsid w:val="00BA3B1D"/>
    <w:rsid w:val="00BB6A35"/>
    <w:rsid w:val="00BE78B7"/>
    <w:rsid w:val="00C2216E"/>
    <w:rsid w:val="00D74A14"/>
    <w:rsid w:val="00DF3610"/>
    <w:rsid w:val="00DF46ED"/>
    <w:rsid w:val="00E35257"/>
    <w:rsid w:val="00E714CC"/>
    <w:rsid w:val="00E9492C"/>
    <w:rsid w:val="00F3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 Bulle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46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46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46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46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46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46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46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46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46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30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1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33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34"/>
      </w:numPr>
      <w:spacing w:before="120"/>
      <w:ind w:left="0" w:firstLine="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38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39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40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41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42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43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68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68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6768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28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768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</cp:lastModifiedBy>
  <cp:revision>20</cp:revision>
  <dcterms:created xsi:type="dcterms:W3CDTF">2014-07-07T07:44:00Z</dcterms:created>
  <dcterms:modified xsi:type="dcterms:W3CDTF">2020-04-16T21:12:00Z</dcterms:modified>
</cp:coreProperties>
</file>