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897E" w14:textId="77777777"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14:paraId="51A5F3F7" w14:textId="77777777" w:rsidR="00A564C9" w:rsidRPr="00A0179B" w:rsidRDefault="00A564C9" w:rsidP="00A564C9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 xml:space="preserve">Հավելված </w:t>
      </w:r>
    </w:p>
    <w:p w14:paraId="668D308E" w14:textId="77777777" w:rsidR="00A564C9" w:rsidRPr="00A0179B" w:rsidRDefault="00A564C9" w:rsidP="00A564C9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564C9">
        <w:rPr>
          <w:rFonts w:ascii="GHEA Grapalat" w:eastAsia="Times New Roman" w:hAnsi="GHEA Grapalat" w:cs="Sylfaen"/>
          <w:lang w:val="hy-AM"/>
        </w:rPr>
        <w:t xml:space="preserve">  </w:t>
      </w:r>
      <w:r w:rsidRPr="00A0179B">
        <w:rPr>
          <w:rFonts w:ascii="GHEA Grapalat" w:eastAsia="Times New Roman" w:hAnsi="GHEA Grapalat" w:cs="Sylfaen"/>
          <w:lang w:val="hy-AM"/>
        </w:rPr>
        <w:t>Հաստատված է՝</w:t>
      </w:r>
    </w:p>
    <w:p w14:paraId="518CB205" w14:textId="77777777" w:rsidR="00A564C9" w:rsidRPr="00A0179B" w:rsidRDefault="00A564C9" w:rsidP="00A564C9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>վարչապետի աշխատակազմի ղեկավարի</w:t>
      </w:r>
    </w:p>
    <w:p w14:paraId="4FC1D044" w14:textId="278922E5" w:rsidR="00695ABF" w:rsidRDefault="00A564C9" w:rsidP="00A564C9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>2019 թ. օգոստոսի 2-ի N 784-Լ հրամանով</w:t>
      </w:r>
    </w:p>
    <w:p w14:paraId="530C82EE" w14:textId="77777777" w:rsidR="00A564C9" w:rsidRPr="00424A5D" w:rsidRDefault="00A564C9" w:rsidP="00A564C9">
      <w:pPr>
        <w:spacing w:after="0" w:line="240" w:lineRule="auto"/>
        <w:jc w:val="righ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95FA0E9" w14:textId="77777777" w:rsidR="00695ABF" w:rsidRPr="00424A5D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44ACED2D" w14:textId="0E33BD63" w:rsidR="00695ABF" w:rsidRPr="00424A5D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ՎԱՐՉԱՊԵՏԻ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ԱՇԽԱՏԱԿԱԶՄԻ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ԳՐԱՍԵՆՅԱԿԻ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CF1585"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ՀԱՄԱԼՐՄԱՆ ԵՎ ԿԱՏԱՐԵԼԱԳՈՐԾՄԱՆ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ՎԱՐՉՈՒԹՅԱՆ </w:t>
      </w:r>
      <w:r w:rsidR="00AC54D2"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ԱՎԱԳ</w:t>
      </w:r>
      <w:r w:rsidRPr="00424A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424A5D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14:paraId="3913ABB8" w14:textId="77777777" w:rsidR="00695ABF" w:rsidRPr="00424A5D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="00695ABF" w:rsidRPr="00424A5D" w14:paraId="60D6E98B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F798D" w14:textId="77777777" w:rsidR="00695ABF" w:rsidRPr="00424A5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424A5D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bookmarkEnd w:id="0"/>
            <w:proofErr w:type="spellEnd"/>
          </w:p>
        </w:tc>
      </w:tr>
      <w:tr w:rsidR="00695ABF" w:rsidRPr="00424A5D" w14:paraId="09453BEE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A52BD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7FD4DCF2" w14:textId="3DA9D1AF" w:rsidR="00695ABF" w:rsidRPr="00424A5D" w:rsidRDefault="00695AB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(այսուհետ՝ Գրասենյակ) </w:t>
            </w:r>
            <w:r w:rsidR="00CF1585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համալրման և կատարելագործման</w:t>
            </w:r>
            <w:r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վարչության (այսուհետ՝ Վարչություն) </w:t>
            </w:r>
            <w:r w:rsidR="00AC54D2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ավագ</w:t>
            </w:r>
            <w:r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9F001D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AC54D2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</w:t>
            </w:r>
            <w:r w:rsidR="00AC54D2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Ավագ</w:t>
            </w:r>
            <w:r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424A5D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-Գ</w:t>
            </w:r>
            <w:r w:rsidR="00CF1585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650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CF1585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-21.</w:t>
            </w:r>
            <w:r w:rsidR="00CF1585"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AC54D2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3-1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242D2A46" w14:textId="77777777" w:rsidR="00695ABF" w:rsidRPr="00424A5D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3BB8ABB" w14:textId="1DB903E7" w:rsidR="00695ABF" w:rsidRPr="00424A5D" w:rsidRDefault="00AC54D2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CF1585" w:rsidRPr="00424A5D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7CC616D3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56669643" w14:textId="5CE4650A" w:rsidR="00695ABF" w:rsidRPr="00424A5D" w:rsidRDefault="00AC54D2" w:rsidP="00AA0558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Ավագ</w:t>
            </w:r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424A5D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24A5D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424A5D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24A5D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մասնագետների</w:t>
            </w:r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ց </w:t>
            </w:r>
            <w:proofErr w:type="spellStart"/>
            <w:r w:rsidR="00695ABF" w:rsidRPr="00424A5D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695ABF"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389F5AB0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5466DD50" w14:textId="16A3FD5B" w:rsidR="00695ABF" w:rsidRPr="00424A5D" w:rsidRDefault="00695ABF" w:rsidP="00AA055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Հայաստան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, ք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.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Երևան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Կենտրոն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վարչական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շրջան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Տերյան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89</w:t>
            </w:r>
          </w:p>
        </w:tc>
      </w:tr>
      <w:tr w:rsidR="00695ABF" w:rsidRPr="00A564C9" w14:paraId="2933D8D1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8C239" w14:textId="77777777" w:rsidR="00695ABF" w:rsidRPr="00424A5D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10DFD75B" w14:textId="6FB11DA3" w:rsidR="00695ABF" w:rsidRPr="00424A5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67E7ADA0" w14:textId="1D21CCDF" w:rsidR="00BF2507" w:rsidRPr="00424A5D" w:rsidRDefault="00BF2507" w:rsidP="005F7B9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>իրականացնում է համապատասխան մարմինների ներկայացրած վերա</w:t>
            </w:r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softHyphen/>
              <w:t>պատ</w:t>
            </w:r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softHyphen/>
              <w:t>րաստման ծրագրերի ուսումնա</w:t>
            </w:r>
            <w:r w:rsid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>սիրությունը և մասնակցում է դրանց</w:t>
            </w:r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 հաստատմանը</w:t>
            </w:r>
            <w:r w:rsidRPr="00424A5D"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համաձայնություն տալու գործընթացին.</w:t>
            </w:r>
          </w:p>
          <w:p w14:paraId="68A879A7" w14:textId="77777777" w:rsidR="00424A5D" w:rsidRPr="00424A5D" w:rsidRDefault="00424A5D" w:rsidP="00424A5D">
            <w:pPr>
              <w:pStyle w:val="ListParagraph"/>
              <w:numPr>
                <w:ilvl w:val="0"/>
                <w:numId w:val="11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իրականացնում է վերապատրաստման արդյունքների ուսումնասիրություն և վերլուծություն, մասնակցում է համակարգող փոխվարչապետին ներկայացնելու համար վերապատրաստման արդյունքների մասին ամենամյա տեղեկատվության պատրաստմանը:</w:t>
            </w:r>
          </w:p>
          <w:p w14:paraId="0251FE68" w14:textId="0B5249D0" w:rsidR="00424A5D" w:rsidRPr="00424A5D" w:rsidRDefault="00424A5D" w:rsidP="00424A5D">
            <w:pPr>
              <w:pStyle w:val="ListParagraph"/>
              <w:numPr>
                <w:ilvl w:val="0"/>
                <w:numId w:val="11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իրականացնում է համապատասխան մարմիններից ստացած վերապատրաստման կարիքների բավարարմանն ուղղված միջոցառումներին, անհատական ծրագրում չընդգրկված, սակայն պաշտոնի անձնագրով սահմանված մասնագիտական գիտելիքների ու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կատարելագործման նպատակով ուսումնական հաստատություններում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վերապատրաստումներին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մասնակցության, ինչպես նաև միջազգային հավաստագրերի վերաբերյալ անհրաժեշտ տեղեկատվության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ուսումնասիրության աշխատանքներին, ինչպես նաև դրանց համար հատկացված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կրեդիտներին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համաձայնություն տալու, փոփոխելու կամ մերժելու </w:t>
            </w:r>
            <w:r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գործընթացին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BCB84DC" w14:textId="77777777" w:rsidR="00424A5D" w:rsidRPr="00424A5D" w:rsidRDefault="00424A5D" w:rsidP="00424A5D">
            <w:pPr>
              <w:pStyle w:val="ListParagraph"/>
              <w:numPr>
                <w:ilvl w:val="0"/>
                <w:numId w:val="11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համապատասխան մարմինների անձնակազմի կառավարման ստորաբաժանումներին տրամադրում է մեթոդական ցուցումներ.</w:t>
            </w:r>
          </w:p>
          <w:p w14:paraId="3DFCCF48" w14:textId="32BF3EA4" w:rsidR="00BF2507" w:rsidRPr="00424A5D" w:rsidRDefault="00BF2507" w:rsidP="005F7B9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մասնակցում է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վերաբերյալ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վերապատրաստումների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AD5FDC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կազմակերպման աշխատանքներին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42C71C6" w14:textId="2207D934" w:rsidR="005F7B9F" w:rsidRPr="00A564C9" w:rsidRDefault="00BF2507" w:rsidP="00AD5FDC">
            <w:pPr>
              <w:pStyle w:val="ListParagraph"/>
              <w:numPr>
                <w:ilvl w:val="0"/>
                <w:numId w:val="11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մասնակցում է քաղաքացիական ծառայության ոլորտը կարգավորող իրավական ակտերի մշակման աշխատանքներին:</w:t>
            </w:r>
            <w:r w:rsidRPr="00424A5D">
              <w:rPr>
                <w:rFonts w:ascii="Calibri" w:eastAsia="Times New Roman" w:hAnsi="Calibri" w:cs="Calibri"/>
                <w:iCs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14:paraId="22245338" w14:textId="77777777" w:rsidR="00A564C9" w:rsidRPr="00424A5D" w:rsidRDefault="00A564C9" w:rsidP="00A564C9">
            <w:pPr>
              <w:pStyle w:val="ListParagraph"/>
              <w:ind w:left="735"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61CA0554" w14:textId="6F90ECB4" w:rsidR="00ED338D" w:rsidRPr="00424A5D" w:rsidRDefault="00ED338D" w:rsidP="00434B36">
            <w:pPr>
              <w:pStyle w:val="ListParagraph"/>
              <w:ind w:left="735"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0FE6F986" w14:textId="7E5401C4" w:rsidR="005F7B9F" w:rsidRPr="00424A5D" w:rsidRDefault="005F7B9F" w:rsidP="004A22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պահանջել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ներկայացնել  վերապատրաստման ծրագրերի նախագծեր, անհրաժեշտ հիմնավորումներ, փաստաթղթեր.</w:t>
            </w:r>
          </w:p>
          <w:p w14:paraId="1BEFB1DB" w14:textId="77777777" w:rsidR="004A2204" w:rsidRPr="00424A5D" w:rsidRDefault="004A2204" w:rsidP="004A2204">
            <w:pPr>
              <w:pStyle w:val="ListParagraph"/>
              <w:numPr>
                <w:ilvl w:val="0"/>
                <w:numId w:val="15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առաջարկություններ ներկայացնել</w:t>
            </w:r>
            <w:r w:rsidR="005F7B9F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վերապատրաստման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ծրագրերի կատարելագործման վերաբերյալ. </w:t>
            </w:r>
          </w:p>
          <w:p w14:paraId="1F0A7FFD" w14:textId="380A6AFE" w:rsidR="005F7B9F" w:rsidRPr="00424A5D" w:rsidRDefault="005F7B9F" w:rsidP="004A2204">
            <w:pPr>
              <w:pStyle w:val="ListParagraph"/>
              <w:numPr>
                <w:ilvl w:val="0"/>
                <w:numId w:val="15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պահանջել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ներկայացնել պլան-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գրաֆիկներին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համապատասխան անհատական </w:t>
            </w:r>
            <w:r w:rsid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հայտեր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, օրենսդրությամբ սահմանված անհրաժեշտ տեղեկատվություն.</w:t>
            </w:r>
          </w:p>
          <w:p w14:paraId="70DCC1F5" w14:textId="2C3B569D" w:rsidR="005F7B9F" w:rsidRPr="00424A5D" w:rsidRDefault="005F7B9F" w:rsidP="004A2204">
            <w:pPr>
              <w:pStyle w:val="ListParagraph"/>
              <w:numPr>
                <w:ilvl w:val="0"/>
                <w:numId w:val="15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>վերապատրաստողներից</w:t>
            </w:r>
            <w:proofErr w:type="spellEnd"/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 պահանջելու </w:t>
            </w:r>
            <w:proofErr w:type="spellStart"/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Times New Roman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 վերաբերյալ վերապատրաստման արդյունքների մասին տեղեկանք,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մարմիններից և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վերապատրաստողներից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պահանջելու ներկայացնել անհրաժեշտ տեղեկատվություն, առաջարկություններ.</w:t>
            </w:r>
          </w:p>
          <w:p w14:paraId="6009C4EB" w14:textId="77777777" w:rsidR="005F7B9F" w:rsidRPr="00424A5D" w:rsidRDefault="005F7B9F" w:rsidP="004A22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մարմիններից պահանջելու ներկայացնել տեղեկատվություն, փաստաթղթեր, նյութեր վերապատրաստման կարիքների բավարարման միջոցառումներին, անհատական ծրագրում չընդգրկված, սակայն պաշտոնի անձնագրով սահմանված մասնագիտական գիտելիքների ու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կատարելագործման նպատակով ուսումնական հաստատություններում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վերապատրաստումներին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մասնակցության, ինչպես նաև միջազգային հավաստագրերի վերաբերյալ, հարցում կատարել համապատասխան կազմակերպություններ.</w:t>
            </w:r>
          </w:p>
          <w:p w14:paraId="7BA8C9A9" w14:textId="40546B2D" w:rsidR="005F7B9F" w:rsidRPr="00424A5D" w:rsidRDefault="005F7B9F" w:rsidP="004A22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մասնագիտական քննարկումներ</w:t>
            </w:r>
            <w:r w:rsidR="000B4967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, ներկայացնել առաջարկություններ վերապատրաստման գործընթացի կատարելագործման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վերաբերյալ,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ստանալ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մասնագիտական կարծիքներ և առաջարկություններ:</w:t>
            </w:r>
          </w:p>
          <w:p w14:paraId="1E3B6300" w14:textId="6540FEB0" w:rsidR="006414C6" w:rsidRPr="00424A5D" w:rsidRDefault="006414C6" w:rsidP="0098338B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Sylfaen" w:eastAsia="Sylfaen" w:hAnsi="Sylfaen"/>
                <w:sz w:val="24"/>
                <w:szCs w:val="24"/>
                <w:lang w:val="hy-AM"/>
              </w:rPr>
            </w:pPr>
          </w:p>
          <w:p w14:paraId="1E1195EC" w14:textId="1847B3A9" w:rsidR="00D66120" w:rsidRPr="00424A5D" w:rsidRDefault="00D66120" w:rsidP="00D66120">
            <w:pPr>
              <w:ind w:right="11" w:firstLine="36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181D88F5" w14:textId="523420C6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lastRenderedPageBreak/>
              <w:t>ուսումնասիրել համապատասխան մարմինների ներկայացրած վերապատրաստման ծրագրերի նախագծերը,</w:t>
            </w:r>
            <w:r w:rsidRPr="00424A5D"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իրականացնել դրանք հաստատելու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համաձայնություն տալու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նախապատրաստական </w:t>
            </w:r>
            <w:r w:rsid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աշխատանքներ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0A62FC73" w14:textId="647E15C5" w:rsidR="00EA0681" w:rsidRPr="00424A5D" w:rsidRDefault="004A2204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ո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ւսումնասիրել </w:t>
            </w:r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 վերապատրաստման 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ծրագրեր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առաջարկություն ներկայացնել </w:t>
            </w:r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այդ ծրագրերում</w:t>
            </w:r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վերաբերյալ </w:t>
            </w:r>
            <w:proofErr w:type="spellStart"/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</w:t>
            </w:r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softHyphen/>
              <w:t>պատրաստումներ</w:t>
            </w:r>
            <w:proofErr w:type="spellEnd"/>
            <w:r w:rsidR="0098338B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ներառելու վերաբերյալ</w:t>
            </w:r>
            <w:r w:rsidR="00EA0681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27B75A3" w14:textId="77777777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համապատասխան մարմինների վերապատրաստման ծրագրերում ներառել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վերաբերյալ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softHyphen/>
              <w:t>պատրաստումներ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255CA7FD" w14:textId="77777777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տեղեկատվական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հարթակում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մուտքագրել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վերաբերյալ դասընթացները, ամփոփել տարեկան հայտերը, վերապատրաստման ծառայությունների ձեռքբերման համար գնման գործընթացը կազմակերպելու նպատակով նախագծել գնման հայտը, կազմել վերապատրաստման պլան-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գրաֆիկները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ժամանակացույցերը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կազմակերպել հարգելի պատճառով բացակայած քաղաքացիական ծառայողի մասնակցությունը հաջորդ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վերապատրաստումներից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որևէ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մեկին.</w:t>
            </w:r>
          </w:p>
          <w:p w14:paraId="6EA54A1B" w14:textId="7CA121DA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ամփոփել վերապատրաստման արդյունքները, ուսումնասիրել,  վերլուծել  համակարգող փոխվարչապետին </w:t>
            </w:r>
            <w:r w:rsidR="004A2204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ներկայացվող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վերապատրաստման արդյունքների մասին ամենամյա տեղեկատվություն</w:t>
            </w:r>
            <w:r w:rsidR="004A2204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ը.</w:t>
            </w:r>
          </w:p>
          <w:p w14:paraId="5618ECA9" w14:textId="32A53FB0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ind w:right="14"/>
              <w:jc w:val="both"/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ուսումնասիրել վերապատրաստման կարիքների բավարարման միջոցառումներին, անհատական ծրագրում չընդգրկված, սակայն պաշտոնի անձնագրով սահմանված մասնագիտական գիտելիքների ու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կատարելագործման նպատակով ուսումնական հաստատություններում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վերապատրաստումներին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մասնակցության </w:t>
            </w:r>
            <w:proofErr w:type="spellStart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փաստթղթերը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միջազգային հավաստագրերը և </w:t>
            </w:r>
            <w:r w:rsidR="004A2204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հատկացված </w:t>
            </w:r>
            <w:proofErr w:type="spellStart"/>
            <w:r w:rsid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կրեդիտների</w:t>
            </w:r>
            <w:proofErr w:type="spellEnd"/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A2204"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համաձայնեցման գործընթացի վերաբերյալ առաջարկությունների ներկայացմանը</w:t>
            </w: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</w:p>
          <w:p w14:paraId="153BFD2B" w14:textId="77777777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սահմանված կարգով ընթացք տալ համապատասխան մարմինների անձնակազմի կառավարման ստորաբաժանումների կողմից ներկայացված հարցադրումներին.</w:t>
            </w:r>
          </w:p>
          <w:p w14:paraId="396C1212" w14:textId="77777777" w:rsidR="00EA0681" w:rsidRPr="00424A5D" w:rsidRDefault="00EA0681" w:rsidP="004A220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ուսումնասիրել քաղաքացիական ծառայության ոլորտը կարգավորող իրավական ակտերը:</w:t>
            </w:r>
          </w:p>
          <w:p w14:paraId="23C3CA47" w14:textId="0C7E4E5C" w:rsidR="00695ABF" w:rsidRPr="00424A5D" w:rsidRDefault="00EA0681" w:rsidP="00424A5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424A5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</w:tr>
      <w:tr w:rsidR="00695ABF" w:rsidRPr="00424A5D" w14:paraId="1CF1C07A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1874B" w14:textId="77777777" w:rsidR="00695ABF" w:rsidRPr="00424A5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24A5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4C801905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694CA74F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CBB8161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005F2D80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E613102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545B3F7" w14:textId="20FADA47" w:rsidR="00A564C9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Հանրային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C54D2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AC54D2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564C9"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կադրերի և մասնագիտական կողմնորոշման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="00AC54D2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294AAFC" w14:textId="77777777" w:rsidR="00A564C9" w:rsidRPr="00424A5D" w:rsidRDefault="00A564C9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0A77817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43B6EEAF" w14:textId="77777777" w:rsidR="00695ABF" w:rsidRPr="00424A5D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10B68AD4" w14:textId="73EF2361" w:rsidR="00695ABF" w:rsidRPr="00424A5D" w:rsidRDefault="00695ABF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45F89CF7" w14:textId="7236B5FF" w:rsidR="00695ABF" w:rsidRPr="00424A5D" w:rsidRDefault="00695ABF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DAA812D" w14:textId="7BDD36FE" w:rsidR="00695ABF" w:rsidRPr="00424A5D" w:rsidRDefault="00695ABF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424A5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412A8632" w14:textId="5FFF99DC" w:rsidR="00695ABF" w:rsidRPr="00424A5D" w:rsidRDefault="00695ABF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14:paraId="176B06E8" w14:textId="77777777" w:rsidR="00695ABF" w:rsidRPr="00424A5D" w:rsidRDefault="00695ABF" w:rsidP="00AA0558">
            <w:pPr>
              <w:spacing w:after="0"/>
              <w:ind w:left="296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FF4A47B" w14:textId="77777777" w:rsidR="00695ABF" w:rsidRPr="00424A5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24A5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6FDA6580" w14:textId="575212A0" w:rsidR="00B16A32" w:rsidRPr="00424A5D" w:rsidRDefault="00B16A32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14:paraId="238672DE" w14:textId="036AE0BC" w:rsidR="00B16A32" w:rsidRPr="00424A5D" w:rsidRDefault="00B16A32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14:paraId="522C1258" w14:textId="4E67EC06" w:rsidR="00424A5D" w:rsidRDefault="00B16A32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14:paraId="0633AA6D" w14:textId="3FF47CC5" w:rsidR="00B16A32" w:rsidRPr="00424A5D" w:rsidRDefault="00B16A32" w:rsidP="00424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Տեղեկատվական տեխնոլոգիաներ և </w:t>
            </w:r>
            <w:proofErr w:type="spellStart"/>
            <w:r w:rsidRPr="00424A5D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  <w:p w14:paraId="4C98CCB3" w14:textId="6F06B854" w:rsidR="006414C6" w:rsidRPr="00424A5D" w:rsidRDefault="006414C6" w:rsidP="00B16A32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95ABF" w:rsidRPr="00A564C9" w14:paraId="0A6482FB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1CCCF" w14:textId="77777777" w:rsidR="00695ABF" w:rsidRPr="00424A5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05CAD56E" w14:textId="75239A77" w:rsidR="00695ABF" w:rsidRPr="00424A5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71E9B021" w14:textId="30A0B04B" w:rsidR="00BF322D" w:rsidRPr="00424A5D" w:rsidRDefault="00BF322D" w:rsidP="00AA0558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Պա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տասխանատու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է կառուցվածքային ստորաբաժանման աշխատանքների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 և ապահովման համար:</w:t>
            </w:r>
          </w:p>
          <w:p w14:paraId="7DEC701B" w14:textId="77777777" w:rsidR="00695ABF" w:rsidRPr="00424A5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7295BB2F" w14:textId="0CDDCC68" w:rsidR="00695ABF" w:rsidRPr="00424A5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</w:t>
            </w:r>
            <w:r w:rsidR="00BF322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կառուցվածքային ստորաբաժանման աշխատանքների </w:t>
            </w:r>
            <w:proofErr w:type="spellStart"/>
            <w:r w:rsidR="00BF322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="00BF322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 և ապահովման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շրջանակներում:</w:t>
            </w:r>
          </w:p>
          <w:p w14:paraId="753AF22E" w14:textId="77777777" w:rsidR="00695ABF" w:rsidRPr="00424A5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14:paraId="7169D581" w14:textId="412E6FA9" w:rsidR="00695ABF" w:rsidRPr="00424A5D" w:rsidRDefault="00BF322D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Ունի ազդեցություն  մասնագիտական աշխատանքների ապահովման և որոշակի </w:t>
            </w:r>
            <w:r w:rsidR="00720225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 շրջանակներում:</w:t>
            </w:r>
          </w:p>
          <w:p w14:paraId="0430AD61" w14:textId="77777777" w:rsidR="00695ABF" w:rsidRPr="00A564C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5A780AEC" w14:textId="3518A218" w:rsidR="00695ABF" w:rsidRPr="00A564C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</w:t>
            </w:r>
            <w:r w:rsidR="00BF322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ներսում  այլ կառուցվածքային ստորաբաժանումների, այլ մարմինների ներկայացուցիչների հետ, հանդես է գալիս պետական մարմինների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միջազգային կազմակերպությունների ներկայացուցիչների</w:t>
            </w:r>
            <w:r w:rsidR="00BF322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մասնակցությամբ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447D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="008447DD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խմբերում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14:paraId="4A47F1C6" w14:textId="77777777" w:rsidR="00695ABF" w:rsidRPr="00A564C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4513244D" w14:textId="63E65895" w:rsidR="00695ABF" w:rsidRPr="00424A5D" w:rsidRDefault="00695ABF" w:rsidP="0072022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720225"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ներկայացնում խնդիրների լուծման տարբերակներ և մասնակցում է 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կառուցվածքային ստորաբաժանման </w:t>
            </w:r>
            <w:proofErr w:type="spellStart"/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462C297E" w14:textId="2A55CD32" w:rsidR="00080CCC" w:rsidRPr="00A564C9" w:rsidRDefault="00080CCC">
      <w:pPr>
        <w:rPr>
          <w:rFonts w:ascii="Sylfaen" w:hAnsi="Sylfaen"/>
          <w:lang w:val="hy-AM"/>
        </w:rPr>
      </w:pPr>
    </w:p>
    <w:sectPr w:rsidR="00080CCC" w:rsidRPr="00A564C9" w:rsidSect="00580918">
      <w:pgSz w:w="12240" w:h="15840"/>
      <w:pgMar w:top="567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50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384BCF"/>
    <w:multiLevelType w:val="hybridMultilevel"/>
    <w:tmpl w:val="EF1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82C3975"/>
    <w:multiLevelType w:val="hybridMultilevel"/>
    <w:tmpl w:val="C8F03370"/>
    <w:lvl w:ilvl="0" w:tplc="CDCEEC96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C02B49"/>
    <w:multiLevelType w:val="hybridMultilevel"/>
    <w:tmpl w:val="9A16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0EB0"/>
    <w:multiLevelType w:val="hybridMultilevel"/>
    <w:tmpl w:val="7188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6715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1FF492D"/>
    <w:multiLevelType w:val="hybridMultilevel"/>
    <w:tmpl w:val="00366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244D"/>
    <w:multiLevelType w:val="hybridMultilevel"/>
    <w:tmpl w:val="A3242BA0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F6E1036"/>
    <w:multiLevelType w:val="hybridMultilevel"/>
    <w:tmpl w:val="16D8C91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CAD54D4"/>
    <w:multiLevelType w:val="hybridMultilevel"/>
    <w:tmpl w:val="2B107444"/>
    <w:lvl w:ilvl="0" w:tplc="B99057F8">
      <w:start w:val="1"/>
      <w:numFmt w:val="decimal"/>
      <w:lvlText w:val="%1)"/>
      <w:lvlJc w:val="left"/>
      <w:pPr>
        <w:ind w:left="735" w:hanging="360"/>
      </w:pPr>
      <w:rPr>
        <w:color w:val="auto"/>
      </w:r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80CCC"/>
    <w:rsid w:val="000B4967"/>
    <w:rsid w:val="00305581"/>
    <w:rsid w:val="00357F74"/>
    <w:rsid w:val="003B7299"/>
    <w:rsid w:val="00424A5D"/>
    <w:rsid w:val="00434B36"/>
    <w:rsid w:val="004A2204"/>
    <w:rsid w:val="004C3D0B"/>
    <w:rsid w:val="004C7ECD"/>
    <w:rsid w:val="00580918"/>
    <w:rsid w:val="005F73E7"/>
    <w:rsid w:val="005F7B9F"/>
    <w:rsid w:val="00630C1E"/>
    <w:rsid w:val="006414C6"/>
    <w:rsid w:val="006453AE"/>
    <w:rsid w:val="006501B0"/>
    <w:rsid w:val="00695ABF"/>
    <w:rsid w:val="00720225"/>
    <w:rsid w:val="00795380"/>
    <w:rsid w:val="007E3CC5"/>
    <w:rsid w:val="008447DD"/>
    <w:rsid w:val="008A4762"/>
    <w:rsid w:val="00954B05"/>
    <w:rsid w:val="0098338B"/>
    <w:rsid w:val="009F001D"/>
    <w:rsid w:val="00A564C9"/>
    <w:rsid w:val="00AC54D2"/>
    <w:rsid w:val="00AD5FDC"/>
    <w:rsid w:val="00B16A32"/>
    <w:rsid w:val="00BF2507"/>
    <w:rsid w:val="00BF322D"/>
    <w:rsid w:val="00C97A2C"/>
    <w:rsid w:val="00CF1585"/>
    <w:rsid w:val="00D2328D"/>
    <w:rsid w:val="00D66120"/>
    <w:rsid w:val="00D77792"/>
    <w:rsid w:val="00D77A0D"/>
    <w:rsid w:val="00DA4203"/>
    <w:rsid w:val="00DF51D5"/>
    <w:rsid w:val="00E77D33"/>
    <w:rsid w:val="00EA0681"/>
    <w:rsid w:val="00ED338D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BFE4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3B72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8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8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8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51</cp:revision>
  <dcterms:created xsi:type="dcterms:W3CDTF">2019-04-15T07:53:00Z</dcterms:created>
  <dcterms:modified xsi:type="dcterms:W3CDTF">2020-07-16T11:50:00Z</dcterms:modified>
</cp:coreProperties>
</file>