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1D" w:rsidRPr="0086584C" w:rsidRDefault="00873F1D" w:rsidP="00873F1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 xml:space="preserve">Հավելված </w:t>
      </w:r>
    </w:p>
    <w:p w:rsidR="00873F1D" w:rsidRPr="0086584C" w:rsidRDefault="00873F1D" w:rsidP="00873F1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>Հաստատված է՝</w:t>
      </w:r>
    </w:p>
    <w:p w:rsidR="00873F1D" w:rsidRPr="0086584C" w:rsidRDefault="00873F1D" w:rsidP="00873F1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>վարչապետի աշխատակազմի ղեկավարի</w:t>
      </w:r>
    </w:p>
    <w:p w:rsidR="00873F1D" w:rsidRPr="0086584C" w:rsidRDefault="00873F1D" w:rsidP="00873F1D">
      <w:pPr>
        <w:spacing w:after="0" w:line="276" w:lineRule="auto"/>
        <w:jc w:val="right"/>
        <w:rPr>
          <w:rFonts w:ascii="GHEA Grapalat" w:eastAsia="Times New Roman" w:hAnsi="GHEA Grapalat" w:cs="Sylfaen"/>
          <w:lang w:val="hy-AM"/>
        </w:rPr>
      </w:pPr>
      <w:r w:rsidRPr="0086584C">
        <w:rPr>
          <w:rFonts w:ascii="GHEA Grapalat" w:eastAsia="Times New Roman" w:hAnsi="GHEA Grapalat" w:cs="Sylfaen"/>
          <w:lang w:val="hy-AM"/>
        </w:rPr>
        <w:t>2019 թ. օգոստոսի 2-ի N 784-Լ հրամանով</w:t>
      </w:r>
    </w:p>
    <w:p w:rsidR="002571F6" w:rsidRPr="002571F6" w:rsidRDefault="002571F6" w:rsidP="002571F6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2571F6" w:rsidRPr="00873F1D" w:rsidRDefault="002571F6" w:rsidP="00873F1D">
      <w:pPr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2571F6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2571F6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2571F6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2571F6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2571F6" w:rsidRPr="002571F6" w:rsidRDefault="002571F6" w:rsidP="002571F6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2571F6"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ՔԱՂԱՔԱՑԻԱԿԱՆ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ԾԱՌԱՅՈՒԹՅԱՆ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ԳՐԱՍԵՆՅԱԿԻ</w:t>
      </w:r>
      <w:r w:rsidRPr="002571F6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2B7AAF" w:rsidRPr="00705958">
        <w:rPr>
          <w:rFonts w:ascii="GHEA Grapalat" w:eastAsia="Sylfaen" w:hAnsi="GHEA Grapalat" w:cs="Sylfaen"/>
          <w:b/>
          <w:sz w:val="24"/>
          <w:lang w:val="hy-AM"/>
        </w:rPr>
        <w:t xml:space="preserve">ՎԵՐԼՈՒԾՈՒԹՅԱՆ </w:t>
      </w:r>
      <w:r w:rsidR="002B7AAF">
        <w:rPr>
          <w:rFonts w:ascii="GHEA Grapalat" w:eastAsia="Sylfaen" w:hAnsi="GHEA Grapalat" w:cs="Sylfaen"/>
          <w:b/>
          <w:sz w:val="24"/>
          <w:lang w:val="hy-AM"/>
        </w:rPr>
        <w:t>ԵՎ</w:t>
      </w:r>
      <w:r w:rsidR="002B7AAF" w:rsidRPr="00705958">
        <w:rPr>
          <w:rFonts w:ascii="GHEA Grapalat" w:eastAsia="Sylfaen" w:hAnsi="GHEA Grapalat" w:cs="Sylfaen"/>
          <w:b/>
          <w:sz w:val="24"/>
          <w:lang w:val="hy-AM"/>
        </w:rPr>
        <w:t xml:space="preserve"> ԶԱՐԳԱՑՄԱՆ ԾՐԱԳՐԵՐԻ</w:t>
      </w:r>
      <w:r w:rsidR="002B7AAF" w:rsidRPr="00705958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 xml:space="preserve">ՎԱՐՉՈՒԹՅԱՆ </w:t>
      </w:r>
      <w:r w:rsidR="000A12B1">
        <w:rPr>
          <w:rFonts w:ascii="GHEA Grapalat" w:eastAsia="Sylfaen" w:hAnsi="GHEA Grapalat" w:cs="Sylfaen"/>
          <w:b/>
          <w:sz w:val="24"/>
          <w:lang w:val="hy-AM"/>
        </w:rPr>
        <w:t xml:space="preserve">ԱՎԱԳ </w:t>
      </w:r>
      <w:r w:rsidRPr="002571F6">
        <w:rPr>
          <w:rFonts w:ascii="GHEA Grapalat" w:eastAsia="Sylfaen" w:hAnsi="GHEA Grapalat" w:cs="Sylfaen"/>
          <w:b/>
          <w:sz w:val="24"/>
          <w:lang w:val="hy-AM"/>
        </w:rPr>
        <w:t>ՄԱՍՆԱԳԵՏ</w:t>
      </w:r>
    </w:p>
    <w:p w:rsidR="002571F6" w:rsidRPr="002571F6" w:rsidRDefault="002571F6" w:rsidP="002571F6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8"/>
      </w:tblGrid>
      <w:tr w:rsidR="002571F6" w:rsidRPr="002571F6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360" w:lineRule="auto"/>
              <w:ind w:left="1080"/>
              <w:jc w:val="center"/>
              <w:rPr>
                <w:rFonts w:ascii="GHEA Grapalat" w:eastAsiaTheme="minorEastAsia" w:hAnsi="GHEA Grapalat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2571F6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2571F6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2571F6" w:rsidRPr="002571F6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1.1.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անվանումը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ծածկագիրը</w:t>
            </w:r>
            <w:proofErr w:type="spellEnd"/>
          </w:p>
          <w:p w:rsidR="002571F6" w:rsidRPr="002571F6" w:rsidRDefault="002571F6" w:rsidP="002571F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քաղաքացիական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ծառայության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>՝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Գրասենյակ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>)</w:t>
            </w:r>
            <w:r w:rsidRPr="002571F6">
              <w:rPr>
                <w:rFonts w:ascii="GHEA Grapalat" w:eastAsia="GHEA Grapalat" w:hAnsi="GHEA Grapalat" w:cs="GHEA Grapalat"/>
              </w:rPr>
              <w:t xml:space="preserve"> </w:t>
            </w:r>
            <w:r w:rsidR="00EA0459" w:rsidRPr="00EA0459">
              <w:rPr>
                <w:rFonts w:ascii="GHEA Grapalat" w:eastAsia="Sylfaen" w:hAnsi="GHEA Grapalat" w:cs="Sylfaen"/>
                <w:sz w:val="24"/>
                <w:lang w:val="hy-AM"/>
              </w:rPr>
              <w:t xml:space="preserve">աշխատանքի վարձատրության քաղաքականության վարչության (այսուհետ՝ Վարչություն) </w:t>
            </w:r>
            <w:r w:rsidR="000A12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ավագ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այսուհետ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>՝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EA0459">
              <w:rPr>
                <w:rFonts w:ascii="GHEA Grapalat" w:eastAsia="Sylfaen" w:hAnsi="GHEA Grapalat" w:cs="Sylfaen"/>
                <w:sz w:val="24"/>
                <w:lang w:val="hy-AM"/>
              </w:rPr>
              <w:t>Մ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ասնագետ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)</w:t>
            </w:r>
            <w:r w:rsidRPr="002571F6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(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ծածկագիրը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06</w:t>
            </w:r>
            <w:r w:rsidRPr="002571F6">
              <w:rPr>
                <w:rFonts w:ascii="GHEA Grapalat" w:eastAsia="Sylfaen" w:hAnsi="GHEA Grapalat" w:cs="Sylfaen"/>
                <w:sz w:val="24"/>
              </w:rPr>
              <w:t>-Գ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2</w:t>
            </w:r>
            <w:r w:rsidR="004A204F">
              <w:rPr>
                <w:rFonts w:ascii="GHEA Grapalat" w:eastAsia="GHEA Grapalat" w:hAnsi="GHEA Grapalat" w:cs="GHEA Grapalat"/>
                <w:sz w:val="24"/>
              </w:rPr>
              <w:t>6</w:t>
            </w:r>
            <w:r w:rsidR="009B7160">
              <w:rPr>
                <w:rFonts w:ascii="GHEA Grapalat" w:eastAsia="GHEA Grapalat" w:hAnsi="GHEA Grapalat" w:cs="GHEA Grapalat"/>
                <w:sz w:val="24"/>
                <w:lang w:val="hy-AM"/>
              </w:rPr>
              <w:t>-21.4</w:t>
            </w:r>
            <w:r w:rsidR="002E3702">
              <w:rPr>
                <w:rFonts w:ascii="GHEA Grapalat" w:eastAsia="GHEA Grapalat" w:hAnsi="GHEA Grapalat" w:cs="GHEA Grapalat"/>
                <w:sz w:val="24"/>
                <w:lang w:val="hy-AM"/>
              </w:rPr>
              <w:t>-</w:t>
            </w:r>
            <w:r w:rsidRPr="002571F6">
              <w:rPr>
                <w:rFonts w:ascii="GHEA Grapalat" w:eastAsia="Sylfaen" w:hAnsi="GHEA Grapalat" w:cs="Sylfaen"/>
                <w:sz w:val="24"/>
              </w:rPr>
              <w:t>Մ</w:t>
            </w:r>
            <w:r w:rsidR="00B622B2">
              <w:rPr>
                <w:rFonts w:ascii="GHEA Grapalat" w:eastAsia="GHEA Grapalat" w:hAnsi="GHEA Grapalat" w:cs="GHEA Grapalat"/>
                <w:sz w:val="24"/>
                <w:lang w:val="hy-AM"/>
              </w:rPr>
              <w:t>3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>-1)</w:t>
            </w:r>
          </w:p>
          <w:p w:rsidR="002571F6" w:rsidRPr="002571F6" w:rsidRDefault="002571F6" w:rsidP="002571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1.2.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</w:rPr>
              <w:t>է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:rsidR="002571F6" w:rsidRPr="002571F6" w:rsidRDefault="00C961D8" w:rsidP="002571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Մ</w:t>
            </w:r>
            <w:r w:rsidR="002571F6" w:rsidRPr="002571F6">
              <w:rPr>
                <w:rFonts w:ascii="GHEA Grapalat" w:eastAsia="Sylfaen" w:hAnsi="GHEA Grapalat" w:cs="Sylfaen"/>
                <w:sz w:val="24"/>
                <w:lang w:val="hy-AM"/>
              </w:rPr>
              <w:t>ասնագետը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Sylfaen" w:hAnsi="GHEA Grapalat" w:cs="Sylfaen"/>
                <w:sz w:val="24"/>
              </w:rPr>
              <w:t>և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Sylfaen" w:hAnsi="GHEA Grapalat" w:cs="Sylfaen"/>
                <w:sz w:val="24"/>
              </w:rPr>
              <w:t>է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պետին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1.3.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Փոխարինող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կամ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պաշտոնների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անվանումները</w:t>
            </w:r>
            <w:proofErr w:type="spellEnd"/>
          </w:p>
          <w:p w:rsidR="002571F6" w:rsidRPr="002571F6" w:rsidRDefault="00C961D8" w:rsidP="002571F6">
            <w:pPr>
              <w:spacing w:after="0"/>
              <w:jc w:val="both"/>
              <w:rPr>
                <w:rFonts w:ascii="GHEA Grapalat" w:eastAsia="GHEA Grapalat" w:hAnsi="GHEA Grapalat" w:cs="GHEA Grapalat"/>
                <w:sz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Մ</w:t>
            </w:r>
            <w:r w:rsidR="002571F6" w:rsidRPr="002571F6">
              <w:rPr>
                <w:rFonts w:ascii="GHEA Grapalat" w:eastAsia="Sylfaen" w:hAnsi="GHEA Grapalat" w:cs="Sylfaen"/>
                <w:sz w:val="24"/>
                <w:lang w:val="hy-AM"/>
              </w:rPr>
              <w:t>ասնագետի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բացակայության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դեպքում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նրան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փոխարինում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Sylfaen" w:hAnsi="GHEA Grapalat" w:cs="Sylfaen"/>
                <w:sz w:val="24"/>
              </w:rPr>
              <w:t>է</w:t>
            </w:r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2571F6"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մասնագետներից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sz w:val="24"/>
              </w:rPr>
              <w:t>մեկը</w:t>
            </w:r>
            <w:proofErr w:type="spellEnd"/>
            <w:r w:rsidR="002571F6" w:rsidRPr="002571F6">
              <w:rPr>
                <w:rFonts w:ascii="GHEA Grapalat" w:eastAsia="GHEA Grapalat" w:hAnsi="GHEA Grapalat" w:cs="GHEA Grapalat"/>
                <w:sz w:val="24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</w:rPr>
              <w:t xml:space="preserve">1.4.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Աշխատավայրը</w:t>
            </w:r>
            <w:proofErr w:type="spellEnd"/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Theme="minorEastAsia" w:hAnsi="GHEA Grapalat"/>
              </w:rPr>
            </w:pP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Հայաստան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>, ք</w:t>
            </w:r>
            <w:r w:rsidRPr="002571F6">
              <w:rPr>
                <w:rFonts w:ascii="GHEA Grapalat" w:eastAsia="GHEA Grapalat" w:hAnsi="GHEA Grapalat" w:cs="GHEA Grapalat"/>
                <w:sz w:val="24"/>
              </w:rPr>
              <w:t xml:space="preserve">.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Երևան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Կենտրոն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վարչական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շրջան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, </w:t>
            </w:r>
            <w:proofErr w:type="spellStart"/>
            <w:r w:rsidRPr="002571F6">
              <w:rPr>
                <w:rFonts w:ascii="GHEA Grapalat" w:eastAsia="Sylfaen" w:hAnsi="GHEA Grapalat" w:cs="Sylfaen"/>
                <w:sz w:val="24"/>
              </w:rPr>
              <w:t>Տերյան</w:t>
            </w:r>
            <w:proofErr w:type="spellEnd"/>
            <w:r w:rsidRPr="002571F6">
              <w:rPr>
                <w:rFonts w:ascii="GHEA Grapalat" w:eastAsia="Sylfaen" w:hAnsi="GHEA Grapalat" w:cs="Sylfaen"/>
                <w:sz w:val="24"/>
              </w:rPr>
              <w:t xml:space="preserve"> 89</w:t>
            </w:r>
          </w:p>
        </w:tc>
      </w:tr>
      <w:tr w:rsidR="002571F6" w:rsidRPr="00873F1D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EB374B">
            <w:pPr>
              <w:spacing w:after="0" w:line="240" w:lineRule="auto"/>
              <w:ind w:firstLine="499"/>
              <w:jc w:val="center"/>
              <w:rPr>
                <w:rFonts w:ascii="GHEA Grapalat" w:eastAsia="Sylfaen" w:hAnsi="GHEA Grapalat" w:cs="Sylfaen"/>
                <w:b/>
                <w:sz w:val="24"/>
              </w:rPr>
            </w:pPr>
            <w:r w:rsidRPr="002571F6">
              <w:rPr>
                <w:rFonts w:ascii="GHEA Grapalat" w:eastAsia="Sylfaen" w:hAnsi="GHEA Grapalat" w:cs="Sylfaen"/>
                <w:b/>
                <w:sz w:val="24"/>
              </w:rPr>
              <w:t xml:space="preserve">2.Պաշտոնի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</w:rPr>
              <w:t>բնութագիրը</w:t>
            </w:r>
            <w:proofErr w:type="spellEnd"/>
          </w:p>
          <w:p w:rsidR="002571F6" w:rsidRPr="002571F6" w:rsidRDefault="002571F6" w:rsidP="003F54B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</w:rPr>
            </w:pPr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 xml:space="preserve">2.1. </w:t>
            </w:r>
            <w:proofErr w:type="spellStart"/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>Աշխատանքի</w:t>
            </w:r>
            <w:proofErr w:type="spellEnd"/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>բնույթը</w:t>
            </w:r>
            <w:proofErr w:type="spellEnd"/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>իրավունքները</w:t>
            </w:r>
            <w:proofErr w:type="spellEnd"/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 w:rsidRPr="003F54BC">
              <w:rPr>
                <w:rFonts w:ascii="GHEA Grapalat" w:eastAsia="GHEA Grapalat" w:hAnsi="GHEA Grapalat" w:cs="GHEA Grapalat"/>
                <w:b/>
                <w:sz w:val="24"/>
              </w:rPr>
              <w:t>պարտականությունները</w:t>
            </w:r>
            <w:proofErr w:type="spellEnd"/>
          </w:p>
          <w:p w:rsidR="00873F1D" w:rsidRPr="00873F1D" w:rsidRDefault="007B0090" w:rsidP="00873F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3F1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87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պետական պաշտոններ և պետական ծառայության պաշտոններ զբաղեցնող անձանց վարձատրության չափերի փոփոխության իրականացման նպատակով ըստ մասնագիտությունների և տարածքների աշխատանքի շուկայի վերլուծության աշխատանքները</w:t>
            </w:r>
            <w:r w:rsidRPr="00873F1D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B0090" w:rsidRPr="00873F1D" w:rsidRDefault="007B0090" w:rsidP="00873F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3F1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87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վերլուծություններ՝ քաղաքացիական ծառայության համակարգից կադրերի </w:t>
            </w:r>
            <w:proofErr w:type="spellStart"/>
            <w:r w:rsidRPr="00873F1D">
              <w:rPr>
                <w:rFonts w:ascii="GHEA Grapalat" w:hAnsi="GHEA Grapalat"/>
                <w:sz w:val="24"/>
                <w:szCs w:val="24"/>
                <w:lang w:val="hy-AM"/>
              </w:rPr>
              <w:t>հոսունության</w:t>
            </w:r>
            <w:proofErr w:type="spellEnd"/>
            <w:r w:rsidRPr="0087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դինամիկայի, ինչպես նաև կադրերի </w:t>
            </w:r>
            <w:proofErr w:type="spellStart"/>
            <w:r w:rsidRPr="00873F1D">
              <w:rPr>
                <w:rFonts w:ascii="GHEA Grapalat" w:hAnsi="GHEA Grapalat"/>
                <w:sz w:val="24"/>
                <w:szCs w:val="24"/>
                <w:lang w:val="hy-AM"/>
              </w:rPr>
              <w:t>հոսունությանը</w:t>
            </w:r>
            <w:proofErr w:type="spellEnd"/>
            <w:r w:rsidRPr="0087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պայմանների բացահայտման նպատակով</w:t>
            </w:r>
            <w:r w:rsidRPr="00873F1D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7B0090" w:rsidRPr="00873F1D" w:rsidRDefault="007B0090" w:rsidP="00873F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73F1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 է Վարչության գործառույթներից բխող իրավական ակտերի նախագծերի մշակման աշխատանքներ</w:t>
            </w:r>
            <w:r w:rsidRPr="00873F1D">
              <w:rPr>
                <w:rFonts w:ascii="GHEA Grapalat" w:hAnsi="GHEA Grapalat" w:cs="Arial" w:hint="eastAsia"/>
                <w:sz w:val="24"/>
                <w:szCs w:val="24"/>
                <w:lang w:val="hy-AM"/>
              </w:rPr>
              <w:t>․</w:t>
            </w:r>
          </w:p>
          <w:p w:rsidR="007B0090" w:rsidRPr="007B0090" w:rsidRDefault="007B0090" w:rsidP="00873F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3F1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 է պետական մարմիններում աշխատանքի վարձատրության քաղաքականության մշակման աշխատանքներին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0090" w:rsidRPr="00873F1D" w:rsidRDefault="007B0090" w:rsidP="00873F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73F1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մասնակցում է կատարողականի գնահատման արդյունքների </w:t>
            </w:r>
            <w:proofErr w:type="spellStart"/>
            <w:r w:rsidRPr="00873F1D">
              <w:rPr>
                <w:rFonts w:ascii="GHEA Grapalat" w:hAnsi="GHEA Grapalat" w:cs="Arial"/>
                <w:sz w:val="24"/>
                <w:szCs w:val="24"/>
                <w:lang w:val="hy-AM"/>
              </w:rPr>
              <w:t>մոնիթորինգի</w:t>
            </w:r>
            <w:proofErr w:type="spellEnd"/>
            <w:r w:rsidRPr="00873F1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դրա հիման վրա համապատասխան վերլուծությունների իրականացման աշխատանքներին</w:t>
            </w:r>
            <w:r w:rsidRPr="00873F1D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2571F6" w:rsidRPr="007B0090" w:rsidRDefault="002571F6" w:rsidP="007B0090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7B0090">
              <w:rPr>
                <w:rFonts w:ascii="GHEA Grapalat" w:eastAsia="Calibri" w:hAnsi="GHEA Grapalat" w:cs="Calibri"/>
                <w:b/>
                <w:sz w:val="24"/>
                <w:lang w:val="hy-AM"/>
              </w:rPr>
              <w:t>Ի</w:t>
            </w:r>
            <w:r w:rsidRPr="007B0090">
              <w:rPr>
                <w:rFonts w:ascii="GHEA Grapalat" w:eastAsia="Sylfaen" w:hAnsi="GHEA Grapalat" w:cs="Sylfaen"/>
                <w:b/>
                <w:sz w:val="24"/>
                <w:lang w:val="hy-AM"/>
              </w:rPr>
              <w:t>րավունքները՝</w:t>
            </w:r>
          </w:p>
          <w:p w:rsidR="007B0090" w:rsidRP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վարձատրության չափերի փոփոխության իրականացման նպատակով ըստ մասնագիտությունների և տարածքների աշխատանքի շուկայի վերլուծության աշխատանքների իրականացման նպատակով պետական մարմիններից պահանջել ներկայացնել Հ</w:t>
            </w:r>
            <w:r w:rsidR="00780D4D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այաստանի </w:t>
            </w: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Հ</w:t>
            </w:r>
            <w:r w:rsidR="00780D4D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անրապետության</w:t>
            </w: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 կառավարության որոշմամբ սահմանված տեղեկատվությունը</w:t>
            </w:r>
            <w:r w:rsidRPr="007B0090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</w:p>
          <w:p w:rsid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պետական մարմիններից պահանջել ներկայացնել անհրաժեշտ տեղեկատվություն</w:t>
            </w:r>
            <w:r w:rsidRPr="007B0090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</w:p>
          <w:p w:rsidR="001B5E08" w:rsidRP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պետական մարմիններից պահանջել ներկայացնել կատարողականի գնահատման արդյունքների, ինչպես նաև  կադրերի </w:t>
            </w:r>
            <w:proofErr w:type="spellStart"/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հոսունության</w:t>
            </w:r>
            <w:proofErr w:type="spellEnd"/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 վերաբերյալ տեղեկատվություն։</w:t>
            </w:r>
          </w:p>
          <w:p w:rsidR="002571F6" w:rsidRPr="001B5E08" w:rsidRDefault="002571F6" w:rsidP="00EB374B">
            <w:pPr>
              <w:spacing w:after="0" w:line="240" w:lineRule="auto"/>
              <w:ind w:right="11" w:firstLine="49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1B5E08">
              <w:rPr>
                <w:rFonts w:ascii="GHEA Grapalat" w:eastAsia="Sylfaen" w:hAnsi="GHEA Grapalat" w:cs="Sylfaen"/>
                <w:b/>
                <w:sz w:val="24"/>
                <w:lang w:val="hy-AM"/>
              </w:rPr>
              <w:t xml:space="preserve">Պարտականությունները՝ </w:t>
            </w:r>
          </w:p>
          <w:p w:rsidR="007B0090" w:rsidRP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ուսումնասիրել աշխատանքի վարձատրության քաղաքականության բնագավառում միջազգային փորձը, համապատասխան մարմիններից ստացված տեղեկատվությունը և ներկայացնել համապատասխան առաջարկություններ</w:t>
            </w:r>
            <w:r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․</w:t>
            </w:r>
          </w:p>
          <w:p w:rsidR="007B0090" w:rsidRP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պետական պաշտոններ և պետական ծառայության պաշտոններ զբաղեցնող անձանց վարձատրության չափերի վերաբերյալ ստացված տեղեկատվությունն ուսումնասիրել և ամփոփել</w:t>
            </w:r>
            <w:r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․</w:t>
            </w:r>
          </w:p>
          <w:p w:rsidR="007B0090" w:rsidRP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ուսումնասիրել կատարողականի գնահատման արդյունքները</w:t>
            </w:r>
            <w:r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․</w:t>
            </w:r>
          </w:p>
          <w:p w:rsid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ուսումնասիրել քաղաքացիական ծառայության համակարգից կադրերի </w:t>
            </w:r>
            <w:proofErr w:type="spellStart"/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հոսունության</w:t>
            </w:r>
            <w:proofErr w:type="spellEnd"/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 դինամիկան, բացահայտել կադրերի </w:t>
            </w:r>
            <w:proofErr w:type="spellStart"/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հոսունությանը</w:t>
            </w:r>
            <w:proofErr w:type="spellEnd"/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 նպաստող պայմանները</w:t>
            </w:r>
            <w:r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․</w:t>
            </w:r>
          </w:p>
          <w:p w:rsidR="002571F6" w:rsidRPr="007B0090" w:rsidRDefault="007B0090" w:rsidP="007B0090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right="11"/>
              <w:contextualSpacing/>
              <w:jc w:val="both"/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</w:pPr>
            <w:r w:rsidRPr="007B0090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ուսումնասիրել աշխատանքի վարձատրության ոլորտը կարգավորող իրավական ակտերը և, իր լիազորությունների շրջանակում, ներկայացնել մասնագիտական առաջարկություններ</w:t>
            </w:r>
            <w:r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2571F6" w:rsidRPr="002571F6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2571F6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պահանջները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3.1.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Կրթություն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որակավորման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աստիճանը</w:t>
            </w:r>
          </w:p>
          <w:p w:rsidR="00DB1DE0" w:rsidRPr="00AE4A67" w:rsidRDefault="00DB1DE0" w:rsidP="00DB1DE0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61"/>
              <w:gridCol w:w="5282"/>
            </w:tblGrid>
            <w:tr w:rsidR="00DB1DE0" w:rsidRPr="00873F1D" w:rsidTr="007D381C">
              <w:tc>
                <w:tcPr>
                  <w:tcW w:w="749" w:type="dxa"/>
                </w:tcPr>
                <w:p w:rsidR="00DB1DE0" w:rsidRPr="00DA404F" w:rsidRDefault="00DB1DE0" w:rsidP="00DB1DE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E4A6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61" w:type="dxa"/>
                </w:tcPr>
                <w:p w:rsidR="00DB1DE0" w:rsidRPr="00DA404F" w:rsidRDefault="00DB1DE0" w:rsidP="00DB1DE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82" w:type="dxa"/>
                </w:tcPr>
                <w:p w:rsidR="00DB1DE0" w:rsidRPr="0076521C" w:rsidRDefault="00DB1DE0" w:rsidP="00DB1DE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B1DE0" w:rsidRPr="00873F1D" w:rsidTr="00E178F4">
              <w:trPr>
                <w:trHeight w:val="420"/>
              </w:trPr>
              <w:tc>
                <w:tcPr>
                  <w:tcW w:w="749" w:type="dxa"/>
                </w:tcPr>
                <w:p w:rsidR="00DB1DE0" w:rsidRPr="00DA404F" w:rsidRDefault="00DB1DE0" w:rsidP="00DB1DE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61" w:type="dxa"/>
                </w:tcPr>
                <w:p w:rsidR="00DB1DE0" w:rsidRPr="00DA404F" w:rsidRDefault="00DB1DE0" w:rsidP="00DB1DE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282" w:type="dxa"/>
                </w:tcPr>
                <w:p w:rsidR="00DB1DE0" w:rsidRDefault="00DB1DE0" w:rsidP="00DB1DE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  <w:p w:rsidR="00E178F4" w:rsidRPr="0076521C" w:rsidRDefault="00E178F4" w:rsidP="00DB1DE0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</w:p>
              </w:tc>
            </w:tr>
            <w:tr w:rsidR="00F33754" w:rsidRPr="00873F1D" w:rsidTr="007D381C">
              <w:trPr>
                <w:trHeight w:val="225"/>
              </w:trPr>
              <w:tc>
                <w:tcPr>
                  <w:tcW w:w="749" w:type="dxa"/>
                </w:tcPr>
                <w:p w:rsidR="00F33754" w:rsidRPr="00280501" w:rsidRDefault="00F33754" w:rsidP="00F33754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8050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61" w:type="dxa"/>
                </w:tcPr>
                <w:p w:rsidR="00F33754" w:rsidRPr="00A56DB2" w:rsidRDefault="00F33754" w:rsidP="00F33754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82" w:type="dxa"/>
                </w:tcPr>
                <w:p w:rsidR="00F33754" w:rsidRDefault="00F33754" w:rsidP="00F33754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DB1DE0" w:rsidRDefault="00DB1DE0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3.2.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Մասնագիտական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գիտելիքները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Ունի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 իրականացման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համար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2571F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sz w:val="24"/>
                <w:lang w:val="hy-AM"/>
              </w:rPr>
              <w:t>գիտելիքներ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3.3.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Աշխատանքային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ստաժ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բնագավառում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փորձը</w:t>
            </w:r>
          </w:p>
          <w:p w:rsidR="00907BB9" w:rsidRPr="00F31F8B" w:rsidRDefault="00907BB9" w:rsidP="00907BB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Հանրային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ծառայության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առնվազն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>մեկ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73F1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մեկ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մասնագիտական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73F1D" w:rsidRPr="00873F1D">
              <w:rPr>
                <w:rFonts w:ascii="GHEA Grapalat" w:eastAsia="Sylfaen" w:hAnsi="GHEA Grapalat" w:cs="Sylfaen"/>
                <w:sz w:val="24"/>
                <w:lang w:val="hy-AM"/>
              </w:rPr>
              <w:t>իրավունքի բնագավառի՝ իրավաբանի կամ տնտեսագիտության բնագավառում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` </w:t>
            </w:r>
            <w:r w:rsidR="00873F1D">
              <w:rPr>
                <w:rFonts w:ascii="GHEA Grapalat" w:eastAsia="GHEA Grapalat" w:hAnsi="GHEA Grapalat" w:cs="GHEA Grapalat"/>
                <w:sz w:val="24"/>
                <w:lang w:val="hy-AM"/>
              </w:rPr>
              <w:t>մեկ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31F8B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Pr="00F31F8B">
              <w:rPr>
                <w:rFonts w:ascii="GHEA Grapalat" w:eastAsia="GHEA Grapalat" w:hAnsi="GHEA Grapalat" w:cs="GHEA Grapalat"/>
                <w:sz w:val="24"/>
                <w:lang w:val="hy-AM"/>
              </w:rPr>
              <w:t>:</w:t>
            </w:r>
          </w:p>
          <w:p w:rsidR="002571F6" w:rsidRPr="002571F6" w:rsidRDefault="0039557C" w:rsidP="002571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907BB9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71F6"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3.4. </w:t>
            </w:r>
            <w:r w:rsidR="002571F6"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Անհրաժեշտ</w:t>
            </w:r>
            <w:r w:rsidR="002571F6"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2571F6"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կոմպետենցիաներ</w:t>
            </w:r>
            <w:proofErr w:type="spellEnd"/>
          </w:p>
          <w:p w:rsidR="002571F6" w:rsidRPr="002571F6" w:rsidRDefault="002571F6" w:rsidP="002571F6">
            <w:pPr>
              <w:spacing w:after="200" w:line="276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Ընդհանրական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կոմպետենցիաներ</w:t>
            </w:r>
            <w:proofErr w:type="spellEnd"/>
          </w:p>
          <w:p w:rsidR="00DE1D59" w:rsidRDefault="00E81ECE" w:rsidP="00DE1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E1D5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E1D59" w:rsidRDefault="00E81ECE" w:rsidP="00DE1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E1D5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E1D59" w:rsidRDefault="00E81ECE" w:rsidP="00DE1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E1D5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2571F6" w:rsidRPr="00DE1D59" w:rsidRDefault="00E81ECE" w:rsidP="00DE1D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DE1D5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  <w:r w:rsidRPr="00DE1D5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2571F6" w:rsidRPr="003F1435" w:rsidRDefault="002571F6" w:rsidP="002571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proofErr w:type="spellStart"/>
            <w:r w:rsidRPr="003F1435">
              <w:rPr>
                <w:rFonts w:ascii="GHEA Grapalat" w:eastAsia="Sylfaen" w:hAnsi="GHEA Grapalat" w:cs="Sylfaen"/>
                <w:b/>
                <w:sz w:val="24"/>
                <w:lang w:val="hy-AM"/>
              </w:rPr>
              <w:t>Ընտրանքային</w:t>
            </w:r>
            <w:proofErr w:type="spellEnd"/>
            <w:r w:rsidRPr="003F143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Pr="003F1435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կոմպետենցիաներ</w:t>
            </w:r>
            <w:proofErr w:type="spellEnd"/>
          </w:p>
          <w:p w:rsidR="00DE1D59" w:rsidRDefault="006B7CD1" w:rsidP="00DE1D5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417"/>
              <w:jc w:val="both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DE1D59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Ժամանակի</w:t>
            </w:r>
            <w:r w:rsidRPr="00DE1D59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 կառավարում</w:t>
            </w:r>
          </w:p>
          <w:p w:rsidR="00DE1D59" w:rsidRPr="00DE1D59" w:rsidRDefault="006B7CD1" w:rsidP="00DE1D5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417"/>
              <w:jc w:val="both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DE1D59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Կայացնում</w:t>
            </w:r>
            <w:r w:rsidRPr="00DE1D59">
              <w:rPr>
                <w:rFonts w:ascii="GHEA Grapalat" w:eastAsia="GHEA Grapalat" w:hAnsi="GHEA Grapalat" w:cs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DE1D59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է</w:t>
            </w:r>
            <w:r w:rsidRPr="00DE1D59">
              <w:rPr>
                <w:rFonts w:ascii="GHEA Grapalat" w:eastAsia="GHEA Grapalat" w:hAnsi="GHEA Grapalat" w:cs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DE1D59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իր</w:t>
            </w:r>
            <w:r w:rsidRPr="00DE1D59">
              <w:rPr>
                <w:rFonts w:ascii="GHEA Grapalat" w:eastAsia="GHEA Grapalat" w:hAnsi="GHEA Grapalat" w:cs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DE1D59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գործառույթներից</w:t>
            </w:r>
            <w:r w:rsidRPr="00DE1D59">
              <w:rPr>
                <w:rFonts w:ascii="GHEA Grapalat" w:eastAsia="GHEA Grapalat" w:hAnsi="GHEA Grapalat" w:cs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DE1D59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բխող</w:t>
            </w:r>
            <w:r w:rsidRPr="00DE1D59">
              <w:rPr>
                <w:rFonts w:ascii="GHEA Grapalat" w:eastAsia="GHEA Grapalat" w:hAnsi="GHEA Grapalat" w:cs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DE1D59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համապատասխան</w:t>
            </w:r>
            <w:r w:rsidRPr="00DE1D59">
              <w:rPr>
                <w:rFonts w:ascii="GHEA Grapalat" w:eastAsia="GHEA Grapalat" w:hAnsi="GHEA Grapalat" w:cs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DE1D59">
              <w:rPr>
                <w:rFonts w:ascii="GHEA Grapalat" w:eastAsia="Sylfaen" w:hAnsi="GHEA Grapalat" w:cs="Sylfaen"/>
                <w:noProof/>
                <w:sz w:val="24"/>
                <w:szCs w:val="24"/>
                <w:lang w:val="hy-AM"/>
              </w:rPr>
              <w:t>որոշումներ</w:t>
            </w:r>
          </w:p>
          <w:p w:rsidR="002571F6" w:rsidRPr="00DE1D59" w:rsidRDefault="006B7CD1" w:rsidP="00DE1D5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417"/>
              <w:jc w:val="both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DE1D59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Փաստաթղթերի</w:t>
            </w:r>
            <w:r w:rsidRPr="00DE1D59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 նախապատրաստում</w:t>
            </w:r>
          </w:p>
        </w:tc>
      </w:tr>
      <w:tr w:rsidR="002571F6" w:rsidRPr="00873F1D" w:rsidTr="00421273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1F6" w:rsidRPr="002571F6" w:rsidRDefault="002571F6" w:rsidP="002571F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2571F6" w:rsidRPr="002571F6" w:rsidRDefault="002571F6" w:rsidP="002571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6D7385" w:rsidRPr="006D7385" w:rsidRDefault="00780D4D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Պատասխանատու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bookmarkStart w:id="0" w:name="_GoBack"/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կառուցվածքային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ստորաբաժանման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բնույթով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պայմանավորված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անմիջական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արդյունքի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="006D7385" w:rsidRPr="006D73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4.2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.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6D7385" w:rsidRPr="00780D4D" w:rsidRDefault="00780D4D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Կայացնում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որոշումներ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կառուցվածքային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ստորաբաժանման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բնույթով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պայմանավորված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վերջնարդյունքին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նպաստող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միջանկյալ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արդյունքի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ստեղծման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շրջանակներում</w:t>
            </w:r>
            <w:proofErr w:type="spellEnd"/>
            <w:r w:rsidRPr="00780D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D7385" w:rsidRPr="00E336EE" w:rsidRDefault="00E336EE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Ունի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տվյալ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մարմնի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նպատակների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խնդիրների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արդյունքների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ապահովման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որոշակի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ոլորտին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վերաբերող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համապետական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ազդեցություն</w:t>
            </w:r>
            <w:proofErr w:type="spellEnd"/>
            <w:r w:rsidR="006D7385"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6D7385" w:rsidRPr="00E336EE" w:rsidRDefault="00E336EE" w:rsidP="002571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</w:t>
            </w:r>
            <w:bookmarkEnd w:id="0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ներկայացուցիչների հետ, հանդես է գալիս համապատասխան մարմնի ներսում և համապատասխան մարմնից դուրս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ձևավորված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մասնագիտական աշխատանքային խմբերում</w:t>
            </w:r>
            <w:r w:rsidR="006D7385"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:</w:t>
            </w:r>
          </w:p>
          <w:p w:rsidR="002571F6" w:rsidRPr="002571F6" w:rsidRDefault="002571F6" w:rsidP="002571F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2571F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71F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571F6" w:rsidRPr="006D7385" w:rsidRDefault="00E336EE" w:rsidP="002571F6">
            <w:pPr>
              <w:spacing w:after="0" w:line="240" w:lineRule="auto"/>
              <w:jc w:val="both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առջև</w:t>
            </w:r>
            <w:proofErr w:type="spellEnd"/>
            <w:r w:rsidRPr="00E336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դրված խնդիրների լուծմանը:</w:t>
            </w:r>
          </w:p>
        </w:tc>
      </w:tr>
    </w:tbl>
    <w:p w:rsidR="008858E6" w:rsidRPr="00AD00BF" w:rsidRDefault="008858E6">
      <w:pPr>
        <w:rPr>
          <w:rFonts w:ascii="Sylfaen" w:hAnsi="Sylfaen"/>
          <w:lang w:val="hy-AM"/>
        </w:rPr>
      </w:pPr>
    </w:p>
    <w:sectPr w:rsidR="008858E6" w:rsidRPr="00AD00BF" w:rsidSect="00E4659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B1"/>
    <w:multiLevelType w:val="hybridMultilevel"/>
    <w:tmpl w:val="F66E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456"/>
    <w:multiLevelType w:val="multilevel"/>
    <w:tmpl w:val="734490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F7562A"/>
    <w:multiLevelType w:val="hybridMultilevel"/>
    <w:tmpl w:val="813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1A9A"/>
    <w:multiLevelType w:val="hybridMultilevel"/>
    <w:tmpl w:val="7B12EE6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F1033"/>
    <w:multiLevelType w:val="hybridMultilevel"/>
    <w:tmpl w:val="17CAFD9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34DF"/>
    <w:multiLevelType w:val="hybridMultilevel"/>
    <w:tmpl w:val="1572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D4628"/>
    <w:multiLevelType w:val="multilevel"/>
    <w:tmpl w:val="6D1AF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5C5103"/>
    <w:multiLevelType w:val="hybridMultilevel"/>
    <w:tmpl w:val="BFA6BAE8"/>
    <w:lvl w:ilvl="0" w:tplc="F75E5A98">
      <w:start w:val="1"/>
      <w:numFmt w:val="decimal"/>
      <w:lvlText w:val="%1."/>
      <w:lvlJc w:val="left"/>
      <w:pPr>
        <w:ind w:left="936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74332342"/>
    <w:multiLevelType w:val="hybridMultilevel"/>
    <w:tmpl w:val="9FF05B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 w15:restartNumberingAfterBreak="0">
    <w:nsid w:val="745F3906"/>
    <w:multiLevelType w:val="hybridMultilevel"/>
    <w:tmpl w:val="CFB4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01FD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4"/>
    <w:rsid w:val="000A12B1"/>
    <w:rsid w:val="000D057B"/>
    <w:rsid w:val="000E55E1"/>
    <w:rsid w:val="001208B3"/>
    <w:rsid w:val="00172790"/>
    <w:rsid w:val="001B5E08"/>
    <w:rsid w:val="002320C6"/>
    <w:rsid w:val="002571F6"/>
    <w:rsid w:val="002B7AAF"/>
    <w:rsid w:val="002E3702"/>
    <w:rsid w:val="003339F4"/>
    <w:rsid w:val="0039557C"/>
    <w:rsid w:val="00396CC8"/>
    <w:rsid w:val="003E2CD9"/>
    <w:rsid w:val="003F1435"/>
    <w:rsid w:val="003F54BC"/>
    <w:rsid w:val="004A204F"/>
    <w:rsid w:val="005A3FCA"/>
    <w:rsid w:val="006B7CD1"/>
    <w:rsid w:val="006D7385"/>
    <w:rsid w:val="00780D4D"/>
    <w:rsid w:val="007B0090"/>
    <w:rsid w:val="007D381C"/>
    <w:rsid w:val="00873F1D"/>
    <w:rsid w:val="008858E6"/>
    <w:rsid w:val="00907BB9"/>
    <w:rsid w:val="009856A9"/>
    <w:rsid w:val="009B7160"/>
    <w:rsid w:val="00A115FC"/>
    <w:rsid w:val="00A47374"/>
    <w:rsid w:val="00AD00BF"/>
    <w:rsid w:val="00B622B2"/>
    <w:rsid w:val="00C812FE"/>
    <w:rsid w:val="00C961D8"/>
    <w:rsid w:val="00DA45E7"/>
    <w:rsid w:val="00DB1DE0"/>
    <w:rsid w:val="00DB3FBF"/>
    <w:rsid w:val="00DE1D59"/>
    <w:rsid w:val="00E13894"/>
    <w:rsid w:val="00E178F4"/>
    <w:rsid w:val="00E336EE"/>
    <w:rsid w:val="00E4659D"/>
    <w:rsid w:val="00E81ECE"/>
    <w:rsid w:val="00EA0459"/>
    <w:rsid w:val="00EB374B"/>
    <w:rsid w:val="00F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C688"/>
  <w15:chartTrackingRefBased/>
  <w15:docId w15:val="{AD1763A7-060D-4118-A279-9882EE9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B3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B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Gasparyan</dc:creator>
  <cp:keywords/>
  <dc:description/>
  <cp:lastModifiedBy>Lusine Mnacakanyan</cp:lastModifiedBy>
  <cp:revision>53</cp:revision>
  <dcterms:created xsi:type="dcterms:W3CDTF">2019-04-12T11:05:00Z</dcterms:created>
  <dcterms:modified xsi:type="dcterms:W3CDTF">2020-07-16T12:02:00Z</dcterms:modified>
</cp:coreProperties>
</file>