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F084" w14:textId="77777777" w:rsidR="008632C3" w:rsidRDefault="008632C3" w:rsidP="008632C3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</w:rPr>
        <w:t>Հավելված</w:t>
      </w:r>
    </w:p>
    <w:p w14:paraId="210000A0" w14:textId="77777777" w:rsidR="008632C3" w:rsidRDefault="008632C3" w:rsidP="008632C3">
      <w:pPr>
        <w:spacing w:after="0" w:line="240" w:lineRule="auto"/>
        <w:jc w:val="right"/>
        <w:rPr>
          <w:i/>
        </w:rPr>
      </w:pPr>
      <w:r>
        <w:rPr>
          <w:i/>
        </w:rPr>
        <w:t>Հաշվեքննիչ պալատի 2020 թվականի</w:t>
      </w:r>
    </w:p>
    <w:p w14:paraId="13672C9C" w14:textId="1E4363B8" w:rsidR="0082538E" w:rsidRDefault="008632C3" w:rsidP="008632C3">
      <w:pPr>
        <w:spacing w:after="0" w:line="240" w:lineRule="auto"/>
        <w:jc w:val="right"/>
        <w:rPr>
          <w:i/>
          <w:iCs/>
        </w:rPr>
      </w:pPr>
      <w:r>
        <w:rPr>
          <w:i/>
        </w:rPr>
        <w:t>հուլիսի 30-ի  թիվ</w:t>
      </w:r>
      <w:r>
        <w:rPr>
          <w:i/>
        </w:rPr>
        <w:t xml:space="preserve">  128</w:t>
      </w:r>
      <w:r>
        <w:rPr>
          <w:i/>
        </w:rPr>
        <w:t>-Ա որոշման</w:t>
      </w:r>
    </w:p>
    <w:p w14:paraId="659E20F2" w14:textId="61AEEC7A" w:rsidR="008632C3" w:rsidRDefault="008632C3" w:rsidP="008632C3">
      <w:pPr>
        <w:spacing w:after="0" w:line="240" w:lineRule="auto"/>
        <w:jc w:val="right"/>
        <w:rPr>
          <w:i/>
          <w:iCs/>
        </w:rPr>
      </w:pPr>
    </w:p>
    <w:p w14:paraId="0EB2EE33" w14:textId="77777777" w:rsidR="008632C3" w:rsidRPr="005B24F2" w:rsidRDefault="008632C3" w:rsidP="008632C3">
      <w:pPr>
        <w:jc w:val="center"/>
        <w:rPr>
          <w:i/>
          <w:iCs/>
        </w:rPr>
      </w:pPr>
    </w:p>
    <w:p w14:paraId="20217A54" w14:textId="77777777" w:rsidR="007F71CA" w:rsidRDefault="008C08B3" w:rsidP="002D7B0A">
      <w:pPr>
        <w:spacing w:after="0"/>
        <w:jc w:val="center"/>
        <w:rPr>
          <w:b/>
          <w:bCs/>
          <w:sz w:val="36"/>
          <w:szCs w:val="36"/>
        </w:rPr>
      </w:pPr>
      <w:r w:rsidRPr="007F71CA">
        <w:rPr>
          <w:b/>
          <w:bCs/>
          <w:sz w:val="36"/>
          <w:szCs w:val="36"/>
        </w:rPr>
        <w:t>ՀԱՅԱՍՏԱՆԻ ՀԱՆՐԱՊԵՏՈՒԹՅԱՆ</w:t>
      </w:r>
    </w:p>
    <w:p w14:paraId="25EFB7D5" w14:textId="097672DF" w:rsidR="008C08B3" w:rsidRPr="007F71CA" w:rsidRDefault="008C08B3" w:rsidP="002D7B0A">
      <w:pPr>
        <w:spacing w:after="0"/>
        <w:jc w:val="center"/>
        <w:rPr>
          <w:b/>
          <w:bCs/>
          <w:sz w:val="36"/>
          <w:szCs w:val="36"/>
        </w:rPr>
      </w:pPr>
      <w:r w:rsidRPr="007F71CA">
        <w:rPr>
          <w:b/>
          <w:bCs/>
          <w:sz w:val="36"/>
          <w:szCs w:val="36"/>
        </w:rPr>
        <w:t>ՀԱՇՎԵՔՆՆԻՉ ՊԱԼԱՏ</w:t>
      </w:r>
    </w:p>
    <w:p w14:paraId="786C1CED" w14:textId="77777777" w:rsidR="008C08B3" w:rsidRPr="00565A19" w:rsidRDefault="008C08B3" w:rsidP="00C60AA9">
      <w:pPr>
        <w:rPr>
          <w:b/>
          <w:bCs/>
          <w:sz w:val="32"/>
          <w:szCs w:val="32"/>
        </w:rPr>
      </w:pPr>
    </w:p>
    <w:p w14:paraId="669EA9EE" w14:textId="77777777" w:rsidR="008C08B3" w:rsidRPr="00565A19" w:rsidRDefault="008C08B3" w:rsidP="009E7941">
      <w:pPr>
        <w:jc w:val="center"/>
        <w:rPr>
          <w:rFonts w:cs="Sylfaen"/>
          <w:b/>
          <w:bCs/>
          <w:color w:val="000000"/>
          <w:sz w:val="36"/>
          <w:szCs w:val="32"/>
        </w:rPr>
      </w:pPr>
      <w:bookmarkStart w:id="0" w:name="_Hlk509559606"/>
      <w:r w:rsidRPr="00565A19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17DD2337" wp14:editId="199CBDE3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AD695D" w14:textId="77777777" w:rsidR="008C08B3" w:rsidRPr="00565A19" w:rsidRDefault="008C08B3" w:rsidP="00C60AA9">
      <w:pPr>
        <w:rPr>
          <w:b/>
          <w:bCs/>
          <w:sz w:val="32"/>
          <w:szCs w:val="32"/>
        </w:rPr>
      </w:pPr>
    </w:p>
    <w:p w14:paraId="00B007CE" w14:textId="77777777" w:rsidR="008C08B3" w:rsidRPr="007F71CA" w:rsidRDefault="008C08B3" w:rsidP="009E7941">
      <w:pPr>
        <w:jc w:val="center"/>
        <w:rPr>
          <w:b/>
          <w:bCs/>
          <w:i/>
          <w:sz w:val="36"/>
          <w:szCs w:val="36"/>
          <w:u w:val="single"/>
        </w:rPr>
      </w:pPr>
      <w:r w:rsidRPr="007F71CA">
        <w:rPr>
          <w:b/>
          <w:bCs/>
          <w:sz w:val="36"/>
          <w:szCs w:val="36"/>
        </w:rPr>
        <w:t>ԸՆԹԱՑԻԿ ԵԶՐԱԿԱՑՈՒԹՅՈՒՆ</w:t>
      </w:r>
    </w:p>
    <w:p w14:paraId="7C28166A" w14:textId="55444869" w:rsidR="008C08B3" w:rsidRPr="00BC6FB3" w:rsidRDefault="00653096" w:rsidP="009E7941">
      <w:pPr>
        <w:jc w:val="center"/>
        <w:rPr>
          <w:b/>
          <w:bCs/>
          <w:color w:val="808080"/>
          <w:sz w:val="28"/>
          <w:szCs w:val="22"/>
        </w:rPr>
      </w:pPr>
      <w:r w:rsidRPr="00BC6FB3">
        <w:rPr>
          <w:b/>
          <w:bCs/>
          <w:color w:val="808080"/>
          <w:sz w:val="28"/>
          <w:szCs w:val="22"/>
        </w:rPr>
        <w:t xml:space="preserve">ՀՀ </w:t>
      </w:r>
      <w:r w:rsidR="00221E48">
        <w:rPr>
          <w:b/>
          <w:bCs/>
          <w:color w:val="808080"/>
          <w:sz w:val="28"/>
          <w:szCs w:val="22"/>
        </w:rPr>
        <w:t>ՖԻՆԱՆՍՆԵՐԻ ՆԱԽԱՐԱՐՈՒԹՅՈՒՆՈՒՄ</w:t>
      </w:r>
      <w:r w:rsidRPr="00BC6FB3">
        <w:rPr>
          <w:b/>
          <w:bCs/>
          <w:color w:val="808080"/>
          <w:sz w:val="28"/>
          <w:szCs w:val="22"/>
        </w:rPr>
        <w:t xml:space="preserve"> 2020 ԹՎԱԿԱՆԻ ՊԵՏԱԿԱՆ ԲՅՈՒՋԵԻ ԵՐԵՔ ԱՄԻՍՆԵՐԻ </w:t>
      </w:r>
      <w:r w:rsidR="00221E48">
        <w:rPr>
          <w:b/>
          <w:bCs/>
          <w:color w:val="808080"/>
          <w:sz w:val="28"/>
          <w:szCs w:val="22"/>
        </w:rPr>
        <w:t>ԿԱՏԱՐՄԱՆ</w:t>
      </w:r>
      <w:r w:rsidRPr="00BC6FB3">
        <w:rPr>
          <w:b/>
          <w:bCs/>
          <w:color w:val="808080"/>
          <w:sz w:val="28"/>
          <w:szCs w:val="22"/>
        </w:rPr>
        <w:t xml:space="preserve"> </w:t>
      </w:r>
      <w:r w:rsidR="008C08B3" w:rsidRPr="00BC6FB3">
        <w:rPr>
          <w:b/>
          <w:bCs/>
          <w:color w:val="808080"/>
          <w:sz w:val="28"/>
          <w:szCs w:val="22"/>
        </w:rPr>
        <w:t>ՀԱՇՎԵՔՆՆՈՒԹՅԱՆ ԱՐԴՅՈՒՆՔՆԵՐԻ ՎԵՐԱԲԵՐՅԱԼ</w:t>
      </w:r>
    </w:p>
    <w:p w14:paraId="28F0E3A3" w14:textId="109A73E5" w:rsidR="00C96B6D" w:rsidRPr="000D57D8" w:rsidRDefault="00C96B6D" w:rsidP="009E7941">
      <w:pPr>
        <w:jc w:val="center"/>
      </w:pPr>
    </w:p>
    <w:p w14:paraId="105CBFE8" w14:textId="513AE519" w:rsidR="00CA76F7" w:rsidRPr="000D57D8" w:rsidRDefault="00CA76F7" w:rsidP="00C60AA9"/>
    <w:p w14:paraId="5B73C44D" w14:textId="033E9E1C" w:rsidR="00CA76F7" w:rsidRPr="000D57D8" w:rsidRDefault="00CA76F7" w:rsidP="00C60AA9"/>
    <w:p w14:paraId="14444D60" w14:textId="1B590E02" w:rsidR="00CA76F7" w:rsidRPr="000D57D8" w:rsidRDefault="00CA76F7" w:rsidP="00C60AA9"/>
    <w:p w14:paraId="552A3124" w14:textId="2E78E8EB" w:rsidR="00CA76F7" w:rsidRPr="000D57D8" w:rsidRDefault="00CA76F7" w:rsidP="00C60AA9"/>
    <w:p w14:paraId="5A5E5F90" w14:textId="7184F0B3" w:rsidR="00CA76F7" w:rsidRPr="000D57D8" w:rsidRDefault="00CA76F7" w:rsidP="00C60AA9"/>
    <w:p w14:paraId="1412F79E" w14:textId="4D22E17B" w:rsidR="00CA76F7" w:rsidRDefault="00CA76F7" w:rsidP="00C60AA9"/>
    <w:p w14:paraId="4E3104EC" w14:textId="77777777" w:rsidR="00EC365D" w:rsidRPr="000D57D8" w:rsidRDefault="00EC365D" w:rsidP="00C60AA9"/>
    <w:p w14:paraId="0ED0DA7D" w14:textId="33C9A8FB" w:rsidR="009E7941" w:rsidRPr="00DF230B" w:rsidRDefault="00CA76F7" w:rsidP="009E7941">
      <w:pPr>
        <w:jc w:val="center"/>
        <w:rPr>
          <w:sz w:val="28"/>
          <w:szCs w:val="28"/>
        </w:rPr>
      </w:pPr>
      <w:r w:rsidRPr="00DF230B">
        <w:rPr>
          <w:sz w:val="28"/>
          <w:szCs w:val="28"/>
        </w:rPr>
        <w:lastRenderedPageBreak/>
        <w:t>2020</w:t>
      </w:r>
    </w:p>
    <w:p w14:paraId="5A646459" w14:textId="77777777" w:rsidR="00597883" w:rsidRDefault="00597883" w:rsidP="009E7941">
      <w:pPr>
        <w:jc w:val="center"/>
      </w:pPr>
    </w:p>
    <w:bookmarkStart w:id="1" w:name="_Toc4702059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1813525155"/>
        <w:docPartObj>
          <w:docPartGallery w:val="Table of Contents"/>
          <w:docPartUnique/>
        </w:docPartObj>
      </w:sdtPr>
      <w:sdtEndPr>
        <w:rPr>
          <w:rFonts w:ascii="GHEA Grapalat" w:hAnsi="GHEA Grapalat"/>
          <w:noProof/>
          <w:sz w:val="24"/>
          <w:szCs w:val="24"/>
          <w:lang w:val="hy-AM"/>
        </w:rPr>
      </w:sdtEndPr>
      <w:sdtContent>
        <w:p w14:paraId="3B85E68C" w14:textId="1FD77744" w:rsidR="008F5570" w:rsidRPr="00B60C3E" w:rsidRDefault="004F4B2C" w:rsidP="00B60C3E">
          <w:pPr>
            <w:pStyle w:val="Heading1"/>
          </w:pPr>
          <w:r w:rsidRPr="00B60C3E">
            <w:t>ԲՈՎԱՆԴԱԿՈՒԹՅՈՒՆ</w:t>
          </w:r>
          <w:bookmarkEnd w:id="1"/>
        </w:p>
        <w:p w14:paraId="23C0152E" w14:textId="4A41B5AD" w:rsidR="00B70D08" w:rsidRDefault="008F5570">
          <w:pPr>
            <w:pStyle w:val="TOC1"/>
            <w:tabs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r w:rsidRPr="000D57D8">
            <w:fldChar w:fldCharType="begin"/>
          </w:r>
          <w:r w:rsidRPr="000D57D8">
            <w:instrText xml:space="preserve"> TOC \o "1-3" \h \z \u </w:instrText>
          </w:r>
          <w:r w:rsidRPr="000D57D8">
            <w:fldChar w:fldCharType="separate"/>
          </w:r>
          <w:hyperlink w:anchor="_Toc47020591" w:history="1">
            <w:r w:rsidR="00B70D08" w:rsidRPr="001C12C0">
              <w:rPr>
                <w:rStyle w:val="Hyperlink"/>
                <w:noProof/>
              </w:rPr>
              <w:t>ԲՈՎԱՆԴԱԿՈՒԹՅՈՒՆ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_Toc47020591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1AF93957" w14:textId="65B72E6C" w:rsidR="00B70D08" w:rsidRDefault="00347AB5">
          <w:pPr>
            <w:pStyle w:val="TOC1"/>
            <w:tabs>
              <w:tab w:val="left" w:pos="48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2" w:history="1">
            <w:r w:rsidR="00B70D08" w:rsidRPr="001C12C0">
              <w:rPr>
                <w:rStyle w:val="Hyperlink"/>
                <w:noProof/>
              </w:rPr>
              <w:t>I.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ԸՆԴՀԱՆՈՒՐ ՄԱՍ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_Toc47020592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5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661977D9" w14:textId="2BADB307" w:rsidR="00B70D08" w:rsidRDefault="00347AB5">
          <w:pPr>
            <w:pStyle w:val="TOC3"/>
            <w:tabs>
              <w:tab w:val="left" w:pos="88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3" w:history="1">
            <w:r w:rsidR="00B70D08" w:rsidRPr="001C12C0">
              <w:rPr>
                <w:rStyle w:val="Hyperlink"/>
                <w:noProof/>
              </w:rPr>
              <w:t>1.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ՀԱՐԿԱՅԻՆ ԵԿԱՄՈՒՏՆԵՐԻ ՎԵՐԱԲԵՐՅԱԼ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_Toc47020593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7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7A17B757" w14:textId="4BC4FF1E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4" w:history="1">
            <w:r w:rsidR="00B70D08" w:rsidRPr="001C12C0">
              <w:rPr>
                <w:rStyle w:val="Hyperlink"/>
                <w:noProof/>
              </w:rPr>
              <w:t>2.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ՊԱՇՏՈՆԱԿԱՆ ԴՐԱՄԱՇՆՈՐՀՆԵՐԻ ՎԵՐԱԲԵՐՅԱԼ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_Toc47020594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12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7AE179F1" w14:textId="511D913B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5" w:history="1">
            <w:r w:rsidR="00B70D08" w:rsidRPr="001C12C0">
              <w:rPr>
                <w:rStyle w:val="Hyperlink"/>
                <w:noProof/>
              </w:rPr>
              <w:t>3.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ԱՅԼ ԵԿԱՄՈՒՏՆԵՐԻ ՎԵՐԱԲԵՐՅԱԼ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_Toc47020595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13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370FFDC6" w14:textId="73C513C1" w:rsidR="00B70D08" w:rsidRDefault="00347AB5">
          <w:pPr>
            <w:pStyle w:val="TOC1"/>
            <w:tabs>
              <w:tab w:val="left" w:pos="48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6" w:history="1">
            <w:r w:rsidR="00B70D08" w:rsidRPr="001C12C0">
              <w:rPr>
                <w:rStyle w:val="Hyperlink"/>
                <w:noProof/>
              </w:rPr>
              <w:t>II.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ՖԻՆԱՆՍՆԵՐԻ ՆԱԽԱՐԱՐՈՒԹՅԱՆ ԿՈՂՄԻՑ ԻՐԱԿԱՆԱՑՎԱԾ ԾԱԽՍԵՐԻ ՎԵՐԱԲԵՐՅԱԼ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_Toc47020596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15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7B876C11" w14:textId="651E6318" w:rsidR="00B70D08" w:rsidRDefault="00347AB5">
          <w:pPr>
            <w:pStyle w:val="TOC3"/>
            <w:tabs>
              <w:tab w:val="left" w:pos="88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7" w:history="1">
            <w:r w:rsidR="00B70D08" w:rsidRPr="001C12C0">
              <w:rPr>
                <w:rStyle w:val="Hyperlink"/>
                <w:noProof/>
              </w:rPr>
              <w:t>1.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ԳՈՐԾԱԴԻՐ ԻՇԽԱՆՈՒԹՅԱՆ, ՊԵՏԱԿԱՆ ԿԱՌԱՎԱՐՄԱՆ ՀԱՆՐԱՊԵՏԱԿԱՆ ԵՎ ՏԱՐԱԾՔԱՅԻՆ ԿԱՌԱՎԱՐՄԱՆ ՄԱՐՄԻՆՆԵՐԻ ՊԱՀՊԱՆՈՒՄ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_Toc47020597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19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1549D1E6" w14:textId="3DB7473E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8" w:history="1">
            <w:r w:rsidR="00B70D08" w:rsidRPr="001C12C0">
              <w:rPr>
                <w:rStyle w:val="Hyperlink"/>
                <w:noProof/>
              </w:rPr>
              <w:t>2.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ԿԱՌԱՎԱՐՈՒԹՅԱՆ ՊԱՐՏՔԻ ՍՊԱՍԱՐԿՈՒՄ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_Toc47020598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20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4C0612A3" w14:textId="74B78694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599" w:history="1">
            <w:r w:rsidR="00B70D08" w:rsidRPr="001C12C0">
              <w:rPr>
                <w:rStyle w:val="Hyperlink"/>
                <w:noProof/>
              </w:rPr>
              <w:t>3.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ՄՈՒՐՀԱԿՆԵՐԻ ՍՊԱՍԱՐԿՈՒՄ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_Toc47020599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25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2005C5E4" w14:textId="25B114CD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600" w:history="1">
            <w:r w:rsidR="00B70D08" w:rsidRPr="001C12C0">
              <w:rPr>
                <w:rStyle w:val="Hyperlink"/>
                <w:noProof/>
              </w:rPr>
              <w:t>4.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ԴՈՏԱՑԻԱՆԵՐԻ ՏՐԱՄԱԴՐՈՒՄ ԵՎ ՀԱՄԱՅՆՔՆԵՐԻ ԲՅՈՒՋԵՆԵՐԻ ԵԿԱՄՈՒՏՆԵՐԻ ԿՈՐՈՒՍՏՆԵՐԻ ՓՈԽՀԱՏՈՒՑՈՒՄ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_Toc47020600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25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18858B08" w14:textId="67617845" w:rsidR="00B70D08" w:rsidRDefault="00347AB5">
          <w:pPr>
            <w:pStyle w:val="TOC3"/>
            <w:tabs>
              <w:tab w:val="left" w:pos="110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601" w:history="1">
            <w:r w:rsidR="00B70D08" w:rsidRPr="001C12C0">
              <w:rPr>
                <w:rStyle w:val="Hyperlink"/>
                <w:noProof/>
              </w:rPr>
              <w:t>5.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ՌԴ ԿՈՂՄԻՑ ՀՀ-ԻՆ ԱՆՀԱՏՈՒՅՑ ՖԻՆԱՆՍԱԿԱՆ ՕԳՆՈՒԹՅԱՆ ԴՐԱՄԱՇՆՈՐՀԱՅԻՆ ԾՐԱԳԻՐ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_Toc47020601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26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56336528" w14:textId="235E0F0D" w:rsidR="00B70D08" w:rsidRDefault="00347AB5">
          <w:pPr>
            <w:pStyle w:val="TOC1"/>
            <w:tabs>
              <w:tab w:val="left" w:pos="66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602" w:history="1">
            <w:r w:rsidR="00B70D08" w:rsidRPr="001C12C0">
              <w:rPr>
                <w:rStyle w:val="Hyperlink"/>
                <w:noProof/>
              </w:rPr>
              <w:t>III.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ԽԵՂԱԹՅՈՒՐՈՒՄՆԵՐԻ ՎԵՐԱԲԵՐՅԱԼ ԳՐԱՌՈՒՄՆԵՐ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_Toc47020602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27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0CBC92AA" w14:textId="2F41CD45" w:rsidR="00B70D08" w:rsidRDefault="00347AB5">
          <w:pPr>
            <w:pStyle w:val="TOC1"/>
            <w:tabs>
              <w:tab w:val="left" w:pos="660"/>
              <w:tab w:val="right" w:leader="dot" w:pos="10034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47020603" w:history="1">
            <w:r w:rsidR="00B70D08" w:rsidRPr="001C12C0">
              <w:rPr>
                <w:rStyle w:val="Hyperlink"/>
                <w:noProof/>
              </w:rPr>
              <w:t>IV.</w:t>
            </w:r>
            <w:r w:rsidR="00B70D08">
              <w:rPr>
                <w:rFonts w:asciiTheme="minorHAnsi" w:eastAsiaTheme="minorEastAsia" w:hAnsiTheme="minorHAnsi"/>
                <w:noProof/>
                <w:sz w:val="22"/>
                <w:szCs w:val="22"/>
                <w:lang w:val="en-US"/>
              </w:rPr>
              <w:tab/>
            </w:r>
            <w:r w:rsidR="00B70D08" w:rsidRPr="001C12C0">
              <w:rPr>
                <w:rStyle w:val="Hyperlink"/>
                <w:noProof/>
              </w:rPr>
              <w:t>ԱՌԱՋԱՐԿՈՒԹՅՈՒՆՆԵՐ</w:t>
            </w:r>
            <w:r w:rsidR="00B70D08">
              <w:rPr>
                <w:noProof/>
                <w:webHidden/>
              </w:rPr>
              <w:tab/>
            </w:r>
            <w:r w:rsidR="00B70D08">
              <w:rPr>
                <w:noProof/>
                <w:webHidden/>
              </w:rPr>
              <w:fldChar w:fldCharType="begin"/>
            </w:r>
            <w:r w:rsidR="00B70D08">
              <w:rPr>
                <w:noProof/>
                <w:webHidden/>
              </w:rPr>
              <w:instrText xml:space="preserve"> PAGEREF _Toc47020603 \h </w:instrText>
            </w:r>
            <w:r w:rsidR="00B70D08">
              <w:rPr>
                <w:noProof/>
                <w:webHidden/>
              </w:rPr>
            </w:r>
            <w:r w:rsidR="00B70D08">
              <w:rPr>
                <w:noProof/>
                <w:webHidden/>
              </w:rPr>
              <w:fldChar w:fldCharType="separate"/>
            </w:r>
            <w:r w:rsidR="00B70D08">
              <w:rPr>
                <w:noProof/>
                <w:webHidden/>
              </w:rPr>
              <w:t>27</w:t>
            </w:r>
            <w:r w:rsidR="00B70D08">
              <w:rPr>
                <w:noProof/>
                <w:webHidden/>
              </w:rPr>
              <w:fldChar w:fldCharType="end"/>
            </w:r>
          </w:hyperlink>
        </w:p>
        <w:p w14:paraId="1AEA5690" w14:textId="39534326" w:rsidR="008F5570" w:rsidRPr="000D57D8" w:rsidRDefault="008F5570" w:rsidP="00C60AA9">
          <w:r w:rsidRPr="000D57D8">
            <w:rPr>
              <w:noProof/>
            </w:rPr>
            <w:fldChar w:fldCharType="end"/>
          </w:r>
        </w:p>
      </w:sdtContent>
    </w:sdt>
    <w:p w14:paraId="477EFAF9" w14:textId="6CFBC4C3" w:rsidR="00C96B6D" w:rsidRPr="000D57D8" w:rsidRDefault="00C96B6D" w:rsidP="00C60AA9"/>
    <w:p w14:paraId="277E92C4" w14:textId="226AC8A0" w:rsidR="000069C5" w:rsidRPr="000D57D8" w:rsidRDefault="00A81E01" w:rsidP="00C60AA9">
      <w:r>
        <w:br w:type="page"/>
      </w:r>
    </w:p>
    <w:tbl>
      <w:tblPr>
        <w:tblpPr w:leftFromText="180" w:rightFromText="180" w:vertAnchor="text" w:horzAnchor="margin" w:tblpXSpec="center" w:tblpY="76"/>
        <w:tblW w:w="9432" w:type="dxa"/>
        <w:tblLook w:val="04A0" w:firstRow="1" w:lastRow="0" w:firstColumn="1" w:lastColumn="0" w:noHBand="0" w:noVBand="1"/>
      </w:tblPr>
      <w:tblGrid>
        <w:gridCol w:w="2718"/>
        <w:gridCol w:w="6714"/>
      </w:tblGrid>
      <w:tr w:rsidR="00B03737" w:rsidRPr="00B03737" w14:paraId="29479BAA" w14:textId="77777777" w:rsidTr="003E43D7">
        <w:tc>
          <w:tcPr>
            <w:tcW w:w="2718" w:type="dxa"/>
          </w:tcPr>
          <w:p w14:paraId="09DB0374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lastRenderedPageBreak/>
              <w:t>Հաշվեքննության հիմքը</w:t>
            </w:r>
          </w:p>
          <w:p w14:paraId="32202127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15A4AEDC" w14:textId="72764324" w:rsidR="00B03737" w:rsidRPr="00B03737" w:rsidRDefault="00B03737" w:rsidP="00C60AA9">
            <w:r w:rsidRPr="00B03737">
              <w:t>ՀՀ հաշվեքննիչ պալատի 202</w:t>
            </w:r>
            <w:r w:rsidR="00BC0F95">
              <w:t>0</w:t>
            </w:r>
            <w:r w:rsidRPr="00B03737">
              <w:t xml:space="preserve"> թվականի </w:t>
            </w:r>
            <w:r w:rsidRPr="00B03737">
              <w:softHyphen/>
            </w:r>
            <w:r w:rsidRPr="00B03737">
              <w:softHyphen/>
            </w:r>
            <w:r w:rsidRPr="00B03737">
              <w:softHyphen/>
            </w:r>
            <w:r w:rsidR="00FF3F7D">
              <w:t>մայիս</w:t>
            </w:r>
            <w:r w:rsidRPr="00B03737">
              <w:t xml:space="preserve">ի </w:t>
            </w:r>
            <w:r w:rsidR="00FF3F7D">
              <w:t>26</w:t>
            </w:r>
            <w:r w:rsidRPr="00B03737">
              <w:t xml:space="preserve">-ի թիվ </w:t>
            </w:r>
            <w:r w:rsidR="00FF3F7D">
              <w:t>7</w:t>
            </w:r>
            <w:r w:rsidR="000922FF">
              <w:rPr>
                <w:lang w:val="en-US"/>
              </w:rPr>
              <w:t>8</w:t>
            </w:r>
            <w:r w:rsidRPr="00B03737">
              <w:t>/</w:t>
            </w:r>
            <w:r w:rsidR="00FF3F7D">
              <w:t>Ա</w:t>
            </w:r>
            <w:r w:rsidRPr="00B03737">
              <w:t xml:space="preserve"> որոշում։</w:t>
            </w:r>
          </w:p>
          <w:p w14:paraId="69D4F1A8" w14:textId="77777777" w:rsidR="00B03737" w:rsidRPr="00B03737" w:rsidRDefault="00B03737" w:rsidP="00C60AA9"/>
        </w:tc>
      </w:tr>
      <w:tr w:rsidR="00B03737" w:rsidRPr="00B03737" w14:paraId="2F54CCBA" w14:textId="77777777" w:rsidTr="003E43D7">
        <w:tc>
          <w:tcPr>
            <w:tcW w:w="2718" w:type="dxa"/>
          </w:tcPr>
          <w:p w14:paraId="3B2B963C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Հաշվեքննության օբյեկտը</w:t>
            </w:r>
          </w:p>
          <w:p w14:paraId="122F4E99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3BE6EC0B" w14:textId="09AE5357" w:rsidR="00B03737" w:rsidRPr="00B03737" w:rsidRDefault="00B03737" w:rsidP="00C60AA9">
            <w:r w:rsidRPr="00B03737">
              <w:t xml:space="preserve">ՀՀ </w:t>
            </w:r>
            <w:r w:rsidR="00FB42C5">
              <w:t>ֆինանսների նախարարություն</w:t>
            </w:r>
            <w:r w:rsidRPr="00B03737">
              <w:t>։</w:t>
            </w:r>
          </w:p>
          <w:p w14:paraId="24FA3F22" w14:textId="77777777" w:rsidR="00B03737" w:rsidRPr="00B03737" w:rsidRDefault="00B03737" w:rsidP="00C60AA9"/>
        </w:tc>
      </w:tr>
      <w:tr w:rsidR="00B03737" w:rsidRPr="00B03737" w14:paraId="5EA2A6CF" w14:textId="77777777" w:rsidTr="003E43D7">
        <w:tc>
          <w:tcPr>
            <w:tcW w:w="2718" w:type="dxa"/>
          </w:tcPr>
          <w:p w14:paraId="633EB916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Հաշվեքննության առարկան</w:t>
            </w:r>
          </w:p>
          <w:p w14:paraId="784F5FB3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181746A6" w14:textId="53216305" w:rsidR="00B03737" w:rsidRPr="00B03737" w:rsidRDefault="0065523F" w:rsidP="00C60AA9">
            <w:r>
              <w:t>ՀՀ ֆինանսների նախարարությունում</w:t>
            </w:r>
            <w:r w:rsidR="008A716A" w:rsidRPr="008A716A">
              <w:t xml:space="preserve"> 2020 թվականի պետական բյուջեի երեք ամիսների մուտքերի ձ</w:t>
            </w:r>
            <w:r w:rsidR="00927387">
              <w:t>և</w:t>
            </w:r>
            <w:r w:rsidR="008A716A" w:rsidRPr="008A716A">
              <w:t xml:space="preserve">ավորման </w:t>
            </w:r>
            <w:r w:rsidR="00927387">
              <w:t>և</w:t>
            </w:r>
            <w:r w:rsidR="008A716A" w:rsidRPr="008A716A">
              <w:t xml:space="preserve"> ելքերի իրականացման կանոնակարգված</w:t>
            </w:r>
            <w:r w:rsidR="00927387">
              <w:t xml:space="preserve"> </w:t>
            </w:r>
            <w:r w:rsidR="008A716A" w:rsidRPr="00B03737">
              <w:t>գործունեություն։</w:t>
            </w:r>
          </w:p>
          <w:p w14:paraId="4FFE0214" w14:textId="77777777" w:rsidR="00B03737" w:rsidRPr="00B03737" w:rsidRDefault="00B03737" w:rsidP="00C60AA9"/>
        </w:tc>
      </w:tr>
      <w:tr w:rsidR="00B03737" w:rsidRPr="00AF0811" w14:paraId="164EB566" w14:textId="77777777" w:rsidTr="003E43D7">
        <w:tc>
          <w:tcPr>
            <w:tcW w:w="2718" w:type="dxa"/>
          </w:tcPr>
          <w:p w14:paraId="20E64278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Հաշվեքննության չափանիշները</w:t>
            </w:r>
          </w:p>
          <w:p w14:paraId="3C90C551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48052694" w14:textId="008BB0F0" w:rsidR="00B03737" w:rsidRPr="003C0C27" w:rsidRDefault="004333F6" w:rsidP="00C60AA9">
            <w:r w:rsidRPr="003C0C27">
              <w:t>«</w:t>
            </w:r>
            <w:r w:rsidR="00221BFB" w:rsidRPr="003C0C27">
              <w:t>ՀՀ բ</w:t>
            </w:r>
            <w:r w:rsidRPr="003C0C27">
              <w:t xml:space="preserve">յուջետային </w:t>
            </w:r>
            <w:r w:rsidR="0064288D" w:rsidRPr="003C0C27">
              <w:t>համակարգի մասին» ՀՀ օրենք, «</w:t>
            </w:r>
            <w:r w:rsidR="00ED15AD" w:rsidRPr="003C0C27">
              <w:t xml:space="preserve">ՀՀ </w:t>
            </w:r>
            <w:r w:rsidR="0064288D" w:rsidRPr="003C0C27">
              <w:t xml:space="preserve">2020 թվականի պետական բյուջեի մասին» ՀՀ օրենք, </w:t>
            </w:r>
            <w:r w:rsidR="00ED15AD" w:rsidRPr="003C0C27">
              <w:t>«Գանձապետական համակարգի մասին» ՀՀ օրենք</w:t>
            </w:r>
            <w:r w:rsidR="008C07D2" w:rsidRPr="003C0C27">
              <w:t>,</w:t>
            </w:r>
            <w:r w:rsidR="0032687A" w:rsidRPr="003C0C27">
              <w:t xml:space="preserve"> «Հանրային ծառայության մասին» ՀՀ օրենք,</w:t>
            </w:r>
            <w:r w:rsidR="008C07D2" w:rsidRPr="003C0C27">
              <w:t xml:space="preserve"> </w:t>
            </w:r>
            <w:r w:rsidR="00FB1BC5" w:rsidRPr="003C0C27">
              <w:t>«Հանրային հատվածի կազմակերպությունների հաշվապահական հաշվառման մասին» ՀՀ օրենք</w:t>
            </w:r>
            <w:r w:rsidR="00603F6C" w:rsidRPr="003C0C27">
              <w:t xml:space="preserve">, </w:t>
            </w:r>
            <w:r w:rsidR="00220E21" w:rsidRPr="003C0C27">
              <w:t xml:space="preserve">«Գնումների մասին» ՀՀ օրենք, </w:t>
            </w:r>
            <w:r w:rsidR="00BF739C" w:rsidRPr="003C0C27">
              <w:t>ՀՀ կառավարության 2019 թվականի դեպտեմբերի 26-ի «ՀՀ 2020 թվականի պետական բյուջեի կատարումն ապահովող միջոցառումների մասին» N 1919 որոշում,</w:t>
            </w:r>
            <w:r w:rsidR="00236DF2" w:rsidRPr="003C0C27">
              <w:t xml:space="preserve"> </w:t>
            </w:r>
            <w:r w:rsidR="003C0C27" w:rsidRPr="003C0C27">
              <w:t>«Պետական պարտքի մասին» ՀՀ օրենք</w:t>
            </w:r>
            <w:r w:rsidR="00BF739C" w:rsidRPr="003C0C27">
              <w:t>, «Հայաստանի Հանրապետությության հանրային հատվածի հաշվապահական հաշվառման ստանդարտ»</w:t>
            </w:r>
            <w:r w:rsidR="00BF17BC">
              <w:t xml:space="preserve"> և այլ իրավական ակտեր</w:t>
            </w:r>
            <w:r w:rsidR="00777E1D" w:rsidRPr="003C0C27">
              <w:t>։</w:t>
            </w:r>
          </w:p>
          <w:p w14:paraId="145B86CA" w14:textId="57BEA678" w:rsidR="00933D49" w:rsidRPr="003C0C27" w:rsidRDefault="00933D49" w:rsidP="00C60AA9"/>
        </w:tc>
      </w:tr>
      <w:tr w:rsidR="00B03737" w:rsidRPr="00B03737" w14:paraId="69BCB286" w14:textId="77777777" w:rsidTr="003E43D7">
        <w:tc>
          <w:tcPr>
            <w:tcW w:w="2718" w:type="dxa"/>
          </w:tcPr>
          <w:p w14:paraId="6491BE81" w14:textId="77777777" w:rsidR="00B03737" w:rsidRPr="008F7246" w:rsidRDefault="00B03737" w:rsidP="00ED441F">
            <w:pPr>
              <w:spacing w:after="0"/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 xml:space="preserve">Հաշվեքննությունն </w:t>
            </w:r>
          </w:p>
          <w:p w14:paraId="46463A66" w14:textId="77777777" w:rsidR="00B03737" w:rsidRPr="008F7246" w:rsidRDefault="00B03737" w:rsidP="00ED441F">
            <w:pPr>
              <w:spacing w:after="0"/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ընդգրկող ժամանակաշրջանը</w:t>
            </w:r>
          </w:p>
          <w:p w14:paraId="0F3B253D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6B1041E4" w14:textId="4232AD65" w:rsidR="00B03737" w:rsidRPr="00B03737" w:rsidRDefault="00B03737" w:rsidP="00C60AA9">
            <w:r w:rsidRPr="00B03737">
              <w:t>20</w:t>
            </w:r>
            <w:r w:rsidR="00A86E96">
              <w:t>20</w:t>
            </w:r>
            <w:r w:rsidRPr="00B03737">
              <w:t xml:space="preserve">թ. </w:t>
            </w:r>
            <w:r w:rsidR="00A86E96">
              <w:t>հու</w:t>
            </w:r>
            <w:r w:rsidR="004E498A">
              <w:t>նվարի</w:t>
            </w:r>
            <w:r w:rsidRPr="00B03737">
              <w:t xml:space="preserve"> </w:t>
            </w:r>
            <w:r w:rsidR="004E498A">
              <w:t>1</w:t>
            </w:r>
            <w:r w:rsidRPr="00B03737">
              <w:t>-ից մինչև 20</w:t>
            </w:r>
            <w:r w:rsidR="00A86E96">
              <w:t>20</w:t>
            </w:r>
            <w:r w:rsidRPr="00B03737">
              <w:t>թ.</w:t>
            </w:r>
            <w:r w:rsidR="00A86E96">
              <w:t xml:space="preserve"> </w:t>
            </w:r>
            <w:r w:rsidR="004E498A">
              <w:t>մարտի</w:t>
            </w:r>
            <w:r w:rsidRPr="00B03737">
              <w:t xml:space="preserve"> 3</w:t>
            </w:r>
            <w:r w:rsidR="00A86E96">
              <w:t>1</w:t>
            </w:r>
            <w:r w:rsidRPr="00B03737">
              <w:t>-ը ներառյալ։</w:t>
            </w:r>
          </w:p>
        </w:tc>
      </w:tr>
      <w:tr w:rsidR="00B03737" w:rsidRPr="00B03737" w14:paraId="3E9D6267" w14:textId="77777777" w:rsidTr="003E43D7">
        <w:tc>
          <w:tcPr>
            <w:tcW w:w="2718" w:type="dxa"/>
          </w:tcPr>
          <w:p w14:paraId="7FC2CC88" w14:textId="677DE62C" w:rsidR="00B03737" w:rsidRPr="008F7246" w:rsidRDefault="00B03737" w:rsidP="00E45768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Հաշվեքննության կատարման ժամկետը</w:t>
            </w:r>
          </w:p>
        </w:tc>
        <w:tc>
          <w:tcPr>
            <w:tcW w:w="6714" w:type="dxa"/>
          </w:tcPr>
          <w:p w14:paraId="6F2D798F" w14:textId="1D8C5504" w:rsidR="00B03737" w:rsidRPr="00B03737" w:rsidRDefault="00A60BE8" w:rsidP="00C60AA9">
            <w:r w:rsidRPr="00B03737">
              <w:t>20</w:t>
            </w:r>
            <w:r>
              <w:t>20</w:t>
            </w:r>
            <w:r w:rsidRPr="00B03737">
              <w:t xml:space="preserve">թ. </w:t>
            </w:r>
            <w:r>
              <w:t>հունիսի</w:t>
            </w:r>
            <w:r w:rsidRPr="00B03737">
              <w:t xml:space="preserve"> </w:t>
            </w:r>
            <w:r>
              <w:t>8</w:t>
            </w:r>
            <w:r w:rsidRPr="00B03737">
              <w:t>-ից մինչև 20</w:t>
            </w:r>
            <w:r>
              <w:t>20</w:t>
            </w:r>
            <w:r w:rsidRPr="00B03737">
              <w:t>թ.</w:t>
            </w:r>
            <w:r>
              <w:t xml:space="preserve"> հուլիսի</w:t>
            </w:r>
            <w:r w:rsidRPr="00B03737">
              <w:t xml:space="preserve"> </w:t>
            </w:r>
            <w:r w:rsidR="000A5A6A">
              <w:t>31</w:t>
            </w:r>
            <w:r w:rsidRPr="00B03737">
              <w:t>-ը ներառյալ</w:t>
            </w:r>
            <w:r w:rsidR="00B03737" w:rsidRPr="00B03737">
              <w:t>։</w:t>
            </w:r>
          </w:p>
        </w:tc>
      </w:tr>
      <w:tr w:rsidR="00B03737" w:rsidRPr="00B03737" w14:paraId="5F26EB39" w14:textId="77777777" w:rsidTr="003E43D7">
        <w:tc>
          <w:tcPr>
            <w:tcW w:w="2718" w:type="dxa"/>
          </w:tcPr>
          <w:p w14:paraId="36D4E235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1FF6EE76" w14:textId="77777777" w:rsidR="00B03737" w:rsidRPr="00B03737" w:rsidRDefault="00B03737" w:rsidP="00C60AA9">
            <w:pPr>
              <w:rPr>
                <w:shd w:val="clear" w:color="auto" w:fill="FFFFFF"/>
              </w:rPr>
            </w:pPr>
          </w:p>
        </w:tc>
      </w:tr>
      <w:tr w:rsidR="00B03737" w:rsidRPr="00AF0811" w14:paraId="37D7200B" w14:textId="77777777" w:rsidTr="003E43D7">
        <w:tc>
          <w:tcPr>
            <w:tcW w:w="2718" w:type="dxa"/>
          </w:tcPr>
          <w:p w14:paraId="731AD90C" w14:textId="1C8EBEB6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Հաշվեքննության մեթոդաբանությունը</w:t>
            </w:r>
          </w:p>
          <w:p w14:paraId="68059E6A" w14:textId="77777777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6714" w:type="dxa"/>
          </w:tcPr>
          <w:p w14:paraId="3A9B287E" w14:textId="645AED95" w:rsidR="00B03737" w:rsidRPr="00B03737" w:rsidRDefault="00B03737" w:rsidP="00C60AA9">
            <w:r w:rsidRPr="00F624A1">
              <w:t>Հաշվեքննությունն իրականացվել է «Հաշվեքննիչ պալատի մա</w:t>
            </w:r>
            <w:r w:rsidRPr="00F624A1">
              <w:softHyphen/>
              <w:t>սին» ՀՀ օրենքի, Հաշվեքննիչ պալատի ֆինանսական և համա</w:t>
            </w:r>
            <w:r w:rsidRPr="00F624A1">
              <w:softHyphen/>
              <w:t>պա</w:t>
            </w:r>
            <w:r w:rsidRPr="00F624A1">
              <w:softHyphen/>
              <w:t>տասխանության հաշվեքննության մեթոդաբանությունների</w:t>
            </w:r>
            <w:r w:rsidR="00E3572C">
              <w:t>, «</w:t>
            </w:r>
            <w:r w:rsidR="00912085">
              <w:t>Պետական բյուջեի երեք, վեց, ինն ամիսների և տարեկան կատարման հաշվեքննության</w:t>
            </w:r>
            <w:r w:rsidR="001F0111">
              <w:t xml:space="preserve">» </w:t>
            </w:r>
            <w:r w:rsidR="00912085">
              <w:t>ուղեցույցի</w:t>
            </w:r>
            <w:r w:rsidR="00E234A2">
              <w:t xml:space="preserve"> </w:t>
            </w:r>
            <w:r w:rsidRPr="00F624A1">
              <w:t>համա</w:t>
            </w:r>
            <w:r w:rsidRPr="00F624A1">
              <w:softHyphen/>
              <w:t>ձայն։</w:t>
            </w:r>
          </w:p>
          <w:p w14:paraId="6D6D3766" w14:textId="77777777" w:rsidR="00B03737" w:rsidRPr="00B03737" w:rsidRDefault="00B03737" w:rsidP="00C60AA9"/>
          <w:p w14:paraId="11F324CA" w14:textId="77777777" w:rsidR="00B03737" w:rsidRPr="00B03737" w:rsidRDefault="00B03737" w:rsidP="00C60AA9">
            <w:r w:rsidRPr="00B03737">
              <w:t>Իրականացվել է ֆինանսական և համապատասխանութ</w:t>
            </w:r>
            <w:r w:rsidRPr="00B03737">
              <w:softHyphen/>
              <w:t>յան հաշ</w:t>
            </w:r>
            <w:r w:rsidRPr="00B03737">
              <w:softHyphen/>
              <w:t xml:space="preserve">վեքննություն, որի ընթացքում կիրառվել են </w:t>
            </w:r>
            <w:r w:rsidRPr="00B03737">
              <w:rPr>
                <w:color w:val="000000"/>
                <w:shd w:val="clear" w:color="auto" w:fill="FFFFFF"/>
              </w:rPr>
              <w:t xml:space="preserve"> զննում, դիտար</w:t>
            </w:r>
            <w:r w:rsidRPr="00B03737">
              <w:rPr>
                <w:color w:val="000000"/>
                <w:shd w:val="clear" w:color="auto" w:fill="FFFFFF"/>
              </w:rPr>
              <w:softHyphen/>
              <w:t>կում, հարցում, արտաքին հաստատում, վերլուծական ընթացա</w:t>
            </w:r>
            <w:r w:rsidRPr="00B03737">
              <w:rPr>
                <w:color w:val="000000"/>
                <w:shd w:val="clear" w:color="auto" w:fill="FFFFFF"/>
              </w:rPr>
              <w:softHyphen/>
              <w:t>կարգ, վերահաշվարկ, վերակատարում</w:t>
            </w:r>
            <w:r w:rsidRPr="00B03737">
              <w:t xml:space="preserve"> ընթացակարգերը։</w:t>
            </w:r>
          </w:p>
        </w:tc>
      </w:tr>
      <w:tr w:rsidR="00B03737" w:rsidRPr="00AF0811" w14:paraId="7CAF54B9" w14:textId="77777777" w:rsidTr="003E43D7">
        <w:tc>
          <w:tcPr>
            <w:tcW w:w="2718" w:type="dxa"/>
          </w:tcPr>
          <w:p w14:paraId="3328E8DB" w14:textId="77777777" w:rsidR="00B03737" w:rsidRPr="00B60C3E" w:rsidRDefault="00B03737" w:rsidP="00C60AA9">
            <w:pPr>
              <w:rPr>
                <w:color w:val="002060"/>
              </w:rPr>
            </w:pPr>
          </w:p>
          <w:p w14:paraId="25108FCF" w14:textId="0B0E0029" w:rsidR="00925044" w:rsidRPr="00B60C3E" w:rsidRDefault="00925044" w:rsidP="00C60AA9">
            <w:pPr>
              <w:rPr>
                <w:color w:val="002060"/>
              </w:rPr>
            </w:pPr>
          </w:p>
        </w:tc>
        <w:tc>
          <w:tcPr>
            <w:tcW w:w="6714" w:type="dxa"/>
          </w:tcPr>
          <w:p w14:paraId="0769B0C6" w14:textId="77777777" w:rsidR="00B03737" w:rsidRPr="00B03737" w:rsidRDefault="00B03737" w:rsidP="00C60AA9"/>
        </w:tc>
      </w:tr>
      <w:tr w:rsidR="00B03737" w:rsidRPr="00AF0811" w14:paraId="709820BC" w14:textId="77777777" w:rsidTr="003E43D7">
        <w:tc>
          <w:tcPr>
            <w:tcW w:w="2718" w:type="dxa"/>
          </w:tcPr>
          <w:p w14:paraId="05390BD9" w14:textId="063B7A21" w:rsidR="00B03737" w:rsidRPr="008F7246" w:rsidRDefault="00B03737" w:rsidP="00C60AA9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Հաշվեքննությունն իրականացրած կառուցվածքային</w:t>
            </w:r>
            <w:r w:rsidR="008B3F2C" w:rsidRPr="008F7246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F7246">
              <w:rPr>
                <w:b/>
                <w:bCs/>
                <w:color w:val="002060"/>
                <w:sz w:val="22"/>
                <w:szCs w:val="22"/>
                <w:lang w:val="en-US"/>
              </w:rPr>
              <w:t>ստորաբաժանում</w:t>
            </w:r>
          </w:p>
          <w:p w14:paraId="788826F8" w14:textId="77777777" w:rsidR="00B03737" w:rsidRPr="00B60C3E" w:rsidRDefault="00B03737" w:rsidP="00C60AA9">
            <w:pPr>
              <w:rPr>
                <w:color w:val="002060"/>
              </w:rPr>
            </w:pPr>
          </w:p>
        </w:tc>
        <w:tc>
          <w:tcPr>
            <w:tcW w:w="6714" w:type="dxa"/>
          </w:tcPr>
          <w:p w14:paraId="1A4BFF91" w14:textId="5188C419" w:rsidR="00DA443C" w:rsidRPr="00B03737" w:rsidRDefault="00B03737" w:rsidP="00C60AA9">
            <w:r w:rsidRPr="00B03737">
              <w:t xml:space="preserve">Հաշվեքննությունն իրականացվել է ՀՀ հաշվեքննիչ պալատի </w:t>
            </w:r>
            <w:r w:rsidR="00A40792">
              <w:t>ութերորդ</w:t>
            </w:r>
            <w:r w:rsidRPr="00B03737">
              <w:t xml:space="preserve"> վարչության կողմից, որի աշխատանքները համակար</w:t>
            </w:r>
            <w:r w:rsidRPr="00B03737">
              <w:softHyphen/>
              <w:t xml:space="preserve">գում է ՀՀ հաշվեքննիչ պալատի անդամ </w:t>
            </w:r>
            <w:r w:rsidR="00A40792">
              <w:t>Արմեն Գևորգյան</w:t>
            </w:r>
            <w:r w:rsidRPr="00B03737">
              <w:t>ը։</w:t>
            </w:r>
          </w:p>
        </w:tc>
      </w:tr>
    </w:tbl>
    <w:p w14:paraId="76285FB5" w14:textId="77777777" w:rsidR="008C08B3" w:rsidRPr="000D57D8" w:rsidRDefault="008C08B3" w:rsidP="00C60AA9"/>
    <w:p w14:paraId="092A90E6" w14:textId="77777777" w:rsidR="008C08B3" w:rsidRPr="000D57D8" w:rsidRDefault="008C08B3" w:rsidP="00C60AA9"/>
    <w:p w14:paraId="18E27397" w14:textId="77777777" w:rsidR="00A9254C" w:rsidRDefault="00A9254C" w:rsidP="00C60AA9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D13D556" w14:textId="35250781" w:rsidR="00763D34" w:rsidRPr="00316FC9" w:rsidRDefault="00B6113B" w:rsidP="00593C68">
      <w:pPr>
        <w:pStyle w:val="VP1"/>
      </w:pPr>
      <w:bookmarkStart w:id="2" w:name="_Toc47020592"/>
      <w:r>
        <w:lastRenderedPageBreak/>
        <w:t>ԸՆԴՀԱՆՈՒՐ ՄԱՍ</w:t>
      </w:r>
      <w:bookmarkEnd w:id="2"/>
    </w:p>
    <w:p w14:paraId="10A9F8B7" w14:textId="77777777" w:rsidR="00360EA0" w:rsidRDefault="003434A5" w:rsidP="00C60AA9">
      <w:r>
        <w:tab/>
      </w:r>
    </w:p>
    <w:p w14:paraId="049F23B4" w14:textId="63B73DCC" w:rsidR="00B6113B" w:rsidRPr="00360EA0" w:rsidRDefault="00360EA0" w:rsidP="00C60AA9">
      <w:r>
        <w:tab/>
      </w:r>
      <w:r w:rsidR="00B6113B" w:rsidRPr="00B6113B">
        <w:t>«ՀՀ 2020 թվականի պետական բյուջեի մասին» ՀՀ օրենքով ՀՀ 2020 թվականի պետական բյուջեի եկամուտները հատատատվել են 1,695,009,852.1 հազ. դրամ գումարի չափով, որից՝ հարկային եկամուտների և պետական տուրքերի գումարը կազմել է 1,602,252,712.8 հազ.դրամ, պաշտոնական դրամաշնորհները՝ 35,324,420.2 հազ. դրամ, այլ եկամուտները՝ 57,432,719.1 հազ. դրամ</w:t>
      </w:r>
      <w:r w:rsidR="008A16BE" w:rsidRPr="00360EA0">
        <w:t>:</w:t>
      </w:r>
    </w:p>
    <w:p w14:paraId="2782EC86" w14:textId="06AB15D4" w:rsidR="00E85F89" w:rsidRPr="00DC5FAF" w:rsidRDefault="009F2C28" w:rsidP="00C60AA9">
      <w:pPr>
        <w:rPr>
          <w:rFonts w:cs="Sylfaen"/>
        </w:rPr>
      </w:pPr>
      <w:r>
        <w:tab/>
      </w:r>
      <w:r w:rsidR="00E85F89" w:rsidRPr="006F1845">
        <w:t>ՀՀ 2020 թվականի պետական բյուջեի եկամուտների և 2018, 2019 թվականների ժամանակաշրջանների համադրելի ցուցանիշները հետևյալն են.</w:t>
      </w:r>
    </w:p>
    <w:p w14:paraId="64B89A1C" w14:textId="77777777" w:rsidR="00E85F89" w:rsidRPr="007E03FB" w:rsidRDefault="00E85F89" w:rsidP="00C60AA9">
      <w:pPr>
        <w:pStyle w:val="BodyText2"/>
      </w:pPr>
    </w:p>
    <w:p w14:paraId="18FCFE50" w14:textId="77777777" w:rsidR="00E85F89" w:rsidRPr="006F1845" w:rsidRDefault="00E85F89" w:rsidP="00C60AA9">
      <w:pPr>
        <w:pStyle w:val="BodyText2"/>
      </w:pP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6F1845">
        <w:t xml:space="preserve">         </w:t>
      </w:r>
      <w:r w:rsidRPr="00A736E5">
        <w:t>(Աղյուսակ 1)</w:t>
      </w:r>
    </w:p>
    <w:tbl>
      <w:tblPr>
        <w:tblW w:w="9815" w:type="dxa"/>
        <w:tblInd w:w="10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436"/>
        <w:gridCol w:w="1134"/>
        <w:gridCol w:w="992"/>
        <w:gridCol w:w="1062"/>
        <w:gridCol w:w="1065"/>
        <w:gridCol w:w="1110"/>
        <w:gridCol w:w="1016"/>
      </w:tblGrid>
      <w:tr w:rsidR="00E85F89" w:rsidRPr="007E03FB" w14:paraId="54C05D68" w14:textId="77777777" w:rsidTr="00D300A4">
        <w:trPr>
          <w:trHeight w:val="256"/>
          <w:tblHeader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0A3F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Եկամտատեսակը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6DBCC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2018թ. (փաստ)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ACA79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2019թ. (փաստ)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419F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2020թ.</w:t>
            </w:r>
          </w:p>
        </w:tc>
      </w:tr>
      <w:tr w:rsidR="00E85F89" w:rsidRPr="007E03FB" w14:paraId="1976CE44" w14:textId="77777777" w:rsidTr="00D300A4">
        <w:trPr>
          <w:trHeight w:val="320"/>
          <w:tblHeader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474E" w14:textId="77777777" w:rsidR="00E85F89" w:rsidRPr="00ED441F" w:rsidRDefault="00E85F89" w:rsidP="00C6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86416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մլրդ 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7770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%-ը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B630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մլրդ դրամ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399C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%-ը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FE45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մլրդ դրամ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8CC9" w14:textId="77777777" w:rsidR="00E85F89" w:rsidRPr="00ED441F" w:rsidRDefault="00E85F89" w:rsidP="0084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ED441F">
              <w:rPr>
                <w:b/>
                <w:bCs/>
                <w:sz w:val="20"/>
                <w:szCs w:val="20"/>
              </w:rPr>
              <w:t>%-ը</w:t>
            </w:r>
          </w:p>
        </w:tc>
      </w:tr>
      <w:tr w:rsidR="00E85F89" w:rsidRPr="007E03FB" w14:paraId="4253877B" w14:textId="77777777" w:rsidTr="00D300A4">
        <w:trPr>
          <w:trHeight w:val="33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D8F9" w14:textId="77777777" w:rsidR="00E85F89" w:rsidRPr="00FB2CBC" w:rsidRDefault="00E85F89" w:rsidP="00C60AA9">
            <w:pPr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 xml:space="preserve">Ընդամենը, </w:t>
            </w:r>
            <w:r w:rsidRPr="00FB2CBC">
              <w:rPr>
                <w:bCs/>
                <w:sz w:val="20"/>
                <w:szCs w:val="20"/>
              </w:rPr>
              <w:t>որից՝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B33B" w14:textId="011080DE" w:rsidR="00E85F89" w:rsidRPr="0023103B" w:rsidRDefault="00E85F89" w:rsidP="0084696F">
            <w:pPr>
              <w:jc w:val="center"/>
              <w:rPr>
                <w:sz w:val="20"/>
                <w:szCs w:val="20"/>
                <w:lang w:val="en-US"/>
              </w:rPr>
            </w:pPr>
            <w:r w:rsidRPr="0023103B">
              <w:rPr>
                <w:sz w:val="20"/>
                <w:szCs w:val="20"/>
              </w:rPr>
              <w:t>1,341.</w:t>
            </w:r>
            <w:r w:rsidR="0023103B" w:rsidRPr="002310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3B221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100.0%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71B5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1,565.5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7FECD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100.0%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6D457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1,695.0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CED96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100.0%</w:t>
            </w:r>
          </w:p>
        </w:tc>
      </w:tr>
      <w:tr w:rsidR="00E85F89" w:rsidRPr="007E03FB" w14:paraId="0CF48654" w14:textId="77777777" w:rsidTr="00D300A4">
        <w:trPr>
          <w:trHeight w:val="66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5A6B" w14:textId="77777777" w:rsidR="00E85F89" w:rsidRPr="00FB2CBC" w:rsidRDefault="00E85F89" w:rsidP="001C056B">
            <w:pPr>
              <w:jc w:val="left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1. Հարկային եկամուտներ և պետական տուրքեր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68175" w14:textId="52F906CE" w:rsidR="00E85F89" w:rsidRPr="0023103B" w:rsidRDefault="00E85F89" w:rsidP="0084696F">
            <w:pPr>
              <w:jc w:val="center"/>
              <w:rPr>
                <w:sz w:val="20"/>
                <w:szCs w:val="20"/>
                <w:lang w:val="en-US"/>
              </w:rPr>
            </w:pPr>
            <w:r w:rsidRPr="0023103B">
              <w:rPr>
                <w:sz w:val="20"/>
                <w:szCs w:val="20"/>
              </w:rPr>
              <w:t>1,25</w:t>
            </w:r>
            <w:r w:rsidR="0023103B" w:rsidRPr="0023103B">
              <w:rPr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11D06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93.8%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35FE0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1,464.3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1CF0C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93.5%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0BB74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1,602.3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41E8B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94.5%</w:t>
            </w:r>
          </w:p>
        </w:tc>
      </w:tr>
      <w:tr w:rsidR="00E85F89" w:rsidRPr="007E03FB" w14:paraId="210EC252" w14:textId="77777777" w:rsidTr="00C60AA9">
        <w:trPr>
          <w:trHeight w:val="53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1F11A" w14:textId="77777777" w:rsidR="00E85F89" w:rsidRPr="00FB2CBC" w:rsidRDefault="00E85F89" w:rsidP="00C60AA9">
            <w:pPr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2. Պաշտոնական դրամաշնորհներ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B28D7" w14:textId="77777777" w:rsidR="00E85F89" w:rsidRPr="0023103B" w:rsidRDefault="00E85F89" w:rsidP="0084696F">
            <w:pPr>
              <w:jc w:val="center"/>
              <w:rPr>
                <w:sz w:val="20"/>
                <w:szCs w:val="20"/>
              </w:rPr>
            </w:pPr>
            <w:r w:rsidRPr="0023103B">
              <w:rPr>
                <w:sz w:val="20"/>
                <w:szCs w:val="20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ABB5E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0.8%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2B0E9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12.4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9911E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0.8%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107C2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35.3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391D8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2.1%</w:t>
            </w:r>
          </w:p>
        </w:tc>
      </w:tr>
      <w:tr w:rsidR="00E85F89" w:rsidRPr="007E03FB" w14:paraId="5FB9F711" w14:textId="77777777" w:rsidTr="00D300A4">
        <w:trPr>
          <w:trHeight w:val="4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175C4" w14:textId="77777777" w:rsidR="00E85F89" w:rsidRPr="00FB2CBC" w:rsidRDefault="00E85F89" w:rsidP="00C60AA9">
            <w:pPr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3. Այլ եկամուտներ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FCE59" w14:textId="7085C9EE" w:rsidR="00E85F89" w:rsidRPr="0023103B" w:rsidRDefault="00E85F89" w:rsidP="0084696F">
            <w:pPr>
              <w:jc w:val="center"/>
              <w:rPr>
                <w:sz w:val="20"/>
                <w:szCs w:val="20"/>
                <w:lang w:val="en-US"/>
              </w:rPr>
            </w:pPr>
            <w:r w:rsidRPr="0023103B">
              <w:rPr>
                <w:sz w:val="20"/>
                <w:szCs w:val="20"/>
              </w:rPr>
              <w:t>72.</w:t>
            </w:r>
            <w:r w:rsidR="0023103B" w:rsidRPr="002310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C069F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5.4%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6D6E1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88.8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E5CC4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5.7%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99BC1" w14:textId="324B1065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57.4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8F8B4" w14:textId="77777777" w:rsidR="00E85F89" w:rsidRPr="00FB2CBC" w:rsidRDefault="00E85F89" w:rsidP="0084696F">
            <w:pPr>
              <w:jc w:val="center"/>
              <w:rPr>
                <w:sz w:val="20"/>
                <w:szCs w:val="20"/>
              </w:rPr>
            </w:pPr>
            <w:r w:rsidRPr="00FB2CBC">
              <w:rPr>
                <w:sz w:val="20"/>
                <w:szCs w:val="20"/>
              </w:rPr>
              <w:t>3.4%</w:t>
            </w:r>
          </w:p>
        </w:tc>
      </w:tr>
    </w:tbl>
    <w:p w14:paraId="6F453D00" w14:textId="77777777" w:rsidR="00C60AA9" w:rsidRDefault="00C60AA9" w:rsidP="00C60AA9">
      <w:pPr>
        <w:pStyle w:val="BodyText2"/>
      </w:pPr>
    </w:p>
    <w:p w14:paraId="234F6BDE" w14:textId="6D8F714D" w:rsidR="00E85F89" w:rsidRPr="00C60AA9" w:rsidRDefault="00FB2CBC" w:rsidP="00C60AA9">
      <w:r>
        <w:tab/>
      </w:r>
      <w:r w:rsidR="00E85F89" w:rsidRPr="00C60AA9">
        <w:t xml:space="preserve">Հաշվի առնելով, որ գանձվելիք մաքսավճարը «Պետական տուրքի մասին» ՀՀ օրենքի համաձայն դասակարգվել է որպես պետական տուրք, «Հայաստանի Հանրապետության 2020 թվականի պետական բյուջեի մասին» Հայաստանի Հանրապետության օրենքի 6-րդ հոդվածի աղյուսակում և ՀՀ կառավարության 2019 թվականի դեկտեմբերի 26-ի N1919-ն որոշման մեջ կատարվել են փոփոխություններ, որով հարկային եկամուտների և պետական տուրքերի գումարը ավելացվել է 5,500.0 մլն դրամ գումարով և նույն չափով նվազեցվել է այլ եկամուտների գումարը։Հայաստանի Հանրապետության 2020 թվականի պետական բյուջեի կատարումն ապահովող միջոցառումների մասին ՀՀ կառավարության 2019 թվականի 26 դեկտեմբերի N 1919–Ն որոշմամբ (Հավելված 2) Հայաստանի Հանրապետության 2020 թվականի պետական բյուջեի եկամուտների հավաքագրման եռամսյակային բաշխումն` ըստ եկամուտների </w:t>
      </w:r>
      <w:r w:rsidR="00E85F89" w:rsidRPr="00C60AA9">
        <w:lastRenderedPageBreak/>
        <w:t>ձևավորման աղբյուրների դասակարգման առանձին խմբերի հաստատվել է հետևյալ համամասնությամբ.</w:t>
      </w:r>
    </w:p>
    <w:p w14:paraId="36234382" w14:textId="77777777" w:rsidR="00E85F89" w:rsidRPr="00F22ACA" w:rsidRDefault="00E85F89" w:rsidP="00F22ACA">
      <w:pPr>
        <w:spacing w:after="0"/>
        <w:rPr>
          <w:sz w:val="20"/>
          <w:szCs w:val="20"/>
        </w:rPr>
      </w:pPr>
      <w:r w:rsidRPr="007E03FB">
        <w:t xml:space="preserve"> </w:t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7E03FB">
        <w:tab/>
      </w:r>
      <w:r w:rsidRPr="00F22ACA">
        <w:rPr>
          <w:sz w:val="20"/>
          <w:szCs w:val="20"/>
        </w:rPr>
        <w:tab/>
        <w:t xml:space="preserve"> (Աղյուսակ 2)</w:t>
      </w:r>
    </w:p>
    <w:p w14:paraId="01E18FBF" w14:textId="0BA4E4F6" w:rsidR="00E85F89" w:rsidRPr="00F22ACA" w:rsidRDefault="00297744" w:rsidP="00EC263F">
      <w:pPr>
        <w:spacing w:after="0"/>
        <w:ind w:right="263"/>
        <w:jc w:val="right"/>
        <w:rPr>
          <w:sz w:val="20"/>
          <w:szCs w:val="20"/>
        </w:rPr>
      </w:pPr>
      <w:r>
        <w:rPr>
          <w:sz w:val="20"/>
          <w:szCs w:val="20"/>
        </w:rPr>
        <w:t>հ</w:t>
      </w:r>
      <w:r w:rsidR="00E85F89" w:rsidRPr="00F22ACA">
        <w:rPr>
          <w:sz w:val="20"/>
          <w:szCs w:val="20"/>
        </w:rPr>
        <w:t>ազ</w:t>
      </w:r>
      <w:r w:rsidR="00E85F89" w:rsidRPr="00F22ACA">
        <w:rPr>
          <w:rFonts w:cs="Cambria Math"/>
          <w:sz w:val="20"/>
          <w:szCs w:val="20"/>
        </w:rPr>
        <w:t>.</w:t>
      </w:r>
      <w:r w:rsidR="00E85F89" w:rsidRPr="00F22ACA">
        <w:rPr>
          <w:sz w:val="20"/>
          <w:szCs w:val="20"/>
        </w:rPr>
        <w:t>դրամ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2547"/>
        <w:gridCol w:w="1812"/>
        <w:gridCol w:w="1816"/>
        <w:gridCol w:w="1900"/>
        <w:gridCol w:w="1907"/>
      </w:tblGrid>
      <w:tr w:rsidR="00E85F89" w:rsidRPr="00F22ACA" w14:paraId="5F6019C5" w14:textId="77777777" w:rsidTr="006A2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ABC" w14:textId="77777777" w:rsidR="00E85F89" w:rsidRPr="00170F47" w:rsidRDefault="00E85F89" w:rsidP="00170F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F47">
              <w:rPr>
                <w:b/>
                <w:bCs/>
                <w:sz w:val="20"/>
                <w:szCs w:val="20"/>
                <w:lang w:eastAsia="ru-RU"/>
              </w:rPr>
              <w:t>Եկամտատեսակ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88D" w14:textId="77777777" w:rsidR="00E85F89" w:rsidRPr="00170F47" w:rsidRDefault="00E85F89" w:rsidP="00170F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F47">
              <w:rPr>
                <w:b/>
                <w:bCs/>
                <w:sz w:val="20"/>
                <w:szCs w:val="20"/>
                <w:lang w:eastAsia="ru-RU"/>
              </w:rPr>
              <w:t>Առաջին եռամսյակ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A49" w14:textId="77777777" w:rsidR="00E85F89" w:rsidRPr="00170F47" w:rsidRDefault="00E85F89" w:rsidP="00170F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F47">
              <w:rPr>
                <w:b/>
                <w:bCs/>
                <w:sz w:val="20"/>
                <w:szCs w:val="20"/>
                <w:lang w:eastAsia="ru-RU"/>
              </w:rPr>
              <w:t>Առաջին կիսամյակ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664" w14:textId="77777777" w:rsidR="00E85F89" w:rsidRPr="00170F47" w:rsidRDefault="00E85F89" w:rsidP="00170F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F47">
              <w:rPr>
                <w:b/>
                <w:bCs/>
                <w:sz w:val="20"/>
                <w:szCs w:val="20"/>
                <w:lang w:eastAsia="ru-RU"/>
              </w:rPr>
              <w:t>Ինն ամիս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E8A" w14:textId="77777777" w:rsidR="00E85F89" w:rsidRPr="00170F47" w:rsidRDefault="00E85F89" w:rsidP="00170F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0F47">
              <w:rPr>
                <w:b/>
                <w:bCs/>
                <w:sz w:val="20"/>
                <w:szCs w:val="20"/>
                <w:lang w:eastAsia="ru-RU"/>
              </w:rPr>
              <w:t>Տարի</w:t>
            </w:r>
          </w:p>
        </w:tc>
      </w:tr>
      <w:tr w:rsidR="00E85F89" w:rsidRPr="00F22ACA" w14:paraId="48C924AE" w14:textId="77777777" w:rsidTr="006A2E6A">
        <w:trPr>
          <w:trHeight w:val="4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B4E" w14:textId="77777777" w:rsidR="00E85F89" w:rsidRPr="00F22ACA" w:rsidRDefault="00E85F89" w:rsidP="00170F47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Պետական բյուջեի եկամուտներ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F8E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357,837,487,8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878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808,147,342,6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449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1,218,708,774,8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58C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1,695,195,470,0</w:t>
            </w:r>
          </w:p>
        </w:tc>
      </w:tr>
      <w:tr w:rsidR="00E85F89" w:rsidRPr="00F22ACA" w14:paraId="5DB29D62" w14:textId="77777777" w:rsidTr="006A2E6A">
        <w:trPr>
          <w:trHeight w:val="6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4C2" w14:textId="77777777" w:rsidR="00E85F89" w:rsidRPr="00F22ACA" w:rsidRDefault="00E85F89" w:rsidP="00170F47">
            <w:pPr>
              <w:spacing w:after="0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Հարկային եկամուտներ և պետական տուրքեր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69B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340,093,394,2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304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770,271,300,7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79B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1,160,072,837,0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CCC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1,607,752,712,8</w:t>
            </w:r>
          </w:p>
        </w:tc>
      </w:tr>
      <w:tr w:rsidR="00E85F89" w:rsidRPr="00F22ACA" w14:paraId="022D9306" w14:textId="77777777" w:rsidTr="006A2E6A">
        <w:trPr>
          <w:trHeight w:val="3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4B0" w14:textId="77777777" w:rsidR="00E85F89" w:rsidRPr="00F22ACA" w:rsidRDefault="00E85F89" w:rsidP="00170F47">
            <w:pPr>
              <w:spacing w:after="0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Պաշտոնական դրամաշնորհներ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B46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5,437,007,9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CE8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12,563,487,6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E21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19,781,603,8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668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35,510,038,1</w:t>
            </w:r>
          </w:p>
        </w:tc>
      </w:tr>
      <w:tr w:rsidR="00E85F89" w:rsidRPr="00F22ACA" w14:paraId="2DB2E431" w14:textId="77777777" w:rsidTr="006A2E6A">
        <w:trPr>
          <w:trHeight w:val="5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C59" w14:textId="77777777" w:rsidR="00E85F89" w:rsidRPr="00F22ACA" w:rsidRDefault="00E85F89" w:rsidP="00170F47">
            <w:pPr>
              <w:spacing w:after="0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Այլ եկամուտներ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A87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12,307,085,7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6BB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25,312,554,3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6D0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38,854,334,0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DA" w14:textId="77777777" w:rsidR="00E85F89" w:rsidRPr="00F22ACA" w:rsidRDefault="00E85F89" w:rsidP="00A45878">
            <w:pPr>
              <w:spacing w:after="0"/>
              <w:jc w:val="right"/>
              <w:rPr>
                <w:sz w:val="20"/>
                <w:szCs w:val="20"/>
                <w:lang w:eastAsia="ru-RU"/>
              </w:rPr>
            </w:pPr>
            <w:r w:rsidRPr="00F22ACA">
              <w:rPr>
                <w:sz w:val="20"/>
                <w:szCs w:val="20"/>
                <w:lang w:eastAsia="ru-RU"/>
              </w:rPr>
              <w:t>51,932,719,1</w:t>
            </w:r>
          </w:p>
        </w:tc>
      </w:tr>
    </w:tbl>
    <w:p w14:paraId="42E8F707" w14:textId="77777777" w:rsidR="00E85F89" w:rsidRPr="007E03FB" w:rsidRDefault="00E85F89" w:rsidP="00C60AA9"/>
    <w:p w14:paraId="7E59AF77" w14:textId="16BD79C6" w:rsidR="00E85F89" w:rsidRPr="007E03FB" w:rsidRDefault="003C6302" w:rsidP="00C60AA9">
      <w:pPr>
        <w:rPr>
          <w:b/>
        </w:rPr>
      </w:pPr>
      <w:r>
        <w:tab/>
      </w:r>
      <w:r w:rsidR="00E85F89" w:rsidRPr="007E03FB">
        <w:t>«Հայաստանի Հանրապետության 2020 թվականի պետական բյուջեի մասին» ՀՀ օրենքի 9-րդ հոդվածի 2</w:t>
      </w:r>
      <w:r w:rsidR="00E85F89" w:rsidRPr="007E03FB">
        <w:noBreakHyphen/>
        <w:t>րդ կետի 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եկամուտները, ինչպես նաև ՀՀ կառավարության լիազորությունների շրջանակներում պետական բյուջեում կատարված փոփոխությունների արդյունքում 2020թ</w:t>
      </w:r>
      <w:r w:rsidR="00E85F89" w:rsidRPr="007E03FB">
        <w:rPr>
          <w:rFonts w:cs="Cambria Math"/>
        </w:rPr>
        <w:t>.</w:t>
      </w:r>
      <w:r w:rsidR="00E85F89" w:rsidRPr="007E03FB">
        <w:t xml:space="preserve"> պետական բյուջեի եկամուտների տարեկան և եռամսյակային ճշտված ծրագրային ցուցանիշները կազմել են համապատասխանաբար </w:t>
      </w:r>
      <w:r w:rsidR="00E85F89" w:rsidRPr="007E03FB">
        <w:rPr>
          <w:b/>
          <w:u w:val="single"/>
        </w:rPr>
        <w:t>1,700.1 մլրդ դրամ</w:t>
      </w:r>
      <w:r w:rsidR="00E85F89" w:rsidRPr="007E03FB">
        <w:t xml:space="preserve"> և </w:t>
      </w:r>
      <w:r w:rsidR="00E85F89" w:rsidRPr="007E03FB">
        <w:rPr>
          <w:b/>
          <w:u w:val="single"/>
        </w:rPr>
        <w:t>362.7</w:t>
      </w:r>
      <w:r w:rsidR="00E85F89" w:rsidRPr="007E03FB">
        <w:rPr>
          <w:rFonts w:ascii="Calibri" w:hAnsi="Calibri" w:cs="Calibri"/>
          <w:b/>
          <w:u w:val="single"/>
        </w:rPr>
        <w:t> </w:t>
      </w:r>
      <w:r w:rsidR="00E85F89" w:rsidRPr="007E03FB">
        <w:rPr>
          <w:b/>
          <w:u w:val="single"/>
        </w:rPr>
        <w:t>մլրդ դրամ</w:t>
      </w:r>
      <w:r w:rsidR="00E85F89" w:rsidRPr="007E03FB">
        <w:rPr>
          <w:b/>
        </w:rPr>
        <w:t>:</w:t>
      </w:r>
    </w:p>
    <w:p w14:paraId="2D315BD4" w14:textId="2A23D30D" w:rsidR="00FD41BB" w:rsidRDefault="00FD41BB">
      <w:pPr>
        <w:spacing w:line="259" w:lineRule="auto"/>
        <w:jc w:val="left"/>
      </w:pPr>
    </w:p>
    <w:p w14:paraId="5BD89860" w14:textId="599C9B92" w:rsidR="00E85F89" w:rsidRPr="007E03FB" w:rsidRDefault="00FD41BB" w:rsidP="00C60AA9">
      <w:r>
        <w:tab/>
      </w:r>
      <w:r w:rsidR="00E85F89" w:rsidRPr="007E03FB">
        <w:t>2020թ</w:t>
      </w:r>
      <w:r w:rsidR="00E85F89" w:rsidRPr="007E03FB">
        <w:rPr>
          <w:rFonts w:cs="Cambria Math"/>
        </w:rPr>
        <w:t>.</w:t>
      </w:r>
      <w:r w:rsidR="00E85F89" w:rsidRPr="007E03FB">
        <w:t xml:space="preserve"> առաջին եռամսյակի արդյունքներով պետական բյուջեի եկամուտների ցուցանիշները հետևյալն են՝</w:t>
      </w:r>
    </w:p>
    <w:p w14:paraId="12FDC32D" w14:textId="77777777" w:rsidR="00BE6310" w:rsidRDefault="00BE6310" w:rsidP="003C6302">
      <w:pPr>
        <w:spacing w:after="0"/>
        <w:jc w:val="right"/>
      </w:pPr>
    </w:p>
    <w:p w14:paraId="1F5A7ADC" w14:textId="6D60D097" w:rsidR="00E85F89" w:rsidRPr="003C6302" w:rsidRDefault="00E85F89" w:rsidP="00EC263F">
      <w:pPr>
        <w:spacing w:after="0"/>
        <w:ind w:right="263"/>
        <w:jc w:val="right"/>
        <w:rPr>
          <w:rFonts w:cs="Sylfaen"/>
          <w:sz w:val="20"/>
          <w:szCs w:val="20"/>
        </w:rPr>
      </w:pPr>
      <w:r w:rsidRPr="007E03FB">
        <w:t>(</w:t>
      </w:r>
      <w:r w:rsidRPr="003C6302">
        <w:rPr>
          <w:sz w:val="20"/>
          <w:szCs w:val="20"/>
        </w:rPr>
        <w:t>Աղյուսակ 3)</w:t>
      </w:r>
    </w:p>
    <w:p w14:paraId="6D28178C" w14:textId="77777777" w:rsidR="00E85F89" w:rsidRPr="003C6302" w:rsidRDefault="00E85F89" w:rsidP="00EC263F">
      <w:pPr>
        <w:spacing w:after="0"/>
        <w:ind w:right="263"/>
        <w:jc w:val="right"/>
        <w:rPr>
          <w:sz w:val="20"/>
          <w:szCs w:val="20"/>
        </w:rPr>
      </w:pPr>
      <w:r w:rsidRPr="003C6302">
        <w:rPr>
          <w:sz w:val="20"/>
          <w:szCs w:val="20"/>
        </w:rPr>
        <w:t>մլրդ</w:t>
      </w:r>
      <w:r w:rsidRPr="003C6302">
        <w:rPr>
          <w:rFonts w:cs="Cambria Math"/>
          <w:sz w:val="20"/>
          <w:szCs w:val="20"/>
        </w:rPr>
        <w:t>.</w:t>
      </w:r>
      <w:r w:rsidRPr="003C6302">
        <w:rPr>
          <w:sz w:val="20"/>
          <w:szCs w:val="20"/>
        </w:rPr>
        <w:t>դրամ</w:t>
      </w:r>
    </w:p>
    <w:tbl>
      <w:tblPr>
        <w:tblW w:w="9943" w:type="dxa"/>
        <w:tblLook w:val="04A0" w:firstRow="1" w:lastRow="0" w:firstColumn="1" w:lastColumn="0" w:noHBand="0" w:noVBand="1"/>
      </w:tblPr>
      <w:tblGrid>
        <w:gridCol w:w="3964"/>
        <w:gridCol w:w="1701"/>
        <w:gridCol w:w="1236"/>
        <w:gridCol w:w="1517"/>
        <w:gridCol w:w="1525"/>
      </w:tblGrid>
      <w:tr w:rsidR="00E85F89" w:rsidRPr="003C6302" w14:paraId="2187BABA" w14:textId="77777777" w:rsidTr="000D1835">
        <w:trPr>
          <w:trHeight w:val="58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3698" w14:textId="4115CE73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Բյուջեի եկամուտներ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BE0" w14:textId="77777777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Եռամսյակի ճշտված պլան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53A" w14:textId="77777777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ECB" w14:textId="77777777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Կատարման աստիճան պլանի նկատմամբ</w:t>
            </w:r>
          </w:p>
        </w:tc>
      </w:tr>
      <w:tr w:rsidR="00E85F89" w:rsidRPr="003C6302" w14:paraId="6730E724" w14:textId="77777777" w:rsidTr="000D1835">
        <w:trPr>
          <w:trHeight w:val="62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4843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123F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E7E9" w14:textId="77777777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Գումար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423" w14:textId="77777777" w:rsidR="00E85F89" w:rsidRPr="000A2E1F" w:rsidRDefault="00E85F89" w:rsidP="003C630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E1F">
              <w:rPr>
                <w:b/>
                <w:bCs/>
                <w:sz w:val="20"/>
                <w:szCs w:val="20"/>
              </w:rPr>
              <w:t>Տեսակարար կշիռ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C8EB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</w:p>
        </w:tc>
      </w:tr>
      <w:tr w:rsidR="00E85F89" w:rsidRPr="003C6302" w14:paraId="4FCF2AD6" w14:textId="77777777" w:rsidTr="00CC252C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F03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540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362.67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5F4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370.28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2FB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100%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9A6" w14:textId="4B09DB3C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102.1%</w:t>
            </w:r>
          </w:p>
        </w:tc>
      </w:tr>
      <w:tr w:rsidR="00E85F89" w:rsidRPr="003C6302" w14:paraId="599FD900" w14:textId="77777777" w:rsidTr="00CC252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329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lastRenderedPageBreak/>
              <w:t>Հարկային եկամուտներ և պետական տուրքեր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98F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342.7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860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349.0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1E9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94.3%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29E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101.8%</w:t>
            </w:r>
          </w:p>
        </w:tc>
      </w:tr>
      <w:tr w:rsidR="00E85F89" w:rsidRPr="003C6302" w14:paraId="7F9EA441" w14:textId="77777777" w:rsidTr="00CC252C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847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Պաշտոնական դրամաշնորհ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F7C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5.4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CE9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1.8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759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0.5%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DB8" w14:textId="3C20A294" w:rsidR="00E85F89" w:rsidRPr="00801B8B" w:rsidRDefault="00E85F89" w:rsidP="00E94823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3C6302">
              <w:rPr>
                <w:sz w:val="20"/>
                <w:szCs w:val="20"/>
              </w:rPr>
              <w:t>33.3</w:t>
            </w:r>
            <w:r w:rsidR="00801B8B">
              <w:rPr>
                <w:sz w:val="20"/>
                <w:szCs w:val="20"/>
                <w:lang w:val="en-US"/>
              </w:rPr>
              <w:t>%</w:t>
            </w:r>
          </w:p>
        </w:tc>
      </w:tr>
      <w:tr w:rsidR="00E85F89" w:rsidRPr="003C6302" w14:paraId="78637310" w14:textId="77777777" w:rsidTr="000D183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EB5" w14:textId="77777777" w:rsidR="00E85F89" w:rsidRPr="003C6302" w:rsidRDefault="00E85F89" w:rsidP="003C6302">
            <w:pPr>
              <w:spacing w:after="0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Այլ եկամուտներ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A6F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14.5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C09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19.4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974" w14:textId="77777777" w:rsidR="00E85F89" w:rsidRPr="003C6302" w:rsidRDefault="00E85F89" w:rsidP="00E94823">
            <w:pPr>
              <w:spacing w:after="0"/>
              <w:jc w:val="right"/>
              <w:rPr>
                <w:sz w:val="20"/>
                <w:szCs w:val="20"/>
              </w:rPr>
            </w:pPr>
            <w:r w:rsidRPr="003C6302">
              <w:rPr>
                <w:sz w:val="20"/>
                <w:szCs w:val="20"/>
              </w:rPr>
              <w:t>5.2%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C00" w14:textId="13AC2608" w:rsidR="00E85F89" w:rsidRPr="006525CB" w:rsidRDefault="00E85F89" w:rsidP="00E94823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3C6302">
              <w:rPr>
                <w:sz w:val="20"/>
                <w:szCs w:val="20"/>
              </w:rPr>
              <w:t>133.9</w:t>
            </w:r>
            <w:r w:rsidR="006525CB">
              <w:rPr>
                <w:sz w:val="20"/>
                <w:szCs w:val="20"/>
                <w:lang w:val="en-US"/>
              </w:rPr>
              <w:t>%</w:t>
            </w:r>
          </w:p>
        </w:tc>
      </w:tr>
    </w:tbl>
    <w:p w14:paraId="28633395" w14:textId="71A24EA0" w:rsidR="00E85F89" w:rsidRDefault="004D0BE8" w:rsidP="00C60AA9">
      <w:r>
        <w:tab/>
      </w:r>
      <w:r w:rsidR="00E85F89" w:rsidRPr="007E03FB">
        <w:t>Պետական բյուջեի եկամուտների 94.3%-ը ձևավորվել է հարկային եկամուտների և պետական տուրքերի, 0.5%-ը` պաշտոնական դրամաշնորհների, 5.2%-ը` այլ եկամուտների հաշվին</w:t>
      </w:r>
      <w:r w:rsidR="00C54D70">
        <w:t>։</w:t>
      </w:r>
    </w:p>
    <w:p w14:paraId="24A5936B" w14:textId="156CF25C" w:rsidR="00C54D70" w:rsidRDefault="00C54D70" w:rsidP="00C60AA9"/>
    <w:p w14:paraId="49CD45E1" w14:textId="14374BE4" w:rsidR="002E5235" w:rsidRDefault="002E5235">
      <w:pPr>
        <w:spacing w:line="259" w:lineRule="auto"/>
        <w:jc w:val="left"/>
        <w:rPr>
          <w:rFonts w:eastAsiaTheme="majorEastAsia" w:cstheme="majorBidi"/>
          <w:b/>
          <w:bCs/>
          <w:color w:val="002060"/>
          <w:sz w:val="28"/>
          <w:szCs w:val="28"/>
        </w:rPr>
      </w:pPr>
    </w:p>
    <w:p w14:paraId="6760D534" w14:textId="762A24A8" w:rsidR="0052331E" w:rsidRPr="00B60C3E" w:rsidRDefault="0052331E" w:rsidP="003C7586">
      <w:pPr>
        <w:pStyle w:val="Heading3"/>
        <w:numPr>
          <w:ilvl w:val="0"/>
          <w:numId w:val="14"/>
        </w:numPr>
      </w:pPr>
      <w:bookmarkStart w:id="3" w:name="_Toc47020593"/>
      <w:r w:rsidRPr="00B60C3E">
        <w:t>ՀԱՐԿԱՅԻՆ ԵԿԱՄՈՒՏՆԵՐԻ ՎԵՐԱԲԵՐՅԱԼ</w:t>
      </w:r>
      <w:bookmarkEnd w:id="3"/>
    </w:p>
    <w:p w14:paraId="08E0153E" w14:textId="77777777" w:rsidR="0052331E" w:rsidRPr="007E03FB" w:rsidRDefault="0052331E" w:rsidP="00C60AA9"/>
    <w:p w14:paraId="179BADD6" w14:textId="103CC1CC" w:rsidR="0052331E" w:rsidRPr="007E03FB" w:rsidRDefault="00DC49AA" w:rsidP="00C60AA9">
      <w:r>
        <w:tab/>
      </w:r>
      <w:r w:rsidR="0052331E" w:rsidRPr="007E03FB">
        <w:t xml:space="preserve">2020 թվականի առաջին եռամսյակում պետական բյուջե փաստացի մուտքագրված </w:t>
      </w:r>
      <w:r w:rsidR="0052331E" w:rsidRPr="007E03FB">
        <w:rPr>
          <w:rFonts w:eastAsia="Times New Roman" w:cs="Times New Roman"/>
        </w:rPr>
        <w:t xml:space="preserve">հարկային եկամուտների և պետական տուրքերի գումարը կազմել է </w:t>
      </w:r>
      <w:r w:rsidR="0052331E" w:rsidRPr="007E03FB">
        <w:t xml:space="preserve"> 349 մլրդ դրամ գումար՝ 101.8%</w:t>
      </w:r>
      <w:r w:rsidR="0052331E" w:rsidRPr="007E03FB">
        <w:noBreakHyphen/>
        <w:t>ով ապահովելով ՀՀ կառավարության եռամսյակային ճշտված ծրագրով կանխատեսված ցուցանիշը։</w:t>
      </w:r>
    </w:p>
    <w:p w14:paraId="4A68BB11" w14:textId="77777777" w:rsidR="0052331E" w:rsidRPr="007E03FB" w:rsidRDefault="0052331E" w:rsidP="00C60AA9"/>
    <w:p w14:paraId="2EDD4A3A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34.2%</w:t>
      </w:r>
      <w:r w:rsidRPr="007E03FB">
        <w:noBreakHyphen/>
        <w:t>ն ապահովվել է ավելացված արժեքի հարկի հաշվին՝ կազմելով 119.3 մլրդ դրամ, որից 64.3 մլրդ դրամը ստացվել է ՀՀ ներմուծվող ապրանքներից, այդ թվում՝ 24.6 մլրդ դրամը գանձվել է Եվրասիական տնտեսական միության անդամ պետություններից ներմուծվող ապրանքների համար: Մնացած 55 մլրդ դրամը գանձվել է ՀՀ</w:t>
      </w:r>
      <w:r w:rsidRPr="007E03FB">
        <w:noBreakHyphen/>
        <w:t>ում արտադրվող ապրանքներից և ծառայություններից:</w:t>
      </w:r>
    </w:p>
    <w:p w14:paraId="7A755EBF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31.3%</w:t>
      </w:r>
      <w:r w:rsidRPr="007E03FB">
        <w:noBreakHyphen/>
        <w:t>ը ապահովվել է եկամտային հարկի հաշվին՝ կազմելով 109.4 մլրդ դրամ:</w:t>
      </w:r>
    </w:p>
    <w:p w14:paraId="03C0B0C3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10.9%-ն ապահովվել է շահութահարկի հաշվին` կազմելով 37.9 մլրդ դրամ:</w:t>
      </w:r>
    </w:p>
    <w:p w14:paraId="1249E78F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7.8%-ն ապահովվել է ակցիզային հարկի հաշվին` կազմելով 27.2 մլրդ դրամ: Մասնավորապես` հանրապետությունում արտադրվող ենթաակցիզային ապրանքների հարկումից ստացվել է 17.8 մլրդ դրամ, հանրապետություն ներմուծվող ենթաակցիզային ապրանքների հարկումից՝ 9.4 մլրդ դրամ։ Նախորդ համադրելի ժամանակաշրջանի համեմատ ակցիզային հարկի գծով եկամուտները աճել են 16.3%-ով, ինչը հիմնականում պայմանավորված է օրենսդրական փոփոխությունների արդյունքում ակցիզային հարկի դրույքաչափերի աճով և նոր դրույքաչափերի հաստատմամբ։</w:t>
      </w:r>
    </w:p>
    <w:p w14:paraId="38450DB3" w14:textId="77777777" w:rsidR="0052331E" w:rsidRPr="007E03FB" w:rsidRDefault="0052331E" w:rsidP="00C60AA9">
      <w:pPr>
        <w:pStyle w:val="ListParagraph"/>
      </w:pPr>
    </w:p>
    <w:p w14:paraId="4C2B6112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lastRenderedPageBreak/>
        <w:t>4.8%-ն ապահովվել է մաքսատուրքի հաշվին` կազմելով 16.9 մլրդ դրամ,</w:t>
      </w:r>
    </w:p>
    <w:p w14:paraId="3737CF99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2.6%</w:t>
      </w:r>
      <w:r w:rsidRPr="007E03FB">
        <w:noBreakHyphen/>
        <w:t>ը ապահովվել է շրջանառության հարկի հաշվին՝ կազմելով 8.9 մլրդ դրամ,</w:t>
      </w:r>
    </w:p>
    <w:p w14:paraId="7323F52C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1.7%-ը ապահովվել է սոցիալական վճարի հաշվին՝ կազմելով 5</w:t>
      </w:r>
      <w:r w:rsidRPr="007E03FB">
        <w:rPr>
          <w:rFonts w:cs="Cambria Math"/>
        </w:rPr>
        <w:t>.</w:t>
      </w:r>
      <w:r w:rsidRPr="007E03FB">
        <w:t>8 մլրդ դրամ,</w:t>
      </w:r>
    </w:p>
    <w:p w14:paraId="45819BF6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2.3%</w:t>
      </w:r>
      <w:r w:rsidRPr="007E03FB">
        <w:noBreakHyphen/>
        <w:t>ը ապահովվել է բնապահպանական հարկի և բնօգտագործման վճարների հաշվին՝ կազմելով 8 մլրդ դրամ։ Մուտքերից շուրջ 5.1 մլրդ դրամը կազմել է արդյունահանված մետաղական օգտակար հանածոների և դրանց վերամշակման արդյունքում ստացված արտադրանքի իրացման համար վճարվող ռոյալթին:</w:t>
      </w:r>
    </w:p>
    <w:p w14:paraId="1848F354" w14:textId="293403F0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1.7%-ը ապահովվել է այլ հարկերի հաշվին՝ կազմելով 5</w:t>
      </w:r>
      <w:r w:rsidRPr="007E03FB">
        <w:rPr>
          <w:rFonts w:cs="Cambria Math"/>
        </w:rPr>
        <w:t>.</w:t>
      </w:r>
      <w:r w:rsidRPr="007E03FB">
        <w:t xml:space="preserve">8 մլրդ դրամ, մասնավորապես` 2.1 մլրդ դրամ կազմել են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1.9 մլրդ դրամ՝ ռադիոհաճախականության օգտագործման պարտադիր վճարները, </w:t>
      </w:r>
      <w:r w:rsidRPr="00097C50">
        <w:t>7</w:t>
      </w:r>
      <w:r w:rsidRPr="00992AC1">
        <w:t xml:space="preserve">94.9 </w:t>
      </w:r>
      <w:r w:rsidRPr="007E03FB">
        <w:t>մլն դրամ` հարկային օրենսդրության խախտման համար սահմանված տուգանքները, 438.2 մլն դրամ՝ ճանապարհային հարկը, 301.2 մլն դրամ՝ ԵՏՄ անդամ չհանդիսացող պետություններից ՀՀ մաքսային մարմինների կողմից գանձվող միասնական մաքսային վճարը, 210.8</w:t>
      </w:r>
      <w:r w:rsidRPr="007E03FB">
        <w:rPr>
          <w:rFonts w:ascii="Calibri" w:hAnsi="Calibri" w:cs="Calibri"/>
        </w:rPr>
        <w:t> </w:t>
      </w:r>
      <w:r w:rsidRPr="007E03FB">
        <w:t>մլն դրամ՝ հանրային ծառայությունների կարգավորման պարտադիր վճարները, 20.1 մլն դրամ՝ արտոնագրային հարկը:</w:t>
      </w:r>
    </w:p>
    <w:p w14:paraId="41AB9184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Հաշվետու ժամանակահատվածում հարկերի անցումային գերավճարից մարված հարկային պարտավորությունների գումարը կազմել է 134.7 մլն դրամ:</w:t>
      </w:r>
    </w:p>
    <w:p w14:paraId="6DFA510A" w14:textId="77777777" w:rsidR="0052331E" w:rsidRPr="007E03FB" w:rsidRDefault="0052331E" w:rsidP="00C60AA9">
      <w:pPr>
        <w:pStyle w:val="ListParagraph"/>
      </w:pPr>
    </w:p>
    <w:p w14:paraId="3703CF8A" w14:textId="77777777" w:rsidR="0052331E" w:rsidRPr="007E03FB" w:rsidRDefault="0052331E" w:rsidP="00A7451E">
      <w:pPr>
        <w:pStyle w:val="ListParagraph"/>
        <w:numPr>
          <w:ilvl w:val="0"/>
          <w:numId w:val="3"/>
        </w:numPr>
      </w:pPr>
      <w:r w:rsidRPr="007E03FB">
        <w:t>2.8%</w:t>
      </w:r>
      <w:r w:rsidRPr="007E03FB">
        <w:noBreakHyphen/>
        <w:t>ը ապահովվել է պետական տուրքերի հաշվին՝ կազմելով 9.9 մլրդ դրամ։ Վճարված պետական տուրքերը կազմել են եռամսյակային ծրագրի 97.9%</w:t>
      </w:r>
      <w:r w:rsidRPr="007E03FB">
        <w:noBreakHyphen/>
        <w:t>ը: Մասնավորապես` ավելի քան 3.8 մլրդ դրամ են կազմել օրենքով սահմանված այլ ծառայությունների և գործողությունների, 3.1 մլրդ դրամ՝ լիցենզավորման ենթակա գործունեություն իրականացնելու նպատակով լիցենզիաներ ու արտոնագրեր (թույլտվություններ) տալու և շուրջ 1.4 մլրդ դրամ՝ պետական գրանցման համար գանձվող տուրքերը, որոնք առաջին եռամսյակի ծրագրային ցուցանիշն ապահովել են համապատասխանաբար 108.1%</w:t>
      </w:r>
      <w:r w:rsidRPr="007E03FB">
        <w:noBreakHyphen/>
        <w:t>ով, 88%</w:t>
      </w:r>
      <w:r w:rsidRPr="007E03FB">
        <w:noBreakHyphen/>
        <w:t>ով և 108.3%</w:t>
      </w:r>
      <w:r w:rsidRPr="007E03FB">
        <w:noBreakHyphen/>
        <w:t>ով: Նախորդ տարվա առաջին եռամսյակի համեմատ պետական տուրքի գծով մուտքերն աճել են 22.7%</w:t>
      </w:r>
      <w:r w:rsidRPr="007E03FB">
        <w:noBreakHyphen/>
        <w:t xml:space="preserve">ով կամ 1.8 մլրդ դրամով, ինչը հիմնականում պայմանավորված է լիցենզավորման ենթակա գործունեություն իրականացնելու նպատակով լիցենզիաներ, արտոնագրեր (թույլտվություններ) </w:t>
      </w:r>
      <w:r w:rsidRPr="007E03FB">
        <w:lastRenderedPageBreak/>
        <w:t>տալու ու օրենքով սահմանված այլ ծառայությունների և գործողությունների համար գանձվող տուրքերի աճով՝ համապատասխանաբար 77.1%-ով (1.4</w:t>
      </w:r>
      <w:r w:rsidRPr="007E03FB">
        <w:rPr>
          <w:rFonts w:ascii="Calibri" w:hAnsi="Calibri" w:cs="Calibri"/>
        </w:rPr>
        <w:t> </w:t>
      </w:r>
      <w:r w:rsidRPr="007E03FB">
        <w:t>մլրդ դրամով) և 18%-ով (588.4 մլն դրամով): Լիցենզավորման ենթակա գործունեություն իրականացնելու նպատակով լիցենզիաներ, արտոնագրեր (թույլտվություններ) տալու համար գանձվող տուրքերի գծով մուտքերի աճը հիմնականում պայմանավորված է 2020 թվականի փետրվարի 1-ից մաքսային մարմինների կողմից օրենքով սահմանված 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սահմանմամբ, որի գծով հաշվետու ժամանակահատվածում մուտքագրվել է 759.9 մլն դրամ՝ 55.3%-ով ապահովելով առաջին եռամսյակի ծրագրային ցուցանիշը: Բացի այդ, նախորդ տարվա առաջին եռամսյակի համեմատ աճել են նաև բանկային և ֆինանսավարկային կազմակերպությունների ու տրանսպորտի բնագավառներում գանձվող տուրքերը՝ համապատասխանաբար 5.9 անգամ (234.2 մլն դրամով) և 10.4 անգամ (219.4 մլն դրամով): Իսկ օրենքով սահմանված այլ ծառայությունների և գործողությունների համար գանձվող տուրքերի գծով մուտքերի աճը հիմնականում պայմանավորված է ծանուցման ենթակա գործունեությամբ զբաղվելու իրավունք ձեռք բերելու համար գանձվող տուրքերի 3.2 անգամ (554 մլն դրամով) աճով:</w:t>
      </w:r>
    </w:p>
    <w:p w14:paraId="283DB1FB" w14:textId="77777777" w:rsidR="0052331E" w:rsidRPr="007E03FB" w:rsidRDefault="0052331E" w:rsidP="00C60AA9"/>
    <w:p w14:paraId="2D1B8C80" w14:textId="7A5BEF9C" w:rsidR="0052331E" w:rsidRDefault="00DF2668" w:rsidP="00C60AA9">
      <w:r>
        <w:tab/>
      </w:r>
      <w:r w:rsidR="0052331E" w:rsidRPr="007E03FB">
        <w:t>ՊԵԿ կողմից հաստատված եզրակացությունների հիման վրա 2020թ. առաջին եռամսյակի և նախորդ համադրելի ժամանակաշրջանի ԱԱՀ-ի զրոյական դրույքաչափով հարկվող գործարքներից առաջացած ԱԱՀ-ի փոխհատուցվող գումարի, բյուջեից հաշվանցման ենթակա ԱԱՀ գումարի գծով միասնական հաշվին մուտքագրված (այդ թվում հարկային ուսումնասիրությունների արդյունքում) և ԱԱՀ-ի վերադարձի (Tax free) հաշիվներով վերադարձված գումարների, ինչպես նաև վարկառուներին և  համավարկառուներին հիպոտեկային վարկի սպասարկման համար վճարվող տոկոսների գծով համադրելի ցուցանիշները հետևյալն են՝</w:t>
      </w:r>
    </w:p>
    <w:p w14:paraId="34042065" w14:textId="15212CE0" w:rsidR="004903B3" w:rsidRDefault="004903B3" w:rsidP="00C60AA9"/>
    <w:p w14:paraId="34C33FA7" w14:textId="0090EECF" w:rsidR="004903B3" w:rsidRDefault="004903B3" w:rsidP="00C60AA9"/>
    <w:p w14:paraId="53262D07" w14:textId="5F13F75E" w:rsidR="004903B3" w:rsidRDefault="004903B3" w:rsidP="00C60AA9"/>
    <w:p w14:paraId="1C05CD75" w14:textId="77777777" w:rsidR="004903B3" w:rsidRDefault="004903B3" w:rsidP="00C60AA9"/>
    <w:p w14:paraId="14E9D222" w14:textId="77777777" w:rsidR="0052331E" w:rsidRPr="00DF2668" w:rsidRDefault="0052331E" w:rsidP="00DF2668">
      <w:pPr>
        <w:spacing w:after="0"/>
        <w:jc w:val="right"/>
        <w:rPr>
          <w:rFonts w:cs="Sylfaen"/>
          <w:sz w:val="20"/>
          <w:szCs w:val="20"/>
        </w:rPr>
      </w:pPr>
      <w:r w:rsidRPr="00DF2668">
        <w:rPr>
          <w:sz w:val="20"/>
          <w:szCs w:val="20"/>
        </w:rPr>
        <w:t>(Աղյուսակ 4)</w:t>
      </w:r>
    </w:p>
    <w:p w14:paraId="692F2EB4" w14:textId="608BFF7F" w:rsidR="0052331E" w:rsidRDefault="0052331E" w:rsidP="00DF2668">
      <w:pPr>
        <w:spacing w:after="0"/>
        <w:jc w:val="right"/>
        <w:rPr>
          <w:sz w:val="20"/>
          <w:szCs w:val="20"/>
        </w:rPr>
      </w:pPr>
      <w:r w:rsidRPr="00DF2668">
        <w:rPr>
          <w:sz w:val="20"/>
          <w:szCs w:val="20"/>
        </w:rPr>
        <w:t>մլն.դրամ</w:t>
      </w:r>
    </w:p>
    <w:p w14:paraId="75D58AAB" w14:textId="73D31F6A" w:rsidR="004903B3" w:rsidRDefault="004903B3" w:rsidP="00DF2668">
      <w:pPr>
        <w:spacing w:after="0"/>
        <w:jc w:val="right"/>
        <w:rPr>
          <w:sz w:val="20"/>
          <w:szCs w:val="20"/>
        </w:rPr>
      </w:pPr>
    </w:p>
    <w:p w14:paraId="05691801" w14:textId="77777777" w:rsidR="004903B3" w:rsidRPr="00DF2668" w:rsidRDefault="004903B3" w:rsidP="00DF2668">
      <w:pPr>
        <w:spacing w:after="0"/>
        <w:jc w:val="right"/>
        <w:rPr>
          <w:sz w:val="20"/>
          <w:szCs w:val="20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720"/>
        <w:gridCol w:w="5371"/>
        <w:gridCol w:w="1540"/>
        <w:gridCol w:w="1501"/>
        <w:gridCol w:w="859"/>
      </w:tblGrid>
      <w:tr w:rsidR="0052331E" w:rsidRPr="00DF2668" w14:paraId="60B19F35" w14:textId="77777777" w:rsidTr="000D1835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CC0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808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Ցուցանիշ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C0F" w14:textId="7E15D603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2019թ.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B49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2020թ.</w:t>
            </w:r>
          </w:p>
        </w:tc>
      </w:tr>
      <w:tr w:rsidR="0052331E" w:rsidRPr="00DF2668" w14:paraId="554AEC53" w14:textId="77777777" w:rsidTr="0069133F">
        <w:trPr>
          <w:trHeight w:val="2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9D3B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A644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63A2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Հունվար-մարտ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B08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Հունվար-մարտ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8D5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Աճի տեմպ %</w:t>
            </w:r>
          </w:p>
        </w:tc>
      </w:tr>
      <w:tr w:rsidR="0052331E" w:rsidRPr="00DF2668" w14:paraId="6F80720E" w14:textId="77777777" w:rsidTr="000D18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1EC9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C21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FED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AF2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335" w14:textId="77777777" w:rsidR="0052331E" w:rsidRPr="00985FAD" w:rsidRDefault="0052331E" w:rsidP="00C378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2331E" w:rsidRPr="00DF2668" w14:paraId="4C32A700" w14:textId="77777777" w:rsidTr="000D1835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011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51E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ԱԱՀ-ի զրոյական դրույքաչափով հարկվող գործարքներից առաջացած ԱԱՀ-ի փոխհատուցված գումար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AAE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15,015,782.5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353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17,927,244.9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73E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119.4</w:t>
            </w:r>
          </w:p>
        </w:tc>
      </w:tr>
      <w:tr w:rsidR="0052331E" w:rsidRPr="00DF2668" w14:paraId="416F1A09" w14:textId="77777777" w:rsidTr="00C378B4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800B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060E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Հաշվետու կիսամյակին և եռամսյակին հաջորդող ամսվա 21-ի դրությամբ ԱԱՀ-ի փոխհատուցվող գումարի գծով, ինչպես նաև ՀՀ հարկային օրենսգրքի 457-րդ հոդվածի 7-րդ մասով սահմանված` հաշվետու կիսամյակին հաջորդող ամսվա 21-ի դրությամբ բյուջեից հաշվանցման ենթակա ԱԱՀ գումարի գծով միասնական հաշվին մուտքագրված գումար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BAD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9,820,850.8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BED3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13,792,085.9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B9C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140.4</w:t>
            </w:r>
          </w:p>
        </w:tc>
      </w:tr>
      <w:tr w:rsidR="0052331E" w:rsidRPr="00DF2668" w14:paraId="5707371E" w14:textId="77777777" w:rsidTr="00361FA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75B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0F6" w14:textId="1C7B9CC9" w:rsidR="00243660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ԱԱՀ-ի վերադարձի (Tax free) հաշիվներով ՀՀ տարածքում վճարված ԱԱՀ-ի վերադարձված գումար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4494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145,137.9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B3B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86,206.6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BA1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59.4</w:t>
            </w:r>
          </w:p>
        </w:tc>
      </w:tr>
      <w:tr w:rsidR="0052331E" w:rsidRPr="00DF2668" w14:paraId="4B0F0BEA" w14:textId="77777777" w:rsidTr="00361FA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C9D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066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Վարկառուներին և համավարկառուներին հիպոտեկային վարկի սպասարկման համար վճարվող տոկոսների գծով ՀՀ ֆինանսների նախարարություն ներկայացված վճարման հանձնարարականների հանրագումար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8F7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1,558,546.5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99D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2,796,636.0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581" w14:textId="77777777" w:rsidR="0052331E" w:rsidRPr="00DF2668" w:rsidRDefault="0052331E" w:rsidP="00C378B4">
            <w:pPr>
              <w:spacing w:after="0"/>
              <w:rPr>
                <w:sz w:val="20"/>
                <w:szCs w:val="20"/>
              </w:rPr>
            </w:pPr>
            <w:r w:rsidRPr="00DF2668">
              <w:rPr>
                <w:sz w:val="20"/>
                <w:szCs w:val="20"/>
              </w:rPr>
              <w:t>179.4</w:t>
            </w:r>
          </w:p>
        </w:tc>
      </w:tr>
      <w:tr w:rsidR="0052331E" w:rsidRPr="00DF2668" w14:paraId="56C69A00" w14:textId="77777777" w:rsidTr="00361FA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8FC" w14:textId="77777777" w:rsidR="0052331E" w:rsidRPr="00985FAD" w:rsidRDefault="0052331E" w:rsidP="00C378B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161" w14:textId="77777777" w:rsidR="0052331E" w:rsidRPr="00985FAD" w:rsidRDefault="0052331E" w:rsidP="00C378B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B2B" w14:textId="77777777" w:rsidR="0052331E" w:rsidRPr="00985FAD" w:rsidRDefault="0052331E" w:rsidP="00C378B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26,540,317.7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DCC" w14:textId="77777777" w:rsidR="0052331E" w:rsidRPr="00985FAD" w:rsidRDefault="0052331E" w:rsidP="00C378B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34,602,173.4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864" w14:textId="77777777" w:rsidR="0052331E" w:rsidRPr="00985FAD" w:rsidRDefault="0052331E" w:rsidP="00C378B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5FAD">
              <w:rPr>
                <w:b/>
                <w:bCs/>
                <w:sz w:val="20"/>
                <w:szCs w:val="20"/>
              </w:rPr>
              <w:t>130.4</w:t>
            </w:r>
          </w:p>
        </w:tc>
      </w:tr>
    </w:tbl>
    <w:p w14:paraId="1C0ECDA4" w14:textId="5C21BF22" w:rsidR="0052331E" w:rsidRDefault="0052331E" w:rsidP="00C60AA9"/>
    <w:p w14:paraId="15AE63E1" w14:textId="77777777" w:rsidR="004903B3" w:rsidRPr="007E03FB" w:rsidRDefault="004903B3" w:rsidP="00C60AA9"/>
    <w:p w14:paraId="7EF3C5AC" w14:textId="77777777" w:rsidR="0052331E" w:rsidRPr="007E03FB" w:rsidRDefault="0052331E" w:rsidP="00C60AA9">
      <w:r w:rsidRPr="007E03FB">
        <w:tab/>
        <w:t>2020թ</w:t>
      </w:r>
      <w:r w:rsidRPr="007E03FB">
        <w:rPr>
          <w:rFonts w:cs="Cambria Math"/>
        </w:rPr>
        <w:t>.</w:t>
      </w:r>
      <w:r w:rsidRPr="007E03FB">
        <w:t xml:space="preserve"> առաջին եռամսյակում ԱԱՀ-ի զրոյական դրույքաչափով հարկվող գործարքներից առաջացած ԱԱՀ-ի փոխհատուցված գումարները կազմել են 17,927</w:t>
      </w:r>
      <w:r w:rsidRPr="007E03FB">
        <w:rPr>
          <w:rFonts w:cs="Cambria Math"/>
        </w:rPr>
        <w:t>.</w:t>
      </w:r>
      <w:r w:rsidRPr="007E03FB">
        <w:t>2 մլն դրամ, որը նախորդ համադրելի ժամանակաշրջանի ցուցանիշից ավելի է 19</w:t>
      </w:r>
      <w:r w:rsidRPr="007E03FB">
        <w:rPr>
          <w:rFonts w:cs="Cambria Math"/>
        </w:rPr>
        <w:t>.</w:t>
      </w:r>
      <w:r w:rsidRPr="007E03FB">
        <w:t>4 տոկոսով, նմանապես՝ բյուջեից հաշվանցման ենթակա ԱԱՀ գումարի գծով միասնական հաշվին մուտքագրված գումարը , նախորդ համադրելի ժամանակաշրջանի համեմատ ավելի են 40</w:t>
      </w:r>
      <w:r w:rsidRPr="007E03FB">
        <w:rPr>
          <w:rFonts w:cs="Cambria Math"/>
        </w:rPr>
        <w:t>.</w:t>
      </w:r>
      <w:r w:rsidRPr="007E03FB">
        <w:t xml:space="preserve">4 տոկոսով։ Ի տարբերություն ԱԱՀ-ի մասով վերը նշված փոխհատուցված գումարների, ԱԱՀ-ի վերադարձի հաշիվներով ՀՀ տարածքում վճարված ԱԱՀ-ի վերադարձված գումարը </w:t>
      </w:r>
      <w:r w:rsidRPr="007E03FB">
        <w:lastRenderedPageBreak/>
        <w:t>նախորդ համադրելի ժամանակաշրջանի համեմատ նվազել են 59</w:t>
      </w:r>
      <w:r w:rsidRPr="007E03FB">
        <w:rPr>
          <w:rFonts w:cs="Cambria Math"/>
        </w:rPr>
        <w:t>.</w:t>
      </w:r>
      <w:r w:rsidRPr="007E03FB">
        <w:t>4 տոկոսով, ինչը հիմնականում պայմանավորված է COVID-19-ի հանգամանքով։</w:t>
      </w:r>
    </w:p>
    <w:p w14:paraId="68F3410E" w14:textId="77777777" w:rsidR="0052331E" w:rsidRPr="007E03FB" w:rsidRDefault="0052331E" w:rsidP="00C60AA9">
      <w:r w:rsidRPr="007E03FB">
        <w:tab/>
        <w:t>Վարկառուներին և համավարկառուներին հիպոտեկային վարկի սպասարկման համար վճարվող տոկոսների գումարը նախորդ համադրելի ժամանակաշրջանի համեմատ աճել է 79</w:t>
      </w:r>
      <w:r w:rsidRPr="007E03FB">
        <w:rPr>
          <w:rFonts w:cs="Cambria Math"/>
        </w:rPr>
        <w:t>.</w:t>
      </w:r>
      <w:r w:rsidRPr="007E03FB">
        <w:t>4 տոկոսով։</w:t>
      </w:r>
    </w:p>
    <w:p w14:paraId="5713B3BD" w14:textId="77777777" w:rsidR="0052331E" w:rsidRDefault="0052331E" w:rsidP="00C60AA9">
      <w:r w:rsidRPr="007E03FB">
        <w:t>2020 թվականի առաջին եռամսյակում ՀՀ պետական բյուջե վճարված հարկային եկամուտներն ու պետական տուրքերն ըստ եկամտային հաշիվների և ծախսային ուղղությունների հետևյալն է.</w:t>
      </w:r>
    </w:p>
    <w:p w14:paraId="29E34AF4" w14:textId="77777777" w:rsidR="0052331E" w:rsidRPr="007E03FB" w:rsidRDefault="0052331E" w:rsidP="00C60AA9"/>
    <w:p w14:paraId="54E1D778" w14:textId="77777777" w:rsidR="00F91BFC" w:rsidRDefault="00F91BFC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BF3EB2" w14:textId="392ED659" w:rsidR="0052331E" w:rsidRPr="00C378B4" w:rsidRDefault="0052331E" w:rsidP="00EC263F">
      <w:pPr>
        <w:spacing w:after="0"/>
        <w:ind w:right="263"/>
        <w:jc w:val="right"/>
        <w:rPr>
          <w:rFonts w:cs="Sylfaen"/>
          <w:sz w:val="20"/>
          <w:szCs w:val="20"/>
        </w:rPr>
      </w:pPr>
      <w:r w:rsidRPr="00C378B4">
        <w:rPr>
          <w:sz w:val="20"/>
          <w:szCs w:val="20"/>
        </w:rPr>
        <w:lastRenderedPageBreak/>
        <w:t>(Աղյուսակ 5)</w:t>
      </w:r>
    </w:p>
    <w:p w14:paraId="36D4F427" w14:textId="0698A193" w:rsidR="0052331E" w:rsidRPr="00C378B4" w:rsidRDefault="0052331E" w:rsidP="00C378B4">
      <w:pPr>
        <w:spacing w:after="0"/>
        <w:rPr>
          <w:sz w:val="20"/>
          <w:szCs w:val="20"/>
        </w:rPr>
      </w:pPr>
      <w:r w:rsidRPr="00C378B4">
        <w:rPr>
          <w:sz w:val="20"/>
          <w:szCs w:val="20"/>
        </w:rPr>
        <w:t>Բյուջե մուտքերն ըստ եկամտային հաշիվների.</w:t>
      </w:r>
      <w:r w:rsidR="00EC263F">
        <w:rPr>
          <w:sz w:val="20"/>
          <w:szCs w:val="20"/>
        </w:rPr>
        <w:tab/>
      </w:r>
      <w:r w:rsidRPr="00C378B4">
        <w:rPr>
          <w:sz w:val="20"/>
          <w:szCs w:val="20"/>
        </w:rPr>
        <w:tab/>
      </w:r>
      <w:r w:rsidRPr="00C378B4">
        <w:rPr>
          <w:sz w:val="20"/>
          <w:szCs w:val="20"/>
        </w:rPr>
        <w:tab/>
      </w:r>
      <w:r w:rsidRPr="00C378B4">
        <w:rPr>
          <w:sz w:val="20"/>
          <w:szCs w:val="20"/>
        </w:rPr>
        <w:tab/>
      </w:r>
      <w:r w:rsidR="00C378B4">
        <w:rPr>
          <w:sz w:val="20"/>
          <w:szCs w:val="20"/>
        </w:rPr>
        <w:tab/>
      </w:r>
      <w:r w:rsidR="00C378B4">
        <w:rPr>
          <w:sz w:val="20"/>
          <w:szCs w:val="20"/>
        </w:rPr>
        <w:tab/>
      </w:r>
      <w:r w:rsidRPr="00C378B4">
        <w:rPr>
          <w:sz w:val="20"/>
          <w:szCs w:val="20"/>
        </w:rPr>
        <w:tab/>
        <w:t xml:space="preserve">  հազ.դրամ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972"/>
        <w:gridCol w:w="1904"/>
        <w:gridCol w:w="1830"/>
        <w:gridCol w:w="1710"/>
        <w:gridCol w:w="1644"/>
      </w:tblGrid>
      <w:tr w:rsidR="0052331E" w:rsidRPr="00C378B4" w14:paraId="2A771EA5" w14:textId="77777777" w:rsidTr="00F91BFC">
        <w:trPr>
          <w:trHeight w:val="9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C91" w14:textId="77777777" w:rsidR="0052331E" w:rsidRPr="00985FAD" w:rsidRDefault="0052331E" w:rsidP="005B1A2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Ժամանակահատված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CB2" w14:textId="77777777" w:rsidR="0052331E" w:rsidRPr="00985FAD" w:rsidRDefault="0052331E" w:rsidP="005B1A2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Հարկերի միասնական հաշվից բյուջե մուտքե</w:t>
            </w:r>
            <w:r w:rsidRPr="00985FAD">
              <w:rPr>
                <w:rFonts w:cs="Arial"/>
                <w:b/>
                <w:bCs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039" w14:textId="77777777" w:rsidR="0052331E" w:rsidRPr="00985FAD" w:rsidRDefault="0052331E" w:rsidP="005B1A2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Այլ հաշիվներից բյուջե հարկային մուտքեր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018" w14:textId="77777777" w:rsidR="0052331E" w:rsidRPr="00985FAD" w:rsidRDefault="0052331E" w:rsidP="005B1A2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Մաքսային ծառայության կողմից գանձված գումարնե</w:t>
            </w:r>
            <w:r w:rsidRPr="00985FAD">
              <w:rPr>
                <w:rFonts w:cs="Arial"/>
                <w:b/>
                <w:bCs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3D6" w14:textId="77777777" w:rsidR="0052331E" w:rsidRPr="00985FAD" w:rsidRDefault="0052331E" w:rsidP="005B1A24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>Ընդամենը բյուջե հաշվեգրված եկամուտնե</w:t>
            </w:r>
            <w:r w:rsidRPr="00985FAD">
              <w:rPr>
                <w:rFonts w:cs="Arial"/>
                <w:b/>
                <w:bCs/>
                <w:sz w:val="20"/>
                <w:szCs w:val="20"/>
                <w:lang w:val="ru-RU" w:eastAsia="ru-RU"/>
              </w:rPr>
              <w:t>ր</w:t>
            </w:r>
          </w:p>
        </w:tc>
      </w:tr>
      <w:tr w:rsidR="0052331E" w:rsidRPr="00C378B4" w14:paraId="5C02C1BD" w14:textId="77777777" w:rsidTr="00F91BFC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F7AFB" w14:textId="77777777" w:rsidR="0052331E" w:rsidRPr="00C378B4" w:rsidRDefault="0052331E" w:rsidP="005B1A24">
            <w:pPr>
              <w:spacing w:after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2020թ</w:t>
            </w:r>
            <w:r w:rsidRPr="00C378B4">
              <w:rPr>
                <w:rFonts w:cs="Cambria Math"/>
                <w:sz w:val="20"/>
                <w:szCs w:val="20"/>
                <w:lang w:eastAsia="ru-RU"/>
              </w:rPr>
              <w:t>.</w:t>
            </w:r>
            <w:r w:rsidRPr="00C378B4">
              <w:rPr>
                <w:sz w:val="20"/>
                <w:szCs w:val="20"/>
                <w:lang w:eastAsia="ru-RU"/>
              </w:rPr>
              <w:t xml:space="preserve"> 1-</w:t>
            </w:r>
            <w:r w:rsidRPr="00C378B4">
              <w:rPr>
                <w:rFonts w:cs="GHEA Grapalat"/>
                <w:sz w:val="20"/>
                <w:szCs w:val="20"/>
                <w:lang w:eastAsia="ru-RU"/>
              </w:rPr>
              <w:t>ին</w:t>
            </w:r>
            <w:r w:rsidRPr="00C378B4">
              <w:rPr>
                <w:sz w:val="20"/>
                <w:szCs w:val="20"/>
                <w:lang w:eastAsia="ru-RU"/>
              </w:rPr>
              <w:t xml:space="preserve"> </w:t>
            </w:r>
            <w:r w:rsidRPr="00C378B4">
              <w:rPr>
                <w:rFonts w:cs="GHEA Grapalat"/>
                <w:sz w:val="20"/>
                <w:szCs w:val="20"/>
                <w:lang w:eastAsia="ru-RU"/>
              </w:rPr>
              <w:t>եռամսյակ,</w:t>
            </w:r>
            <w:r w:rsidRPr="00C378B4">
              <w:rPr>
                <w:sz w:val="20"/>
                <w:szCs w:val="20"/>
                <w:lang w:eastAsia="ru-RU"/>
              </w:rPr>
              <w:br/>
              <w:t>այդ թվում՝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BD43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303,478,601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7129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15,649,689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DFBF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65,095,549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A8E3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384,223,840</w:t>
            </w:r>
          </w:p>
        </w:tc>
      </w:tr>
      <w:tr w:rsidR="0052331E" w:rsidRPr="00C378B4" w14:paraId="357EEAB1" w14:textId="77777777" w:rsidTr="00F91BFC">
        <w:trPr>
          <w:trHeight w:val="3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4F1E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Հունվար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B79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133,445,780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840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5,965,293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A2F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21,214,740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2C3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160,625,812</w:t>
            </w:r>
          </w:p>
        </w:tc>
      </w:tr>
      <w:tr w:rsidR="0052331E" w:rsidRPr="00C378B4" w14:paraId="3FDED802" w14:textId="77777777" w:rsidTr="00F91BFC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8D9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Փետրվար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0CA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67,231,868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4B2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eastAsia="ru-RU"/>
              </w:rPr>
              <w:t>4,352,3</w:t>
            </w:r>
            <w:r w:rsidRPr="00C378B4">
              <w:rPr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D28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21,001,219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856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92,585,485</w:t>
            </w:r>
          </w:p>
        </w:tc>
      </w:tr>
      <w:tr w:rsidR="0052331E" w:rsidRPr="00C378B4" w14:paraId="142FCB5F" w14:textId="77777777" w:rsidTr="00F91BFC">
        <w:trPr>
          <w:trHeight w:val="3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A7A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Մարտ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DC9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102,800,953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E56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5,331,999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6CAD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22,879,590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DBF" w14:textId="77777777" w:rsidR="0052331E" w:rsidRPr="00C378B4" w:rsidRDefault="0052331E" w:rsidP="005B1A24">
            <w:pPr>
              <w:spacing w:after="0"/>
              <w:rPr>
                <w:sz w:val="20"/>
                <w:szCs w:val="20"/>
                <w:lang w:val="ru-RU" w:eastAsia="ru-RU"/>
              </w:rPr>
            </w:pPr>
            <w:r w:rsidRPr="00C378B4">
              <w:rPr>
                <w:sz w:val="20"/>
                <w:szCs w:val="20"/>
                <w:lang w:val="ru-RU" w:eastAsia="ru-RU"/>
              </w:rPr>
              <w:t>131,012,542</w:t>
            </w:r>
          </w:p>
        </w:tc>
      </w:tr>
    </w:tbl>
    <w:p w14:paraId="0899ACF8" w14:textId="77777777" w:rsidR="0052331E" w:rsidRDefault="0052331E" w:rsidP="00C60AA9"/>
    <w:p w14:paraId="6B058F78" w14:textId="77777777" w:rsidR="0052331E" w:rsidRPr="00A36901" w:rsidRDefault="0052331E" w:rsidP="00A36901">
      <w:pPr>
        <w:spacing w:after="0"/>
        <w:jc w:val="right"/>
        <w:rPr>
          <w:rFonts w:cs="Sylfaen"/>
          <w:sz w:val="20"/>
          <w:szCs w:val="20"/>
        </w:rPr>
      </w:pPr>
      <w:r w:rsidRPr="00A36901">
        <w:rPr>
          <w:sz w:val="20"/>
          <w:szCs w:val="20"/>
        </w:rPr>
        <w:t>(Աղյուսակ 5.1)</w:t>
      </w:r>
    </w:p>
    <w:p w14:paraId="4F5DD911" w14:textId="598A67A8" w:rsidR="0052331E" w:rsidRPr="00A36901" w:rsidRDefault="0052331E" w:rsidP="00A36901">
      <w:pPr>
        <w:spacing w:after="0"/>
        <w:rPr>
          <w:sz w:val="20"/>
          <w:szCs w:val="20"/>
        </w:rPr>
      </w:pPr>
      <w:r w:rsidRPr="00A36901">
        <w:rPr>
          <w:sz w:val="20"/>
          <w:szCs w:val="20"/>
        </w:rPr>
        <w:t>Բյուջեի եկամուտներից կատարված վերադարձները.</w:t>
      </w:r>
      <w:r w:rsidRPr="00A36901">
        <w:rPr>
          <w:sz w:val="20"/>
          <w:szCs w:val="20"/>
        </w:rPr>
        <w:tab/>
      </w:r>
      <w:r w:rsidRPr="00A36901">
        <w:rPr>
          <w:sz w:val="20"/>
          <w:szCs w:val="20"/>
        </w:rPr>
        <w:tab/>
      </w:r>
      <w:r w:rsidRPr="00A36901">
        <w:rPr>
          <w:sz w:val="20"/>
          <w:szCs w:val="20"/>
        </w:rPr>
        <w:tab/>
      </w:r>
      <w:r w:rsidR="00A36901">
        <w:rPr>
          <w:sz w:val="20"/>
          <w:szCs w:val="20"/>
        </w:rPr>
        <w:tab/>
      </w:r>
      <w:r w:rsidR="00A36901">
        <w:rPr>
          <w:sz w:val="20"/>
          <w:szCs w:val="20"/>
        </w:rPr>
        <w:tab/>
      </w:r>
      <w:r w:rsidRPr="00A36901">
        <w:rPr>
          <w:sz w:val="20"/>
          <w:szCs w:val="20"/>
        </w:rPr>
        <w:tab/>
        <w:t xml:space="preserve"> հազ.դրամ</w:t>
      </w: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1435"/>
        <w:gridCol w:w="1573"/>
        <w:gridCol w:w="1807"/>
        <w:gridCol w:w="1312"/>
        <w:gridCol w:w="1275"/>
        <w:gridCol w:w="988"/>
        <w:gridCol w:w="1706"/>
      </w:tblGrid>
      <w:tr w:rsidR="0052331E" w:rsidRPr="00A36901" w14:paraId="04596E47" w14:textId="77777777" w:rsidTr="00DB48CC">
        <w:trPr>
          <w:trHeight w:val="22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F5C" w14:textId="77777777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>Ամիս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2A0" w14:textId="040969D4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>Անցումային գերավճարից վերադարձ հարկատուներին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4AC" w14:textId="782D9D6A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 xml:space="preserve">Դեբետային գերավճարից վերադարձ հարկատուներին </w:t>
            </w:r>
            <w:r w:rsidRPr="00985FAD">
              <w:rPr>
                <w:sz w:val="20"/>
                <w:szCs w:val="20"/>
                <w:lang w:eastAsia="ru-RU"/>
              </w:rPr>
              <w:t>(այդ թվում՝ ՊԵԿ եզրակացությունների համաձայն վերադարձված)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E71" w14:textId="08FCDC94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Վարկառուներին հիպոտեկային վարկի սպասարկման համար վճարված տոկոսներ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45D" w14:textId="05AC4EBC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5FAD">
              <w:rPr>
                <w:b/>
                <w:bCs/>
                <w:sz w:val="20"/>
                <w:szCs w:val="20"/>
                <w:lang w:eastAsia="ru-RU"/>
              </w:rPr>
              <w:t>ԱԱՀ-ի վերադարձ (Tax free)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048" w14:textId="63C957F3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>Այլ ելքեր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498" w14:textId="77777777" w:rsidR="0052331E" w:rsidRPr="00985FAD" w:rsidRDefault="0052331E" w:rsidP="00BB711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5FAD">
              <w:rPr>
                <w:b/>
                <w:bCs/>
                <w:sz w:val="20"/>
                <w:szCs w:val="20"/>
                <w:lang w:val="ru-RU" w:eastAsia="ru-RU"/>
              </w:rPr>
              <w:t>Ընդամենը հարկերից վերադարձների գումար</w:t>
            </w:r>
            <w:r w:rsidRPr="00985FAD">
              <w:rPr>
                <w:rFonts w:cs="Arial"/>
                <w:b/>
                <w:bCs/>
                <w:sz w:val="20"/>
                <w:szCs w:val="20"/>
                <w:lang w:val="ru-RU" w:eastAsia="ru-RU"/>
              </w:rPr>
              <w:t>ը</w:t>
            </w:r>
          </w:p>
        </w:tc>
      </w:tr>
      <w:tr w:rsidR="0052331E" w:rsidRPr="00A36901" w14:paraId="46023B5C" w14:textId="77777777" w:rsidTr="00EA56AE">
        <w:trPr>
          <w:trHeight w:val="3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236" w14:textId="77777777" w:rsidR="0052331E" w:rsidRPr="00A36901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Հունվար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933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56,203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5D5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13,420,945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367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358,516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D41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25,973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399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65,463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E61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13,927,099</w:t>
            </w:r>
          </w:p>
        </w:tc>
      </w:tr>
      <w:tr w:rsidR="0052331E" w:rsidRPr="00A36901" w14:paraId="348E80AC" w14:textId="77777777" w:rsidTr="00EA56AE">
        <w:trPr>
          <w:trHeight w:val="3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661" w14:textId="77777777" w:rsidR="0052331E" w:rsidRPr="00A36901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Փետրվար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EE7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27,404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A77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5,155,686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A11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2,009,365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1B1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15,212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0E3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73,812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894A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7,281,479</w:t>
            </w:r>
          </w:p>
        </w:tc>
      </w:tr>
      <w:tr w:rsidR="0052331E" w:rsidRPr="00A36901" w14:paraId="18849CE9" w14:textId="77777777" w:rsidTr="00EA56AE">
        <w:trPr>
          <w:trHeight w:val="3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771" w14:textId="77777777" w:rsidR="0052331E" w:rsidRPr="00A36901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Մարտ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58A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51,140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0A8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13,429,330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87D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416,063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384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45,022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9F5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39,254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F07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13,980,809</w:t>
            </w:r>
          </w:p>
        </w:tc>
      </w:tr>
      <w:tr w:rsidR="0052331E" w:rsidRPr="00A36901" w14:paraId="632D17DA" w14:textId="77777777" w:rsidTr="00EA56AE">
        <w:trPr>
          <w:trHeight w:val="3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76B" w14:textId="77777777" w:rsidR="0052331E" w:rsidRPr="00A36901" w:rsidRDefault="0052331E" w:rsidP="00C60AA9">
            <w:pPr>
              <w:rPr>
                <w:sz w:val="20"/>
                <w:szCs w:val="20"/>
                <w:lang w:eastAsia="ru-RU"/>
              </w:rPr>
            </w:pPr>
            <w:r w:rsidRPr="00A36901">
              <w:rPr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65F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134,747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D78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32,005,961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57D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2,783,944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3C48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86,207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5C3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178,529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1A34" w14:textId="77777777" w:rsidR="0052331E" w:rsidRPr="00A36901" w:rsidRDefault="0052331E" w:rsidP="00DB48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36901">
              <w:rPr>
                <w:sz w:val="20"/>
                <w:szCs w:val="20"/>
                <w:lang w:val="ru-RU" w:eastAsia="ru-RU"/>
              </w:rPr>
              <w:t>35,189,387</w:t>
            </w:r>
          </w:p>
        </w:tc>
      </w:tr>
    </w:tbl>
    <w:p w14:paraId="53F8F3AA" w14:textId="5B919F95" w:rsidR="0052331E" w:rsidRDefault="0052331E" w:rsidP="00C60AA9"/>
    <w:p w14:paraId="5B502492" w14:textId="41FC3F87" w:rsidR="005E1F10" w:rsidRDefault="005E1F10" w:rsidP="00C60AA9"/>
    <w:p w14:paraId="051E01C7" w14:textId="30730A71" w:rsidR="003949BD" w:rsidRDefault="003949BD" w:rsidP="00C60AA9"/>
    <w:p w14:paraId="48646EB6" w14:textId="02778BED" w:rsidR="003949BD" w:rsidRDefault="003949BD" w:rsidP="00C60AA9"/>
    <w:p w14:paraId="3F3FAB69" w14:textId="0C2EB4FD" w:rsidR="003949BD" w:rsidRDefault="003949BD" w:rsidP="00C60AA9"/>
    <w:p w14:paraId="76E208A7" w14:textId="1FBA12D6" w:rsidR="003949BD" w:rsidRDefault="003949BD" w:rsidP="00C60AA9"/>
    <w:p w14:paraId="72D0FC68" w14:textId="5E1B7C05" w:rsidR="003949BD" w:rsidRDefault="003949BD" w:rsidP="00C60AA9"/>
    <w:p w14:paraId="10A8A910" w14:textId="6842875F" w:rsidR="0052331E" w:rsidRPr="007E03FB" w:rsidRDefault="0052331E" w:rsidP="00C60AA9">
      <w:r w:rsidRPr="007E03FB">
        <w:t>2020թ</w:t>
      </w:r>
      <w:r w:rsidRPr="007E03FB">
        <w:rPr>
          <w:rFonts w:cs="Cambria Math"/>
        </w:rPr>
        <w:t>.</w:t>
      </w:r>
      <w:r w:rsidRPr="007E03FB">
        <w:t xml:space="preserve"> առաջին եռամսյակի արդյունքներով պետական բյուջե զուտ մուտքերը՝</w:t>
      </w:r>
    </w:p>
    <w:p w14:paraId="316A784C" w14:textId="77777777" w:rsidR="0052331E" w:rsidRPr="00823A3D" w:rsidRDefault="0052331E" w:rsidP="00823A3D">
      <w:pPr>
        <w:spacing w:after="0"/>
        <w:jc w:val="right"/>
        <w:rPr>
          <w:rFonts w:cs="Sylfaen"/>
          <w:sz w:val="20"/>
          <w:szCs w:val="20"/>
        </w:rPr>
      </w:pPr>
      <w:r w:rsidRPr="00823A3D">
        <w:rPr>
          <w:sz w:val="20"/>
          <w:szCs w:val="20"/>
        </w:rPr>
        <w:t xml:space="preserve"> (Աղյուսակ 5.2)</w:t>
      </w:r>
    </w:p>
    <w:p w14:paraId="5C95B8E6" w14:textId="7DCE130F" w:rsidR="0052331E" w:rsidRPr="00823A3D" w:rsidRDefault="0052331E" w:rsidP="009C6E12">
      <w:pPr>
        <w:spacing w:after="0"/>
        <w:jc w:val="right"/>
        <w:rPr>
          <w:sz w:val="20"/>
          <w:szCs w:val="20"/>
        </w:rPr>
      </w:pPr>
      <w:r w:rsidRPr="00823A3D">
        <w:rPr>
          <w:sz w:val="20"/>
          <w:szCs w:val="20"/>
        </w:rPr>
        <w:t>հազ.դրամ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842"/>
      </w:tblGrid>
      <w:tr w:rsidR="0052331E" w:rsidRPr="00823A3D" w14:paraId="4EBF55A1" w14:textId="77777777" w:rsidTr="000D1835">
        <w:tc>
          <w:tcPr>
            <w:tcW w:w="3539" w:type="dxa"/>
            <w:vMerge w:val="restart"/>
            <w:vAlign w:val="center"/>
          </w:tcPr>
          <w:p w14:paraId="76E33FB8" w14:textId="77777777" w:rsidR="0052331E" w:rsidRPr="009E6E97" w:rsidRDefault="0052331E" w:rsidP="005E1F10">
            <w:pPr>
              <w:jc w:val="left"/>
              <w:rPr>
                <w:rFonts w:cs="Sylfaen"/>
                <w:b/>
                <w:bCs/>
                <w:sz w:val="20"/>
                <w:szCs w:val="20"/>
              </w:rPr>
            </w:pPr>
            <w:r w:rsidRPr="009E6E97">
              <w:rPr>
                <w:b/>
                <w:bCs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559" w:type="dxa"/>
            <w:vAlign w:val="center"/>
          </w:tcPr>
          <w:p w14:paraId="071072D4" w14:textId="77777777" w:rsidR="0052331E" w:rsidRPr="009E6E97" w:rsidRDefault="0052331E" w:rsidP="005E1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97">
              <w:rPr>
                <w:b/>
                <w:bCs/>
                <w:sz w:val="20"/>
                <w:szCs w:val="20"/>
              </w:rPr>
              <w:t>Հունվար</w:t>
            </w:r>
          </w:p>
        </w:tc>
        <w:tc>
          <w:tcPr>
            <w:tcW w:w="1560" w:type="dxa"/>
            <w:vAlign w:val="center"/>
          </w:tcPr>
          <w:p w14:paraId="1D11E198" w14:textId="77777777" w:rsidR="0052331E" w:rsidRPr="009E6E97" w:rsidRDefault="0052331E" w:rsidP="005E1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97">
              <w:rPr>
                <w:b/>
                <w:bCs/>
                <w:sz w:val="20"/>
                <w:szCs w:val="20"/>
              </w:rPr>
              <w:t>Փետրվար</w:t>
            </w:r>
          </w:p>
        </w:tc>
        <w:tc>
          <w:tcPr>
            <w:tcW w:w="1559" w:type="dxa"/>
            <w:vAlign w:val="center"/>
          </w:tcPr>
          <w:p w14:paraId="52084EFF" w14:textId="77777777" w:rsidR="0052331E" w:rsidRPr="009E6E97" w:rsidRDefault="0052331E" w:rsidP="005E1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97">
              <w:rPr>
                <w:b/>
                <w:bCs/>
                <w:sz w:val="20"/>
                <w:szCs w:val="20"/>
              </w:rPr>
              <w:t>Մարտ</w:t>
            </w:r>
          </w:p>
        </w:tc>
        <w:tc>
          <w:tcPr>
            <w:tcW w:w="1842" w:type="dxa"/>
            <w:vAlign w:val="center"/>
          </w:tcPr>
          <w:p w14:paraId="23CB711E" w14:textId="77777777" w:rsidR="0052331E" w:rsidRPr="009E6E97" w:rsidRDefault="0052331E" w:rsidP="005E1F10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97">
              <w:rPr>
                <w:b/>
                <w:bCs/>
                <w:sz w:val="20"/>
                <w:szCs w:val="20"/>
              </w:rPr>
              <w:t>2020թ. 1-ին եռամսյակ</w:t>
            </w:r>
          </w:p>
        </w:tc>
      </w:tr>
      <w:tr w:rsidR="0052331E" w:rsidRPr="00866F0D" w14:paraId="66379062" w14:textId="77777777" w:rsidTr="000D1835">
        <w:trPr>
          <w:trHeight w:val="424"/>
        </w:trPr>
        <w:tc>
          <w:tcPr>
            <w:tcW w:w="3539" w:type="dxa"/>
            <w:vMerge/>
            <w:vAlign w:val="center"/>
          </w:tcPr>
          <w:p w14:paraId="1D44D124" w14:textId="77777777" w:rsidR="0052331E" w:rsidRPr="00823A3D" w:rsidRDefault="0052331E" w:rsidP="00C60A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1808C6" w14:textId="4F3E23F3" w:rsidR="0052331E" w:rsidRPr="00375F7D" w:rsidRDefault="0052331E" w:rsidP="005E1F10">
            <w:pPr>
              <w:jc w:val="right"/>
              <w:rPr>
                <w:rFonts w:cs="Sylfaen"/>
                <w:sz w:val="20"/>
                <w:szCs w:val="20"/>
                <w:lang w:val="en-US"/>
              </w:rPr>
            </w:pPr>
            <w:r w:rsidRPr="00823A3D">
              <w:rPr>
                <w:sz w:val="20"/>
                <w:szCs w:val="20"/>
              </w:rPr>
              <w:t>146 698 71</w:t>
            </w:r>
            <w:r w:rsidR="00375F7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591584B2" w14:textId="1F5CB9F6" w:rsidR="0052331E" w:rsidRPr="00375F7D" w:rsidRDefault="0052331E" w:rsidP="005E1F10">
            <w:pPr>
              <w:jc w:val="right"/>
              <w:rPr>
                <w:rFonts w:cs="Sylfaen"/>
                <w:sz w:val="20"/>
                <w:szCs w:val="20"/>
                <w:lang w:val="en-US"/>
              </w:rPr>
            </w:pPr>
            <w:r w:rsidRPr="00823A3D">
              <w:rPr>
                <w:sz w:val="20"/>
                <w:szCs w:val="20"/>
              </w:rPr>
              <w:t>85 30</w:t>
            </w:r>
            <w:r w:rsidR="00375F7D">
              <w:rPr>
                <w:sz w:val="20"/>
                <w:szCs w:val="20"/>
                <w:lang w:val="en-US"/>
              </w:rPr>
              <w:t>3 967</w:t>
            </w:r>
          </w:p>
        </w:tc>
        <w:tc>
          <w:tcPr>
            <w:tcW w:w="1559" w:type="dxa"/>
            <w:vAlign w:val="center"/>
          </w:tcPr>
          <w:p w14:paraId="299088BE" w14:textId="752FA746" w:rsidR="0052331E" w:rsidRPr="00375F7D" w:rsidRDefault="0052331E" w:rsidP="005E1F10">
            <w:pPr>
              <w:jc w:val="right"/>
              <w:rPr>
                <w:rFonts w:cs="Sylfaen"/>
                <w:sz w:val="20"/>
                <w:szCs w:val="20"/>
                <w:lang w:val="en-US"/>
              </w:rPr>
            </w:pPr>
            <w:r w:rsidRPr="00823A3D">
              <w:rPr>
                <w:sz w:val="20"/>
                <w:szCs w:val="20"/>
              </w:rPr>
              <w:t>117 031 73</w:t>
            </w:r>
            <w:r w:rsidR="00375F7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14:paraId="28DA9FF7" w14:textId="491C02CB" w:rsidR="0052331E" w:rsidRPr="00866F0D" w:rsidRDefault="00555A08" w:rsidP="00723A96">
            <w:pPr>
              <w:jc w:val="center"/>
              <w:rPr>
                <w:lang w:val="en-US"/>
              </w:rPr>
            </w:pPr>
            <w:r w:rsidRPr="00866F0D">
              <w:rPr>
                <w:sz w:val="20"/>
                <w:szCs w:val="20"/>
              </w:rPr>
              <w:t>349 034 453</w:t>
            </w:r>
          </w:p>
        </w:tc>
      </w:tr>
    </w:tbl>
    <w:p w14:paraId="32A7C2BB" w14:textId="48058669" w:rsidR="0052331E" w:rsidRPr="007E03FB" w:rsidRDefault="0052331E" w:rsidP="00800342">
      <w:pPr>
        <w:pStyle w:val="Heading3"/>
        <w:numPr>
          <w:ilvl w:val="0"/>
          <w:numId w:val="15"/>
        </w:numPr>
        <w:rPr>
          <w:noProof/>
        </w:rPr>
      </w:pPr>
      <w:bookmarkStart w:id="4" w:name="_Toc47020594"/>
      <w:r w:rsidRPr="007E03FB">
        <w:rPr>
          <w:noProof/>
        </w:rPr>
        <w:t>ՊԱՇՏՈՆԱԿԱՆ ԴՐԱՄԱՇՆՈՐՀՆԵՐԻ ՎԵՐԱԲԵՐՅԱԼ</w:t>
      </w:r>
      <w:bookmarkEnd w:id="4"/>
    </w:p>
    <w:p w14:paraId="68E64C0F" w14:textId="77777777" w:rsidR="0052331E" w:rsidRPr="007E03FB" w:rsidRDefault="0052331E" w:rsidP="00C60AA9"/>
    <w:p w14:paraId="14ABA3A8" w14:textId="77777777" w:rsidR="00566EB4" w:rsidRPr="007E03FB" w:rsidRDefault="00C15C70" w:rsidP="00566EB4">
      <w:pPr>
        <w:autoSpaceDE w:val="0"/>
        <w:autoSpaceDN w:val="0"/>
        <w:adjustRightInd w:val="0"/>
        <w:ind w:firstLine="567"/>
        <w:rPr>
          <w:rFonts w:cs="GHEA Grapalat"/>
        </w:rPr>
      </w:pPr>
      <w:r>
        <w:tab/>
      </w:r>
      <w:r w:rsidR="00566EB4" w:rsidRPr="007E03FB">
        <w:rPr>
          <w:rFonts w:cs="GHEA Grapalat"/>
        </w:rPr>
        <w:t>2020 թվականի առաջին եռամսյակում արտաքին աղբյուրներից ստացվել են ավելի քան 1.8</w:t>
      </w:r>
      <w:r w:rsidR="00566EB4" w:rsidRPr="007E03FB">
        <w:rPr>
          <w:rFonts w:ascii="Calibri" w:hAnsi="Calibri" w:cs="Calibri"/>
        </w:rPr>
        <w:t> </w:t>
      </w:r>
      <w:r w:rsidR="00566EB4" w:rsidRPr="007E03FB">
        <w:rPr>
          <w:rFonts w:cs="GHEA Grapalat"/>
        </w:rPr>
        <w:t>մլրդ դրամ պաշտոնական դրամաշնորհներ՝ կազմելով առաջին եռամսյակում ծրագրված մուտքերի 33.3%-ը: Մասնավորապես՝ ստացվել են հետևյալ պաշտոնական դրամաշնորհները</w:t>
      </w:r>
      <w:r w:rsidR="00566EB4" w:rsidRPr="007E03FB">
        <w:rPr>
          <w:rFonts w:ascii="Cambria Math" w:hAnsi="Cambria Math" w:cs="Cambria Math"/>
        </w:rPr>
        <w:t>․</w:t>
      </w:r>
    </w:p>
    <w:p w14:paraId="17B21629" w14:textId="77777777" w:rsidR="00566EB4" w:rsidRPr="007E03FB" w:rsidRDefault="00566EB4" w:rsidP="00566EB4">
      <w:pPr>
        <w:pStyle w:val="ListParagraph"/>
        <w:numPr>
          <w:ilvl w:val="0"/>
          <w:numId w:val="5"/>
        </w:numPr>
        <w:tabs>
          <w:tab w:val="left" w:pos="7110"/>
        </w:tabs>
        <w:autoSpaceDE w:val="0"/>
        <w:autoSpaceDN w:val="0"/>
        <w:adjustRightInd w:val="0"/>
        <w:spacing w:after="0"/>
        <w:ind w:left="360"/>
        <w:rPr>
          <w:rFonts w:cs="GHEA Grapalat"/>
        </w:rPr>
      </w:pPr>
      <w:r w:rsidRPr="007E03FB">
        <w:rPr>
          <w:rFonts w:cs="GHEA Grapalat"/>
        </w:rPr>
        <w:t>Եվրամիության կողմից բյուջետային աջակցության ծրագիր՝ Հայաստանում պետական ֆինանսների քաղաքականության բարեփոխումներ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929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5 մլն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 xml:space="preserve"> դրամ,</w:t>
      </w:r>
    </w:p>
    <w:p w14:paraId="2608EA3A" w14:textId="1806BF02" w:rsidR="00566EB4" w:rsidRPr="007E03FB" w:rsidRDefault="00566EB4" w:rsidP="00566E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Նպատակային դրամաշնորհներ՝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882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6 մլն</w:t>
      </w:r>
      <w:r w:rsidR="00BF462B">
        <w:rPr>
          <w:rFonts w:cs="GHEA Grapalat"/>
        </w:rPr>
        <w:t xml:space="preserve">. </w:t>
      </w:r>
      <w:r w:rsidRPr="007E03FB">
        <w:rPr>
          <w:rFonts w:cs="GHEA Grapalat"/>
        </w:rPr>
        <w:t>դրամ</w:t>
      </w:r>
    </w:p>
    <w:p w14:paraId="3F0E89EA" w14:textId="77777777" w:rsidR="00566EB4" w:rsidRPr="007E03FB" w:rsidRDefault="00566EB4" w:rsidP="00566EB4">
      <w:pPr>
        <w:pStyle w:val="ListParagraph"/>
        <w:autoSpaceDE w:val="0"/>
        <w:autoSpaceDN w:val="0"/>
        <w:adjustRightInd w:val="0"/>
        <w:ind w:left="0"/>
        <w:rPr>
          <w:rFonts w:cs="GHEA Grapalat"/>
        </w:rPr>
      </w:pPr>
      <w:r w:rsidRPr="007E03FB">
        <w:rPr>
          <w:rFonts w:cs="GHEA Grapalat"/>
        </w:rPr>
        <w:t>այդ թվում՝</w:t>
      </w:r>
    </w:p>
    <w:p w14:paraId="2BCD9D7E" w14:textId="55DA7E1A" w:rsidR="00566EB4" w:rsidRPr="007E03FB" w:rsidRDefault="00566EB4" w:rsidP="00566EB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Եվրոպական միության հարևանության ներդրումային բանկից</w:t>
      </w:r>
      <w:r w:rsidRPr="007E03FB">
        <w:rPr>
          <w:rFonts w:cs="GHEA Grapalat"/>
        </w:rPr>
        <w:tab/>
        <w:t>322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4</w:t>
      </w:r>
      <w:r w:rsidR="00362796">
        <w:rPr>
          <w:rFonts w:cs="GHEA Grapalat"/>
        </w:rPr>
        <w:t xml:space="preserve"> </w:t>
      </w:r>
      <w:r w:rsidRPr="007E03FB">
        <w:rPr>
          <w:rFonts w:cs="GHEA Grapalat"/>
        </w:rPr>
        <w:t>մլն</w:t>
      </w:r>
      <w:r w:rsidRPr="007E03FB">
        <w:rPr>
          <w:rFonts w:ascii="Cambria Math" w:hAnsi="Cambria Math" w:cs="Cambria Math"/>
        </w:rPr>
        <w:t>․</w:t>
      </w:r>
      <w:r w:rsidR="00BF462B">
        <w:rPr>
          <w:rFonts w:ascii="Cambria Math" w:hAnsi="Cambria Math" w:cs="Cambria Math"/>
        </w:rPr>
        <w:t xml:space="preserve"> </w:t>
      </w:r>
      <w:r w:rsidRPr="007E03FB">
        <w:rPr>
          <w:rFonts w:cs="GHEA Grapalat"/>
        </w:rPr>
        <w:t>դրամ</w:t>
      </w:r>
    </w:p>
    <w:p w14:paraId="0A1FA931" w14:textId="3A248523" w:rsidR="00566EB4" w:rsidRPr="007E03FB" w:rsidRDefault="00566EB4" w:rsidP="00566EB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Վերակառուցման և զարգացման եվրոպական բանկից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280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6 մլն</w:t>
      </w:r>
      <w:r w:rsidRPr="007E03FB">
        <w:rPr>
          <w:rFonts w:ascii="Cambria Math" w:hAnsi="Cambria Math" w:cs="Cambria Math"/>
        </w:rPr>
        <w:t>․</w:t>
      </w:r>
      <w:r w:rsidR="00BF462B">
        <w:rPr>
          <w:rFonts w:ascii="Cambria Math" w:hAnsi="Cambria Math" w:cs="Cambria Math"/>
        </w:rPr>
        <w:t xml:space="preserve"> </w:t>
      </w:r>
      <w:r w:rsidRPr="007E03FB">
        <w:rPr>
          <w:rFonts w:cs="GHEA Grapalat"/>
        </w:rPr>
        <w:t>դրամ</w:t>
      </w:r>
    </w:p>
    <w:p w14:paraId="7BAA7C09" w14:textId="26145374" w:rsidR="00566EB4" w:rsidRPr="007E03FB" w:rsidRDefault="00566EB4" w:rsidP="00566EB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Գլոբալ հիմնադրամ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156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5 մլն</w:t>
      </w:r>
      <w:r w:rsidRPr="007E03FB">
        <w:rPr>
          <w:rFonts w:ascii="Cambria Math" w:hAnsi="Cambria Math" w:cs="Cambria Math"/>
        </w:rPr>
        <w:t>․</w:t>
      </w:r>
      <w:r w:rsidR="00BF462B">
        <w:rPr>
          <w:rFonts w:ascii="Cambria Math" w:hAnsi="Cambria Math" w:cs="Cambria Math"/>
        </w:rPr>
        <w:t xml:space="preserve"> </w:t>
      </w:r>
      <w:r w:rsidRPr="007E03FB">
        <w:rPr>
          <w:rFonts w:cs="GHEA Grapalat"/>
        </w:rPr>
        <w:t>դրամ</w:t>
      </w:r>
    </w:p>
    <w:p w14:paraId="56657129" w14:textId="74D24468" w:rsidR="00566EB4" w:rsidRPr="007E03FB" w:rsidRDefault="00566EB4" w:rsidP="00566EB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Գերմանիայի զարգացման վարկերի բանկի (KFW)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83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9 մլն</w:t>
      </w:r>
      <w:r w:rsidRPr="007E03FB">
        <w:rPr>
          <w:rFonts w:ascii="Cambria Math" w:hAnsi="Cambria Math" w:cs="Cambria Math"/>
        </w:rPr>
        <w:t>․</w:t>
      </w:r>
      <w:r w:rsidR="00BF462B">
        <w:rPr>
          <w:rFonts w:ascii="Cambria Math" w:hAnsi="Cambria Math" w:cs="Cambria Math"/>
        </w:rPr>
        <w:t xml:space="preserve"> </w:t>
      </w:r>
      <w:r w:rsidRPr="007E03FB">
        <w:rPr>
          <w:rFonts w:cs="GHEA Grapalat"/>
        </w:rPr>
        <w:t>դրամ</w:t>
      </w:r>
    </w:p>
    <w:p w14:paraId="0CB31088" w14:textId="77777777" w:rsidR="00566EB4" w:rsidRPr="007E03FB" w:rsidRDefault="00566EB4" w:rsidP="00566EB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cs="GHEA Grapalat"/>
        </w:rPr>
      </w:pPr>
      <w:r w:rsidRPr="007E03FB">
        <w:rPr>
          <w:rFonts w:cs="GHEA Grapalat"/>
        </w:rPr>
        <w:t>ԱՄՆ-ի աջակցությամբ</w:t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</w:r>
      <w:r w:rsidRPr="007E03FB">
        <w:rPr>
          <w:rFonts w:cs="GHEA Grapalat"/>
        </w:rPr>
        <w:tab/>
        <w:t>39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>2 մլն</w:t>
      </w:r>
      <w:r w:rsidRPr="007E03FB">
        <w:rPr>
          <w:rFonts w:ascii="Cambria Math" w:hAnsi="Cambria Math" w:cs="Cambria Math"/>
        </w:rPr>
        <w:t>․</w:t>
      </w:r>
      <w:r w:rsidRPr="007E03FB">
        <w:rPr>
          <w:rFonts w:cs="GHEA Grapalat"/>
        </w:rPr>
        <w:t xml:space="preserve"> դրամ</w:t>
      </w:r>
    </w:p>
    <w:p w14:paraId="4C8DF4B1" w14:textId="77777777" w:rsidR="00566EB4" w:rsidRPr="007E03FB" w:rsidRDefault="00566EB4" w:rsidP="00566EB4">
      <w:pPr>
        <w:pStyle w:val="ListParagraph"/>
        <w:autoSpaceDE w:val="0"/>
        <w:autoSpaceDN w:val="0"/>
        <w:adjustRightInd w:val="0"/>
        <w:ind w:left="810"/>
        <w:rPr>
          <w:rFonts w:cs="GHEA Grapalat"/>
        </w:rPr>
      </w:pPr>
    </w:p>
    <w:p w14:paraId="7CF1087B" w14:textId="77777777" w:rsidR="00566EB4" w:rsidRDefault="00566EB4" w:rsidP="00566EB4">
      <w:pPr>
        <w:autoSpaceDE w:val="0"/>
        <w:autoSpaceDN w:val="0"/>
        <w:adjustRightInd w:val="0"/>
        <w:ind w:firstLine="567"/>
        <w:rPr>
          <w:rFonts w:cs="GHEA Grapalat"/>
        </w:rPr>
      </w:pPr>
      <w:r w:rsidRPr="007E03FB">
        <w:rPr>
          <w:rFonts w:cs="GHEA Grapalat"/>
        </w:rPr>
        <w:t>Դրամաշնորհների կատարողականը պայմանավորված է նպատակային ծրագրերի կատարողականով, որոնց շրջանակներում ստացվել է 882.6 մլն դրամ կամ նախատեսված ցուցանիշի 16.2%-ը:</w:t>
      </w:r>
    </w:p>
    <w:p w14:paraId="53505455" w14:textId="45DF6340" w:rsidR="0052331E" w:rsidRPr="007E03FB" w:rsidRDefault="00562E6F" w:rsidP="00566EB4">
      <w:r>
        <w:tab/>
      </w:r>
      <w:r w:rsidR="0052331E" w:rsidRPr="007E03FB">
        <w:t>Շուրջ 11 ծրագրերի մասով նախատեսված 3.4</w:t>
      </w:r>
      <w:r w:rsidR="0052331E" w:rsidRPr="007E03FB">
        <w:rPr>
          <w:rFonts w:ascii="Calibri" w:hAnsi="Calibri" w:cs="Calibri"/>
        </w:rPr>
        <w:t> </w:t>
      </w:r>
      <w:r w:rsidR="0052331E" w:rsidRPr="007E03FB">
        <w:t>մլրդ դրամ դրամաշնորհները չեն ստացվել, իսկ 5 ծրագրերի շրջանակներում նախատեսված միջոցները ստացվել են ոչ ամբողջությամբ՝ 30%-ով, որը կազմել է 543.9 մլ դրամ, իսկ 2 ծրագրերի շրջանակներում ստացվել են ծրագրվածից ավելի դրամաշնորհներ, որոնք կազմել են 338.7 մլն դրամ և 58.6%-ով կամ 125.2 մլն դրամով գերազանցել եռամսյակային ծրագիրը։</w:t>
      </w:r>
    </w:p>
    <w:p w14:paraId="4BC0261B" w14:textId="3723C469" w:rsidR="0052331E" w:rsidRPr="007E03FB" w:rsidRDefault="00562E6F" w:rsidP="00C60AA9">
      <w:r>
        <w:lastRenderedPageBreak/>
        <w:tab/>
      </w:r>
      <w:r w:rsidR="0052331E" w:rsidRPr="007E03FB">
        <w:t>2020 թվականի առաջին եռամսյակի ընթացքում ստացված նպատակային դրամաշնորհներից 322.4</w:t>
      </w:r>
      <w:r w:rsidR="0052331E" w:rsidRPr="007E03FB">
        <w:rPr>
          <w:rFonts w:ascii="Calibri" w:hAnsi="Calibri" w:cs="Calibri"/>
        </w:rPr>
        <w:t> </w:t>
      </w:r>
      <w:r w:rsidR="0052331E" w:rsidRPr="007E03FB">
        <w:t>մլն դրամ (նախատեսվածի 92.1%-ը) տրամադրվել է Եվրոպական միության հարևանության ներդրումային բանկի, 280.6 մլն դրամ (նախատեսվածի 19.8%-ը)` Վերակառուցման և զարգացման եվրոպական բանկի, 156.5 մլն դրամ (նախատեսվածի 50%-ը)` Գլոբալ հիմնադրամի, 83.9 մլն դրամ (նախատեսվածի 12.7%-ը)՝ Գերմանիայի զարգացման վարկերի բանկի (KFW), 39.2 մլն դրամ (նախատեսվածի 41.%-ը)՝ ԱՄՆ-ի աջակցությամբ իրականացվող դրամաշնորհային ծրագրերի շրջանակներում:</w:t>
      </w:r>
    </w:p>
    <w:p w14:paraId="2582C2DC" w14:textId="7232B633" w:rsidR="0052331E" w:rsidRPr="007E03FB" w:rsidRDefault="00562E6F" w:rsidP="00C60AA9">
      <w:r>
        <w:tab/>
      </w:r>
      <w:r w:rsidR="0052331E" w:rsidRPr="007E03FB">
        <w:t>2020 թվականի առաջին եռամսյակի ընթացքում պետական բյուջե մուտքագրված պաշտոնական դրամաշնորհները 64.6%-ով կամ 3.3 մլրդ դրամով զիջել են նախորդ տարվա նույն ժամանակահատվածի ցուցանիշը:</w:t>
      </w:r>
    </w:p>
    <w:p w14:paraId="247A3EBA" w14:textId="37E18C53" w:rsidR="0052331E" w:rsidRDefault="0052331E" w:rsidP="00C60AA9"/>
    <w:p w14:paraId="62D12A43" w14:textId="77777777" w:rsidR="00C115D1" w:rsidRPr="007E03FB" w:rsidRDefault="00C115D1" w:rsidP="00C60AA9"/>
    <w:p w14:paraId="00C52005" w14:textId="2EDC6F11" w:rsidR="0052331E" w:rsidRPr="007E03FB" w:rsidRDefault="0052331E" w:rsidP="00800342">
      <w:pPr>
        <w:pStyle w:val="Heading3"/>
        <w:numPr>
          <w:ilvl w:val="0"/>
          <w:numId w:val="15"/>
        </w:numPr>
      </w:pPr>
      <w:bookmarkStart w:id="5" w:name="_Toc47020595"/>
      <w:r w:rsidRPr="007E03FB">
        <w:t>ԱՅԼ ԵԿԱՄՈՒՏՆԵՐԻ ՎԵՐԱԲԵՐՅԱԼ</w:t>
      </w:r>
      <w:bookmarkEnd w:id="5"/>
    </w:p>
    <w:p w14:paraId="256A0701" w14:textId="77777777" w:rsidR="0052331E" w:rsidRPr="007E03FB" w:rsidRDefault="0052331E" w:rsidP="00C60AA9"/>
    <w:p w14:paraId="6F9B8B20" w14:textId="1E84BC5D" w:rsidR="0052331E" w:rsidRPr="003C5850" w:rsidRDefault="00562E6F" w:rsidP="00C60AA9">
      <w:r>
        <w:tab/>
      </w:r>
      <w:r w:rsidR="0052331E" w:rsidRPr="003C5850">
        <w:t>ՀՀ պետական բյուջեի այլ եկամուտները 2020 թվականի առաջին եռամսյակում կազմել են 19.4 մլրդ դրամ՝ 33.9%-ով գերազանցելով առաջին եռամսյակում ծրագրված և 29.4%-ով՝ նախորդ տարվա նույն ժամանակահատվածի ցուցանիշը: Մասնավորապես այլ եկամուտներից՝</w:t>
      </w:r>
    </w:p>
    <w:p w14:paraId="3D354732" w14:textId="653AFCBF" w:rsidR="0052331E" w:rsidRPr="003C5850" w:rsidRDefault="00562E6F" w:rsidP="00C60AA9">
      <w:r>
        <w:tab/>
      </w:r>
      <w:r w:rsidR="0052331E" w:rsidRPr="003C5850">
        <w:t>5.5 մլրդ դրամը ստացվել է ապրանքների մատակարարումից և ծառայությունների մատուցումից` 21.9%</w:t>
      </w:r>
      <w:r w:rsidR="0052331E" w:rsidRPr="003C5850">
        <w:noBreakHyphen/>
        <w:t>ով գերազանցելով եռամսյակային ծրագրային ցուցանիշը, իսկ նախորդ տարվա նույն ժամանակահատվածի համեմատ նշված եկամուտները նվազել են 6.4%-ով,</w:t>
      </w:r>
    </w:p>
    <w:p w14:paraId="3FF90F13" w14:textId="22FF17BC" w:rsidR="0052331E" w:rsidRPr="003C5850" w:rsidRDefault="00562E6F" w:rsidP="00C60AA9">
      <w:r>
        <w:tab/>
      </w:r>
      <w:r w:rsidR="0052331E" w:rsidRPr="003C5850">
        <w:t>4</w:t>
      </w:r>
      <w:r w:rsidR="0052331E" w:rsidRPr="003C5850">
        <w:rPr>
          <w:rFonts w:ascii="Cambria Math" w:hAnsi="Cambria Math" w:cs="Cambria Math"/>
        </w:rPr>
        <w:t>․</w:t>
      </w:r>
      <w:r w:rsidR="0052331E" w:rsidRPr="003C5850">
        <w:t>0 մլրդ դրամը կազմել է հաշվետու ժամանակահատվածում բանկերում և այլ ֆինանսավարկային հաստատություններում բյուջեի ժամանակավոր ազատ միջոցների օգտագործումից ստացված տոկոսավճարները՝ 25.1%-ով գերազանցելով առաջին եռամսյակում ծրագրված մուտքերը և 81.9%-ով՝ նախորդ տարվա նույն ժամանակահատվածի ցուցանիշը,</w:t>
      </w:r>
    </w:p>
    <w:p w14:paraId="50C4116F" w14:textId="2F3E53CD" w:rsidR="0052331E" w:rsidRPr="003C5850" w:rsidRDefault="00562E6F" w:rsidP="00C60AA9">
      <w:r>
        <w:tab/>
      </w:r>
      <w:r w:rsidR="0052331E" w:rsidRPr="003C5850">
        <w:t>3.8 մլրդ դրամը կազմել է պետության կողմից տրված վարկերի օգտագործման դիմաց հաշվետու ժամանակահատվածում ստացված տոկոսավճարները, որոնք 62.5%-ով գերազանցել են առաջին եռամսյակում ծրագրված մուտքերը և 2 անգամ՝ նախորդ տարվա նույն ժամանակահատվածի ցուցանիշը,</w:t>
      </w:r>
    </w:p>
    <w:p w14:paraId="1AF24C69" w14:textId="5C5D963C" w:rsidR="00937C97" w:rsidRPr="003949BD" w:rsidRDefault="00562E6F" w:rsidP="003949BD">
      <w:pPr>
        <w:rPr>
          <w:rFonts w:cs="Sylfaen"/>
          <w:noProof/>
        </w:rPr>
      </w:pPr>
      <w:r>
        <w:lastRenderedPageBreak/>
        <w:tab/>
      </w:r>
      <w:r w:rsidR="0052331E" w:rsidRPr="003C5850">
        <w:t>3.7 մլրդ դրամը կազմել է 2020 թվականի առաջին եռամսյակի ընթացքում իրավախախտումների համար գործադիր, դատական մարմինների կողմից կիրառվող պատժամիջոցներից մուտքերը՝ 25.4%-ով գերազանցելով առաջին եռամսյակում ծրագրված մուտքերը և 27.8%-ով՝ նախորդ տարվա նույն ժամանակահատվածի ցուցանիշը</w:t>
      </w:r>
      <w:r w:rsidR="0052331E" w:rsidRPr="003C5850">
        <w:rPr>
          <w:rFonts w:cs="Sylfaen"/>
          <w:noProof/>
        </w:rPr>
        <w:t>։</w:t>
      </w:r>
    </w:p>
    <w:p w14:paraId="6EFB7A03" w14:textId="77777777" w:rsidR="00937C97" w:rsidRDefault="00937C97" w:rsidP="00804104">
      <w:pPr>
        <w:pStyle w:val="ListParagraph"/>
        <w:spacing w:after="120" w:line="312" w:lineRule="auto"/>
        <w:ind w:left="0"/>
        <w:contextualSpacing w:val="0"/>
        <w:rPr>
          <w:rFonts w:cs="Arial"/>
          <w:b/>
          <w:i/>
          <w:color w:val="002060"/>
        </w:rPr>
      </w:pPr>
    </w:p>
    <w:p w14:paraId="3A7E0F29" w14:textId="5C6A2432" w:rsidR="00804104" w:rsidRDefault="0077678F" w:rsidP="00804104">
      <w:pPr>
        <w:pStyle w:val="ListParagraph"/>
        <w:spacing w:after="120" w:line="312" w:lineRule="auto"/>
        <w:ind w:left="0"/>
        <w:contextualSpacing w:val="0"/>
        <w:rPr>
          <w:rFonts w:cs="Arial"/>
          <w:b/>
          <w:i/>
          <w:color w:val="002060"/>
        </w:rPr>
      </w:pPr>
      <w:r w:rsidRPr="00555A85">
        <w:rPr>
          <w:rFonts w:cs="Arial"/>
          <w:b/>
          <w:i/>
          <w:color w:val="002060"/>
        </w:rPr>
        <w:t>Հաշվեքննության օբյեկտի</w:t>
      </w:r>
      <w:r w:rsidRPr="003311DB">
        <w:rPr>
          <w:rFonts w:cs="Arial"/>
          <w:b/>
          <w:i/>
          <w:color w:val="002060"/>
        </w:rPr>
        <w:t xml:space="preserve"> արձագանք</w:t>
      </w:r>
    </w:p>
    <w:p w14:paraId="4C93CD4C" w14:textId="11185899" w:rsidR="0077678F" w:rsidRPr="00804104" w:rsidRDefault="00804104" w:rsidP="00804104">
      <w:pPr>
        <w:pStyle w:val="ListParagraph"/>
        <w:spacing w:after="120" w:line="312" w:lineRule="auto"/>
        <w:ind w:left="0"/>
        <w:contextualSpacing w:val="0"/>
        <w:rPr>
          <w:rFonts w:cs="Arial"/>
          <w:b/>
          <w:i/>
          <w:color w:val="002060"/>
        </w:rPr>
      </w:pPr>
      <w:r>
        <w:rPr>
          <w:rFonts w:cs="Arial"/>
          <w:b/>
          <w:i/>
          <w:color w:val="002060"/>
        </w:rPr>
        <w:tab/>
      </w:r>
      <w:r w:rsidR="00A07E03" w:rsidRPr="00A07E03">
        <w:rPr>
          <w:rFonts w:cs="Sylfaen"/>
        </w:rPr>
        <w:t>Արձանագրության «1. Հարկային եկամուտների վերաբերյալ» բաժնի այլ հարկերի վերլուծության մեջ ընդրկված հարկային օրենսդրության խախտման համար սահմանված 594.2 մլն դրամ տուգանքները պետք է լինեն 794.9 մլն դրամ</w:t>
      </w:r>
      <w:r w:rsidR="0077678F" w:rsidRPr="00C01D7E">
        <w:rPr>
          <w:color w:val="000000"/>
        </w:rPr>
        <w:t>:</w:t>
      </w:r>
    </w:p>
    <w:p w14:paraId="5D37C761" w14:textId="77777777" w:rsidR="0077678F" w:rsidRPr="002737D1" w:rsidRDefault="0077678F" w:rsidP="0077678F">
      <w:pPr>
        <w:rPr>
          <w:rFonts w:cs="Sylfaen"/>
        </w:rPr>
      </w:pPr>
    </w:p>
    <w:p w14:paraId="3FE8CE39" w14:textId="77777777" w:rsidR="0077678F" w:rsidRPr="007B45B6" w:rsidRDefault="0077678F" w:rsidP="0077678F">
      <w:pPr>
        <w:pStyle w:val="ListParagraph"/>
        <w:spacing w:before="360" w:after="120" w:line="312" w:lineRule="auto"/>
        <w:ind w:left="0"/>
        <w:contextualSpacing w:val="0"/>
        <w:rPr>
          <w:rFonts w:cs="Arial"/>
          <w:b/>
          <w:i/>
          <w:color w:val="002060"/>
        </w:rPr>
      </w:pPr>
      <w:r w:rsidRPr="007B45B6">
        <w:rPr>
          <w:rFonts w:cs="Arial"/>
          <w:b/>
          <w:i/>
          <w:color w:val="002060"/>
        </w:rPr>
        <w:t>Հաշվեքննիչ պալատի մեկնաբանություն</w:t>
      </w:r>
    </w:p>
    <w:p w14:paraId="64C029DB" w14:textId="3F02D53F" w:rsidR="00A35B9E" w:rsidRDefault="0077678F" w:rsidP="0077678F">
      <w:pPr>
        <w:rPr>
          <w:rFonts w:cs="Sylfaen"/>
        </w:rPr>
      </w:pPr>
      <w:r>
        <w:rPr>
          <w:rFonts w:cs="Sylfaen"/>
        </w:rPr>
        <w:tab/>
      </w:r>
      <w:r w:rsidR="00651E34">
        <w:rPr>
          <w:rFonts w:cs="Sylfaen"/>
        </w:rPr>
        <w:t>Հ</w:t>
      </w:r>
      <w:r w:rsidR="00651E34" w:rsidRPr="00A07E03">
        <w:rPr>
          <w:rFonts w:cs="Sylfaen"/>
        </w:rPr>
        <w:t>արկային օրենսդրության խախտման համար սահմանված տուգանքներ</w:t>
      </w:r>
      <w:r w:rsidR="00651E34">
        <w:rPr>
          <w:rFonts w:cs="Sylfaen"/>
        </w:rPr>
        <w:t xml:space="preserve">ի </w:t>
      </w:r>
      <w:r w:rsidR="003A0BF3">
        <w:rPr>
          <w:rFonts w:cs="Sylfaen"/>
        </w:rPr>
        <w:t>տվյալներ</w:t>
      </w:r>
      <w:r w:rsidR="008F721C">
        <w:rPr>
          <w:rFonts w:cs="Sylfaen"/>
        </w:rPr>
        <w:t xml:space="preserve">ի համար </w:t>
      </w:r>
      <w:r w:rsidR="00D876E1">
        <w:rPr>
          <w:rFonts w:cs="Sylfaen"/>
        </w:rPr>
        <w:t>աղբյուր է հանդիսացել</w:t>
      </w:r>
      <w:r w:rsidR="00651E34">
        <w:rPr>
          <w:rFonts w:cs="Sylfaen"/>
        </w:rPr>
        <w:t xml:space="preserve"> ֆինանսների նախարարության պաշտոնական կայքում հրապարակված </w:t>
      </w:r>
      <w:hyperlink r:id="rId9" w:history="1">
        <w:r w:rsidR="00E57F2B" w:rsidRPr="00C56D23">
          <w:rPr>
            <w:rStyle w:val="Hyperlink"/>
            <w:rFonts w:cs="Sylfaen"/>
          </w:rPr>
          <w:t>«</w:t>
        </w:r>
        <w:r w:rsidR="00F41968" w:rsidRPr="00C56D23">
          <w:rPr>
            <w:rStyle w:val="Hyperlink"/>
            <w:rFonts w:cs="Sylfaen"/>
          </w:rPr>
          <w:t>Պետական բյուջեի կատարման վերաբերյալ ամսական տեղեկատվություն</w:t>
        </w:r>
        <w:r w:rsidR="002C43A2" w:rsidRPr="00C56D23">
          <w:rPr>
            <w:rStyle w:val="Hyperlink"/>
            <w:rFonts w:cs="Sylfaen"/>
          </w:rPr>
          <w:t>ը</w:t>
        </w:r>
        <w:r w:rsidR="00250539" w:rsidRPr="00C56D23">
          <w:rPr>
            <w:rStyle w:val="Hyperlink"/>
            <w:rFonts w:cs="Sylfaen"/>
          </w:rPr>
          <w:t>»</w:t>
        </w:r>
      </w:hyperlink>
      <w:r w:rsidR="00781EA7">
        <w:rPr>
          <w:rFonts w:cs="Sylfaen"/>
        </w:rPr>
        <w:t>։</w:t>
      </w:r>
    </w:p>
    <w:p w14:paraId="31EB5CAF" w14:textId="4F46DB59" w:rsidR="0052331E" w:rsidRPr="00EA008C" w:rsidRDefault="00EA008C" w:rsidP="00C60AA9">
      <w:pPr>
        <w:rPr>
          <w:rFonts w:cs="Sylfaen"/>
        </w:rPr>
      </w:pPr>
      <w:r>
        <w:rPr>
          <w:rFonts w:cs="Sylfaen"/>
        </w:rPr>
        <w:tab/>
      </w:r>
      <w:r w:rsidR="009D4685">
        <w:rPr>
          <w:rFonts w:cs="Sylfaen"/>
        </w:rPr>
        <w:t>Ա</w:t>
      </w:r>
      <w:r w:rsidR="00791D9E">
        <w:rPr>
          <w:rFonts w:cs="Sylfaen"/>
        </w:rPr>
        <w:t xml:space="preserve">ռաջարկում ենք </w:t>
      </w:r>
      <w:r w:rsidR="00462566">
        <w:rPr>
          <w:rFonts w:cs="Sylfaen"/>
        </w:rPr>
        <w:t>ուղղել</w:t>
      </w:r>
      <w:r w:rsidR="00AB4724">
        <w:rPr>
          <w:rFonts w:cs="Sylfaen"/>
        </w:rPr>
        <w:t xml:space="preserve"> նախարարության պաշտոնական կայքում հրապարակված </w:t>
      </w:r>
      <w:r w:rsidR="00462566">
        <w:rPr>
          <w:rFonts w:cs="Sylfaen"/>
        </w:rPr>
        <w:t>տ</w:t>
      </w:r>
      <w:r w:rsidR="00791D9E">
        <w:rPr>
          <w:rFonts w:cs="Sylfaen"/>
        </w:rPr>
        <w:t>եղեկատվությունը</w:t>
      </w:r>
      <w:r w:rsidR="008D60FE">
        <w:rPr>
          <w:rFonts w:cs="Sylfaen"/>
        </w:rPr>
        <w:t>։</w:t>
      </w:r>
    </w:p>
    <w:p w14:paraId="17238303" w14:textId="77777777" w:rsidR="0077678F" w:rsidRPr="007E03FB" w:rsidRDefault="0077678F" w:rsidP="00C60AA9">
      <w:pPr>
        <w:rPr>
          <w:noProof/>
        </w:rPr>
      </w:pPr>
    </w:p>
    <w:p w14:paraId="073C26EE" w14:textId="057AA74B" w:rsidR="003949BD" w:rsidRPr="003949BD" w:rsidRDefault="00F77B07">
      <w:pPr>
        <w:spacing w:line="259" w:lineRule="auto"/>
        <w:jc w:val="left"/>
      </w:pPr>
      <w:r>
        <w:br w:type="page"/>
      </w:r>
    </w:p>
    <w:p w14:paraId="2D4F815D" w14:textId="071B9290" w:rsidR="0052331E" w:rsidRPr="00221E48" w:rsidRDefault="0052331E" w:rsidP="00593C68">
      <w:pPr>
        <w:pStyle w:val="VP1"/>
        <w:rPr>
          <w:lang w:val="hy-AM"/>
        </w:rPr>
      </w:pPr>
      <w:bookmarkStart w:id="6" w:name="_Toc47020596"/>
      <w:r w:rsidRPr="00221E48">
        <w:rPr>
          <w:lang w:val="hy-AM"/>
        </w:rPr>
        <w:lastRenderedPageBreak/>
        <w:t>ՖԻՆԱՆՍՆԵՐԻ ՆԱԽԱՐԱՐՈՒԹՅԱՆ ԿՈՂՄԻՑ ԻՐԱԿԱՆԱՑՎԱԾ ԾԱԽՍԵՐԻ ՎԵՐԱԲԵՐՅԱԼ</w:t>
      </w:r>
      <w:bookmarkEnd w:id="6"/>
    </w:p>
    <w:p w14:paraId="5E2293D1" w14:textId="77777777" w:rsidR="0052331E" w:rsidRPr="00593C68" w:rsidRDefault="0052331E" w:rsidP="00C60AA9">
      <w:pPr>
        <w:rPr>
          <w:b/>
        </w:rPr>
      </w:pPr>
    </w:p>
    <w:p w14:paraId="3863D4C3" w14:textId="29FF75A5" w:rsidR="00C97A27" w:rsidRPr="003949BD" w:rsidRDefault="00562E6F" w:rsidP="003949BD">
      <w:r>
        <w:tab/>
      </w:r>
      <w:r w:rsidR="0052331E" w:rsidRPr="007E03FB">
        <w:t>ՀՀ 2020 թվականի պետական բյուջեի մասին օրենքով ֆինանսների նախարարության կողմից իրականացվող ծախսերի տարեկան պլանը սահմանվել է 234.2 մլրդ դրամ, տարեկան ճշտված պլանը՝ 228.5 մլրդ դրամ։ 2020 թվականի առաջին եռամսյակի տարեկան պլանը կազմում է 53.57 մլրդ դրամ, ճշտված պլանը՝ 53.58 մլրդ դրամ, իսկ ֆինանսավորումը կազմել է 52.2 մլրդ դրամ։ Ֆինանսների նախարարության կողմից իրականացված փաստացի ծախսը կազմել է 52.26 մլրդ դրամ, իսկ դրամարկղային ծախսը՝ 52.16 մլրդ դրամ։ Ստորև ներկայացված է 2019 և 2020 թվականների առաջին եռամսյակների ծախսերի կատարողականների համեմատականը.</w:t>
      </w:r>
    </w:p>
    <w:p w14:paraId="5C269838" w14:textId="77777777" w:rsidR="00C97A27" w:rsidRDefault="00C97A27" w:rsidP="00197555">
      <w:pPr>
        <w:spacing w:after="0"/>
        <w:jc w:val="right"/>
        <w:rPr>
          <w:sz w:val="20"/>
          <w:szCs w:val="20"/>
        </w:rPr>
      </w:pPr>
    </w:p>
    <w:p w14:paraId="4392A8CF" w14:textId="68E60A50" w:rsidR="00197555" w:rsidRDefault="0052331E" w:rsidP="00197555">
      <w:pPr>
        <w:spacing w:after="0"/>
        <w:jc w:val="right"/>
        <w:rPr>
          <w:sz w:val="20"/>
          <w:szCs w:val="20"/>
        </w:rPr>
      </w:pPr>
      <w:r w:rsidRPr="00197555">
        <w:rPr>
          <w:sz w:val="20"/>
          <w:szCs w:val="20"/>
        </w:rPr>
        <w:t>(Աղյուսակ 6)</w:t>
      </w:r>
    </w:p>
    <w:p w14:paraId="5914D9FB" w14:textId="68CE0B41" w:rsidR="0052331E" w:rsidRPr="00197555" w:rsidRDefault="0052331E" w:rsidP="00197555">
      <w:pPr>
        <w:spacing w:after="0"/>
        <w:jc w:val="right"/>
        <w:rPr>
          <w:sz w:val="20"/>
          <w:szCs w:val="20"/>
        </w:rPr>
      </w:pPr>
      <w:r w:rsidRPr="00197555">
        <w:rPr>
          <w:sz w:val="20"/>
          <w:szCs w:val="20"/>
        </w:rPr>
        <w:t>Հազ. դրամ</w:t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701"/>
        <w:gridCol w:w="1560"/>
        <w:gridCol w:w="1560"/>
      </w:tblGrid>
      <w:tr w:rsidR="0052331E" w:rsidRPr="00197555" w14:paraId="411101A8" w14:textId="77777777" w:rsidTr="001F32A9">
        <w:trPr>
          <w:trHeight w:val="11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D73" w14:textId="77777777" w:rsidR="0052331E" w:rsidRPr="00416F6B" w:rsidRDefault="0052331E" w:rsidP="001975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6F6B">
              <w:rPr>
                <w:b/>
                <w:bCs/>
                <w:sz w:val="20"/>
                <w:szCs w:val="20"/>
                <w:lang w:eastAsia="ru-RU"/>
              </w:rPr>
              <w:t>Ժամանակաշրջան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165" w14:textId="77777777" w:rsidR="0052331E" w:rsidRPr="00416F6B" w:rsidRDefault="0052331E" w:rsidP="001975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6F6B">
              <w:rPr>
                <w:b/>
                <w:bCs/>
                <w:sz w:val="20"/>
                <w:szCs w:val="20"/>
                <w:lang w:eastAsia="ru-RU"/>
              </w:rPr>
              <w:t>Ա</w:t>
            </w:r>
            <w:r w:rsidRPr="00416F6B">
              <w:rPr>
                <w:b/>
                <w:bCs/>
                <w:sz w:val="20"/>
                <w:szCs w:val="20"/>
                <w:lang w:val="ru-RU" w:eastAsia="ru-RU"/>
              </w:rPr>
              <w:t>ռաջին եռամսյակի ճշտված պլան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781" w14:textId="77777777" w:rsidR="0052331E" w:rsidRPr="00416F6B" w:rsidRDefault="0052331E" w:rsidP="001975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6F6B">
              <w:rPr>
                <w:b/>
                <w:bCs/>
                <w:sz w:val="20"/>
                <w:szCs w:val="20"/>
                <w:lang w:eastAsia="ru-RU"/>
              </w:rPr>
              <w:t>Ֆի</w:t>
            </w:r>
            <w:r w:rsidRPr="00416F6B">
              <w:rPr>
                <w:b/>
                <w:bCs/>
                <w:sz w:val="20"/>
                <w:szCs w:val="20"/>
                <w:lang w:val="ru-RU" w:eastAsia="ru-RU"/>
              </w:rPr>
              <w:t>նանսավորում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B92" w14:textId="77777777" w:rsidR="0052331E" w:rsidRPr="00416F6B" w:rsidRDefault="0052331E" w:rsidP="001F32A9">
            <w:pPr>
              <w:ind w:left="-107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16F6B">
              <w:rPr>
                <w:b/>
                <w:bCs/>
                <w:sz w:val="20"/>
                <w:szCs w:val="20"/>
                <w:lang w:eastAsia="ru-RU"/>
              </w:rPr>
              <w:t>Դրամարկղային ծախս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C5AE" w14:textId="6FD14A41" w:rsidR="0052331E" w:rsidRPr="00416F6B" w:rsidRDefault="0052331E" w:rsidP="001975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6F6B">
              <w:rPr>
                <w:b/>
                <w:bCs/>
                <w:sz w:val="20"/>
                <w:szCs w:val="20"/>
                <w:lang w:val="ru-RU" w:eastAsia="ru-RU"/>
              </w:rPr>
              <w:t>Փաստացի ծախս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5A7" w14:textId="4B1A7FD2" w:rsidR="0052331E" w:rsidRPr="00416F6B" w:rsidRDefault="0052331E" w:rsidP="001975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16F6B">
              <w:rPr>
                <w:b/>
                <w:bCs/>
                <w:sz w:val="20"/>
                <w:szCs w:val="20"/>
                <w:lang w:val="ru-RU" w:eastAsia="ru-RU"/>
              </w:rPr>
              <w:t xml:space="preserve">Կատարման %-ը </w:t>
            </w:r>
            <w:r w:rsidRPr="00416F6B">
              <w:rPr>
                <w:b/>
                <w:bCs/>
                <w:sz w:val="20"/>
                <w:szCs w:val="20"/>
                <w:lang w:val="ru-RU" w:eastAsia="ru-RU"/>
              </w:rPr>
              <w:br/>
              <w:t>6=4/2 x100%</w:t>
            </w:r>
          </w:p>
        </w:tc>
      </w:tr>
      <w:tr w:rsidR="0052331E" w:rsidRPr="00197555" w14:paraId="01010E31" w14:textId="77777777" w:rsidTr="001F32A9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9A4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9BB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38C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692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3A2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A77" w14:textId="77777777" w:rsidR="0052331E" w:rsidRPr="002B503E" w:rsidRDefault="0052331E" w:rsidP="001C03CD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B503E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52331E" w:rsidRPr="00197555" w14:paraId="0AE58482" w14:textId="77777777" w:rsidTr="001F32A9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A21CE" w14:textId="77777777" w:rsidR="0052331E" w:rsidRPr="00197555" w:rsidRDefault="0052331E" w:rsidP="00C60AA9">
            <w:pPr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2019 1-ին եռ.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918F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53,776,981.2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095C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50,408,812.5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C798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49,187,192.2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DC67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49,291,500.3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0826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91.47%</w:t>
            </w:r>
          </w:p>
        </w:tc>
      </w:tr>
      <w:tr w:rsidR="0052331E" w:rsidRPr="00197555" w14:paraId="45B990A4" w14:textId="77777777" w:rsidTr="001F32A9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91584" w14:textId="77777777" w:rsidR="0052331E" w:rsidRPr="00197555" w:rsidRDefault="0052331E" w:rsidP="00C60AA9">
            <w:pPr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2020 1-ին եռ.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3BD3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53,582,543.3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E372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52,203,424.4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56D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52,163,788.2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FEB6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52,265,508.2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461C" w14:textId="77777777" w:rsidR="0052331E" w:rsidRPr="00197555" w:rsidRDefault="0052331E" w:rsidP="002B503E">
            <w:pPr>
              <w:jc w:val="right"/>
              <w:rPr>
                <w:sz w:val="20"/>
                <w:szCs w:val="20"/>
                <w:lang w:eastAsia="ru-RU"/>
              </w:rPr>
            </w:pPr>
            <w:r w:rsidRPr="00197555">
              <w:rPr>
                <w:sz w:val="20"/>
                <w:szCs w:val="20"/>
                <w:lang w:eastAsia="ru-RU"/>
              </w:rPr>
              <w:t>97.35%</w:t>
            </w:r>
          </w:p>
        </w:tc>
      </w:tr>
    </w:tbl>
    <w:p w14:paraId="7AEEAFB4" w14:textId="77777777" w:rsidR="0052331E" w:rsidRPr="00197555" w:rsidRDefault="0052331E" w:rsidP="00C60AA9">
      <w:pPr>
        <w:rPr>
          <w:sz w:val="20"/>
          <w:szCs w:val="20"/>
        </w:rPr>
      </w:pPr>
    </w:p>
    <w:p w14:paraId="31D77B36" w14:textId="77777777" w:rsidR="0052331E" w:rsidRPr="007E03FB" w:rsidRDefault="0052331E" w:rsidP="00C60AA9"/>
    <w:p w14:paraId="329E92F8" w14:textId="6A7CC9CD" w:rsidR="0052331E" w:rsidRPr="007E03FB" w:rsidRDefault="00684F2E" w:rsidP="00C60AA9">
      <w:pPr>
        <w:sectPr w:rsidR="0052331E" w:rsidRPr="007E03FB" w:rsidSect="005B24F2">
          <w:headerReference w:type="default" r:id="rId10"/>
          <w:pgSz w:w="12240" w:h="15840"/>
          <w:pgMar w:top="1843" w:right="900" w:bottom="851" w:left="1296" w:header="720" w:footer="720" w:gutter="0"/>
          <w:cols w:space="720"/>
          <w:titlePg/>
          <w:docGrid w:linePitch="360"/>
        </w:sectPr>
      </w:pPr>
      <w:r>
        <w:tab/>
      </w:r>
      <w:r w:rsidR="0052331E" w:rsidRPr="007E03FB">
        <w:t>ՀՀ 2020 թվականի պետական բյուջեից ֆինանսների նախարարության կողմից կատարվող ծախսերի տարեկան պլանը սահմանվել է 234,248,291.25 հազ.դրամ, տարեկան ճշտված պլանը՝ 228,503,495.51 հազ.դրամ, իսկ 2020թ. առաջին եռամսյակի ճշտված պլանը՝ 53,582,543.29 հազ.դրամ, ֆինանսավորումը՝ 52,203,424.4 հազ</w:t>
      </w:r>
      <w:r w:rsidR="0052331E" w:rsidRPr="007E03FB">
        <w:rPr>
          <w:rFonts w:cs="Cambria Math"/>
        </w:rPr>
        <w:t>.</w:t>
      </w:r>
      <w:r w:rsidR="0052331E" w:rsidRPr="007E03FB">
        <w:t xml:space="preserve"> դրամ, իսկ դրամարկղային ծախսը՝ 52,163,788.19 հազ</w:t>
      </w:r>
      <w:r w:rsidR="0052331E" w:rsidRPr="007E03FB">
        <w:rPr>
          <w:rFonts w:cs="Cambria Math"/>
        </w:rPr>
        <w:t>.</w:t>
      </w:r>
      <w:r w:rsidR="0052331E" w:rsidRPr="007E03FB">
        <w:t xml:space="preserve"> դրամ։ Կատարողականը կազմել է 97.35 տոկոս։</w:t>
      </w:r>
    </w:p>
    <w:p w14:paraId="7CA6F9CC" w14:textId="77777777" w:rsidR="003949BD" w:rsidRDefault="003949BD" w:rsidP="00C60AA9"/>
    <w:p w14:paraId="6132838E" w14:textId="77777777" w:rsidR="003949BD" w:rsidRDefault="003949BD" w:rsidP="00C60AA9"/>
    <w:p w14:paraId="176FC4D4" w14:textId="77777777" w:rsidR="003949BD" w:rsidRDefault="003949BD" w:rsidP="00C60AA9"/>
    <w:p w14:paraId="12A946A2" w14:textId="77777777" w:rsidR="003949BD" w:rsidRDefault="003949BD" w:rsidP="00C60AA9"/>
    <w:p w14:paraId="08791175" w14:textId="17041513" w:rsidR="0052331E" w:rsidRPr="007E03FB" w:rsidRDefault="0052331E" w:rsidP="00C60AA9">
      <w:r w:rsidRPr="007E03FB">
        <w:t>ՀՀ Ֆինանսների նախարարության 2020 թվականի առաջին եռամսյակի բյուջեի ծախսերի կատարողականը ըստ ծրագրերի հետևյալն է.</w:t>
      </w:r>
    </w:p>
    <w:p w14:paraId="279F756B" w14:textId="77777777" w:rsidR="0052331E" w:rsidRPr="00F26EBD" w:rsidRDefault="0052331E" w:rsidP="000E11E4">
      <w:pPr>
        <w:spacing w:after="0"/>
        <w:jc w:val="right"/>
        <w:rPr>
          <w:rFonts w:cs="Sylfaen"/>
          <w:sz w:val="20"/>
          <w:szCs w:val="20"/>
        </w:rPr>
      </w:pPr>
      <w:r w:rsidRPr="00F26EBD">
        <w:rPr>
          <w:sz w:val="20"/>
          <w:szCs w:val="20"/>
        </w:rPr>
        <w:t>(Աղյուսակ 7)</w:t>
      </w:r>
    </w:p>
    <w:p w14:paraId="2B686164" w14:textId="12B462E8" w:rsidR="0052331E" w:rsidRDefault="0052331E" w:rsidP="000E11E4">
      <w:pPr>
        <w:spacing w:after="0"/>
        <w:jc w:val="right"/>
        <w:rPr>
          <w:sz w:val="20"/>
          <w:szCs w:val="20"/>
        </w:rPr>
      </w:pPr>
      <w:r w:rsidRPr="00F26EBD">
        <w:rPr>
          <w:sz w:val="20"/>
          <w:szCs w:val="20"/>
        </w:rPr>
        <w:t>Հազ. դրամ</w:t>
      </w:r>
    </w:p>
    <w:p w14:paraId="2D431056" w14:textId="4D77E362" w:rsidR="003949BD" w:rsidRDefault="003949BD" w:rsidP="000E11E4">
      <w:pPr>
        <w:spacing w:after="0"/>
        <w:jc w:val="right"/>
        <w:rPr>
          <w:sz w:val="20"/>
          <w:szCs w:val="20"/>
        </w:rPr>
      </w:pPr>
    </w:p>
    <w:p w14:paraId="0B5B1713" w14:textId="77777777" w:rsidR="003949BD" w:rsidRPr="00F26EBD" w:rsidRDefault="003949BD" w:rsidP="000E11E4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9"/>
        <w:gridCol w:w="5738"/>
        <w:gridCol w:w="1680"/>
        <w:gridCol w:w="1680"/>
        <w:gridCol w:w="1680"/>
        <w:gridCol w:w="1680"/>
        <w:gridCol w:w="874"/>
      </w:tblGrid>
      <w:tr w:rsidR="00772766" w:rsidRPr="00F26EBD" w14:paraId="0FDEF5E6" w14:textId="77777777" w:rsidTr="00772766">
        <w:trPr>
          <w:trHeight w:val="1140"/>
        </w:trPr>
        <w:tc>
          <w:tcPr>
            <w:tcW w:w="1269" w:type="dxa"/>
            <w:noWrap/>
            <w:vAlign w:val="center"/>
            <w:hideMark/>
          </w:tcPr>
          <w:p w14:paraId="5E6CF2CC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Ծրագրի կոդ</w:t>
            </w:r>
          </w:p>
        </w:tc>
        <w:tc>
          <w:tcPr>
            <w:tcW w:w="5738" w:type="dxa"/>
            <w:noWrap/>
            <w:vAlign w:val="center"/>
            <w:hideMark/>
          </w:tcPr>
          <w:p w14:paraId="14AB622A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Ծրագիր, հոդված</w:t>
            </w:r>
          </w:p>
        </w:tc>
        <w:tc>
          <w:tcPr>
            <w:tcW w:w="1680" w:type="dxa"/>
            <w:vAlign w:val="center"/>
            <w:hideMark/>
          </w:tcPr>
          <w:p w14:paraId="0DE1A7DF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Հաշվետու ժամանակա-հատվածի ճշտված պլան</w:t>
            </w:r>
          </w:p>
        </w:tc>
        <w:tc>
          <w:tcPr>
            <w:tcW w:w="1680" w:type="dxa"/>
            <w:vAlign w:val="center"/>
            <w:hideMark/>
          </w:tcPr>
          <w:p w14:paraId="24F1DBD9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Ֆինանսա-վորում</w:t>
            </w:r>
          </w:p>
        </w:tc>
        <w:tc>
          <w:tcPr>
            <w:tcW w:w="1680" w:type="dxa"/>
            <w:vAlign w:val="center"/>
            <w:hideMark/>
          </w:tcPr>
          <w:p w14:paraId="6D8BD265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Դրամարկղային ծախս</w:t>
            </w:r>
          </w:p>
        </w:tc>
        <w:tc>
          <w:tcPr>
            <w:tcW w:w="1680" w:type="dxa"/>
            <w:vAlign w:val="center"/>
            <w:hideMark/>
          </w:tcPr>
          <w:p w14:paraId="2813603C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Փաստացի ծախս</w:t>
            </w:r>
          </w:p>
        </w:tc>
        <w:tc>
          <w:tcPr>
            <w:tcW w:w="874" w:type="dxa"/>
            <w:vAlign w:val="center"/>
            <w:hideMark/>
          </w:tcPr>
          <w:p w14:paraId="0A5F94DF" w14:textId="77777777" w:rsidR="0052331E" w:rsidRPr="00AE7D02" w:rsidRDefault="0052331E" w:rsidP="007727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Կատար ման %-ը</w:t>
            </w:r>
          </w:p>
        </w:tc>
      </w:tr>
      <w:tr w:rsidR="00772766" w:rsidRPr="00AE7D02" w14:paraId="7EC22AAC" w14:textId="77777777" w:rsidTr="00772766">
        <w:trPr>
          <w:trHeight w:val="401"/>
        </w:trPr>
        <w:tc>
          <w:tcPr>
            <w:tcW w:w="1269" w:type="dxa"/>
            <w:noWrap/>
            <w:hideMark/>
          </w:tcPr>
          <w:p w14:paraId="778C2595" w14:textId="77777777" w:rsidR="0052331E" w:rsidRPr="00060B13" w:rsidRDefault="0052331E" w:rsidP="00C60AA9">
            <w:pPr>
              <w:rPr>
                <w:rFonts w:cs="Sylfaen"/>
                <w:sz w:val="20"/>
                <w:szCs w:val="20"/>
              </w:rPr>
            </w:pPr>
            <w:r w:rsidRPr="00060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8" w:type="dxa"/>
            <w:noWrap/>
            <w:hideMark/>
          </w:tcPr>
          <w:p w14:paraId="568ACBB3" w14:textId="77777777" w:rsidR="0052331E" w:rsidRPr="00AE7D02" w:rsidRDefault="0052331E" w:rsidP="00C60AA9">
            <w:pPr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Ը Ն Դ Ա Մ Ե Ն Ը</w:t>
            </w:r>
          </w:p>
        </w:tc>
        <w:tc>
          <w:tcPr>
            <w:tcW w:w="1680" w:type="dxa"/>
            <w:noWrap/>
            <w:hideMark/>
          </w:tcPr>
          <w:p w14:paraId="25B5748F" w14:textId="77777777" w:rsidR="0052331E" w:rsidRPr="00AE7D02" w:rsidRDefault="0052331E" w:rsidP="00060B13">
            <w:pPr>
              <w:jc w:val="right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53,582,543.29</w:t>
            </w:r>
          </w:p>
        </w:tc>
        <w:tc>
          <w:tcPr>
            <w:tcW w:w="1680" w:type="dxa"/>
            <w:noWrap/>
            <w:hideMark/>
          </w:tcPr>
          <w:p w14:paraId="3D456652" w14:textId="77777777" w:rsidR="0052331E" w:rsidRPr="00AE7D02" w:rsidRDefault="0052331E" w:rsidP="00060B13">
            <w:pPr>
              <w:jc w:val="right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52,203,424.40</w:t>
            </w:r>
          </w:p>
        </w:tc>
        <w:tc>
          <w:tcPr>
            <w:tcW w:w="1680" w:type="dxa"/>
            <w:noWrap/>
            <w:hideMark/>
          </w:tcPr>
          <w:p w14:paraId="2A731F7F" w14:textId="77777777" w:rsidR="0052331E" w:rsidRPr="00AE7D02" w:rsidRDefault="0052331E" w:rsidP="00060B13">
            <w:pPr>
              <w:jc w:val="right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52,163,788.19</w:t>
            </w:r>
          </w:p>
        </w:tc>
        <w:tc>
          <w:tcPr>
            <w:tcW w:w="1680" w:type="dxa"/>
            <w:noWrap/>
            <w:hideMark/>
          </w:tcPr>
          <w:p w14:paraId="1D8C1E76" w14:textId="77777777" w:rsidR="0052331E" w:rsidRPr="00AE7D02" w:rsidRDefault="0052331E" w:rsidP="00060B13">
            <w:pPr>
              <w:jc w:val="right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52,265,508.25</w:t>
            </w:r>
          </w:p>
        </w:tc>
        <w:tc>
          <w:tcPr>
            <w:tcW w:w="874" w:type="dxa"/>
            <w:noWrap/>
            <w:hideMark/>
          </w:tcPr>
          <w:p w14:paraId="237947BF" w14:textId="77777777" w:rsidR="0052331E" w:rsidRPr="00AE7D02" w:rsidRDefault="0052331E" w:rsidP="00060B13">
            <w:pPr>
              <w:jc w:val="right"/>
              <w:rPr>
                <w:b/>
                <w:bCs/>
                <w:sz w:val="20"/>
                <w:szCs w:val="20"/>
              </w:rPr>
            </w:pPr>
            <w:r w:rsidRPr="00AE7D02">
              <w:rPr>
                <w:b/>
                <w:bCs/>
                <w:sz w:val="20"/>
                <w:szCs w:val="20"/>
              </w:rPr>
              <w:t>97.35</w:t>
            </w:r>
          </w:p>
        </w:tc>
      </w:tr>
      <w:tr w:rsidR="00772766" w:rsidRPr="00F26EBD" w14:paraId="24533E25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79EC02D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01010209</w:t>
            </w:r>
          </w:p>
        </w:tc>
        <w:tc>
          <w:tcPr>
            <w:tcW w:w="5738" w:type="dxa"/>
            <w:noWrap/>
            <w:hideMark/>
          </w:tcPr>
          <w:p w14:paraId="6E35E3C5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Արտարժութային պետական պարտատոմսերի թողարկմանն առնչվող ծախսեր</w:t>
            </w:r>
          </w:p>
        </w:tc>
        <w:tc>
          <w:tcPr>
            <w:tcW w:w="1680" w:type="dxa"/>
            <w:noWrap/>
            <w:hideMark/>
          </w:tcPr>
          <w:p w14:paraId="246FEB8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31.00</w:t>
            </w:r>
          </w:p>
        </w:tc>
        <w:tc>
          <w:tcPr>
            <w:tcW w:w="1680" w:type="dxa"/>
            <w:noWrap/>
            <w:hideMark/>
          </w:tcPr>
          <w:p w14:paraId="74ABC10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C1A319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13EC6EB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705FBFF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47193724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2883D0E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01010202</w:t>
            </w:r>
          </w:p>
        </w:tc>
        <w:tc>
          <w:tcPr>
            <w:tcW w:w="5738" w:type="dxa"/>
            <w:noWrap/>
            <w:hideMark/>
          </w:tcPr>
          <w:p w14:paraId="63F22859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ՀՀ պետական պարտքի կառավարման գործընթացի հրապարակայնության ապահովում</w:t>
            </w:r>
          </w:p>
        </w:tc>
        <w:tc>
          <w:tcPr>
            <w:tcW w:w="1680" w:type="dxa"/>
            <w:noWrap/>
            <w:hideMark/>
          </w:tcPr>
          <w:p w14:paraId="5C02D6E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3FACCA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7893A9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6699A7A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2FC22BD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3DEBEC88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2D653DF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01010208</w:t>
            </w:r>
          </w:p>
        </w:tc>
        <w:tc>
          <w:tcPr>
            <w:tcW w:w="5738" w:type="dxa"/>
            <w:noWrap/>
            <w:hideMark/>
          </w:tcPr>
          <w:p w14:paraId="2006F710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Բլումբերգ և Ռոյթերս տեղեկատվական համակարգերի առևտրային տերմինալների տեղադրման և սպասարկման վճար</w:t>
            </w:r>
          </w:p>
        </w:tc>
        <w:tc>
          <w:tcPr>
            <w:tcW w:w="1680" w:type="dxa"/>
            <w:noWrap/>
            <w:hideMark/>
          </w:tcPr>
          <w:p w14:paraId="4640DB7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7,507.30</w:t>
            </w:r>
          </w:p>
        </w:tc>
        <w:tc>
          <w:tcPr>
            <w:tcW w:w="1680" w:type="dxa"/>
            <w:noWrap/>
            <w:hideMark/>
          </w:tcPr>
          <w:p w14:paraId="4130E02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7,331.60</w:t>
            </w:r>
          </w:p>
        </w:tc>
        <w:tc>
          <w:tcPr>
            <w:tcW w:w="1680" w:type="dxa"/>
            <w:noWrap/>
            <w:hideMark/>
          </w:tcPr>
          <w:p w14:paraId="0B13927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7,331.60</w:t>
            </w:r>
          </w:p>
        </w:tc>
        <w:tc>
          <w:tcPr>
            <w:tcW w:w="1680" w:type="dxa"/>
            <w:noWrap/>
            <w:hideMark/>
          </w:tcPr>
          <w:p w14:paraId="08E7448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7,331.60</w:t>
            </w:r>
          </w:p>
        </w:tc>
        <w:tc>
          <w:tcPr>
            <w:tcW w:w="874" w:type="dxa"/>
            <w:noWrap/>
            <w:hideMark/>
          </w:tcPr>
          <w:p w14:paraId="2B3C288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97.66</w:t>
            </w:r>
          </w:p>
        </w:tc>
      </w:tr>
      <w:tr w:rsidR="00772766" w:rsidRPr="00F26EBD" w14:paraId="3DE751A6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1EDDF24D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01070101</w:t>
            </w:r>
          </w:p>
        </w:tc>
        <w:tc>
          <w:tcPr>
            <w:tcW w:w="5738" w:type="dxa"/>
            <w:noWrap/>
            <w:hideMark/>
          </w:tcPr>
          <w:p w14:paraId="43A5461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Կառավարության պարտքի սպասարկում (տոկոսավճարներ)</w:t>
            </w:r>
          </w:p>
        </w:tc>
        <w:tc>
          <w:tcPr>
            <w:tcW w:w="1680" w:type="dxa"/>
            <w:noWrap/>
            <w:hideMark/>
          </w:tcPr>
          <w:p w14:paraId="367EE38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38,589,543.83</w:t>
            </w:r>
          </w:p>
        </w:tc>
        <w:tc>
          <w:tcPr>
            <w:tcW w:w="1680" w:type="dxa"/>
            <w:noWrap/>
            <w:hideMark/>
          </w:tcPr>
          <w:p w14:paraId="3CEC9A7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37,754,655.56</w:t>
            </w:r>
          </w:p>
        </w:tc>
        <w:tc>
          <w:tcPr>
            <w:tcW w:w="1680" w:type="dxa"/>
            <w:noWrap/>
            <w:hideMark/>
          </w:tcPr>
          <w:p w14:paraId="5BEDFBC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37,754,655.55</w:t>
            </w:r>
          </w:p>
        </w:tc>
        <w:tc>
          <w:tcPr>
            <w:tcW w:w="1680" w:type="dxa"/>
            <w:noWrap/>
            <w:hideMark/>
          </w:tcPr>
          <w:p w14:paraId="53E0DE8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37,754,655.55</w:t>
            </w:r>
          </w:p>
        </w:tc>
        <w:tc>
          <w:tcPr>
            <w:tcW w:w="874" w:type="dxa"/>
            <w:noWrap/>
            <w:hideMark/>
          </w:tcPr>
          <w:p w14:paraId="74C4D33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97.84</w:t>
            </w:r>
          </w:p>
        </w:tc>
      </w:tr>
      <w:tr w:rsidR="00772766" w:rsidRPr="00F26EBD" w14:paraId="2900F6B8" w14:textId="77777777" w:rsidTr="00772766">
        <w:trPr>
          <w:trHeight w:val="270"/>
        </w:trPr>
        <w:tc>
          <w:tcPr>
            <w:tcW w:w="1269" w:type="dxa"/>
            <w:noWrap/>
            <w:hideMark/>
          </w:tcPr>
          <w:p w14:paraId="6E342C89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629D7ECD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Ներքին արժեթղթերի տոկոսավճարներ</w:t>
            </w:r>
          </w:p>
        </w:tc>
        <w:tc>
          <w:tcPr>
            <w:tcW w:w="1680" w:type="dxa"/>
            <w:noWrap/>
            <w:hideMark/>
          </w:tcPr>
          <w:p w14:paraId="4F16623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28C235A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13,903,626.60</w:t>
            </w:r>
          </w:p>
        </w:tc>
        <w:tc>
          <w:tcPr>
            <w:tcW w:w="1680" w:type="dxa"/>
            <w:noWrap/>
            <w:hideMark/>
          </w:tcPr>
          <w:p w14:paraId="3D918D4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13,903,626.60</w:t>
            </w:r>
          </w:p>
        </w:tc>
        <w:tc>
          <w:tcPr>
            <w:tcW w:w="1680" w:type="dxa"/>
            <w:noWrap/>
            <w:hideMark/>
          </w:tcPr>
          <w:p w14:paraId="13E4CFE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13,903,626.60</w:t>
            </w:r>
          </w:p>
        </w:tc>
        <w:tc>
          <w:tcPr>
            <w:tcW w:w="874" w:type="dxa"/>
            <w:noWrap/>
            <w:hideMark/>
          </w:tcPr>
          <w:p w14:paraId="4C09A4B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5C6C17C7" w14:textId="77777777" w:rsidTr="00772766">
        <w:trPr>
          <w:trHeight w:val="270"/>
        </w:trPr>
        <w:tc>
          <w:tcPr>
            <w:tcW w:w="1269" w:type="dxa"/>
            <w:noWrap/>
            <w:hideMark/>
          </w:tcPr>
          <w:p w14:paraId="2505BC73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681B45D1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Արտաքին վարկերի գծով տոկոսավճարներ</w:t>
            </w:r>
          </w:p>
        </w:tc>
        <w:tc>
          <w:tcPr>
            <w:tcW w:w="1680" w:type="dxa"/>
            <w:noWrap/>
            <w:hideMark/>
          </w:tcPr>
          <w:p w14:paraId="79524C0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653C627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23,851,028.96</w:t>
            </w:r>
          </w:p>
        </w:tc>
        <w:tc>
          <w:tcPr>
            <w:tcW w:w="1680" w:type="dxa"/>
            <w:noWrap/>
            <w:hideMark/>
          </w:tcPr>
          <w:p w14:paraId="589B589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23,851,028.95</w:t>
            </w:r>
          </w:p>
        </w:tc>
        <w:tc>
          <w:tcPr>
            <w:tcW w:w="1680" w:type="dxa"/>
            <w:noWrap/>
            <w:hideMark/>
          </w:tcPr>
          <w:p w14:paraId="5AA3348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23,851,028.95</w:t>
            </w:r>
          </w:p>
        </w:tc>
        <w:tc>
          <w:tcPr>
            <w:tcW w:w="874" w:type="dxa"/>
            <w:noWrap/>
            <w:hideMark/>
          </w:tcPr>
          <w:p w14:paraId="422339C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37B7BEBC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39D905A2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01070102</w:t>
            </w:r>
          </w:p>
        </w:tc>
        <w:tc>
          <w:tcPr>
            <w:tcW w:w="5738" w:type="dxa"/>
            <w:noWrap/>
            <w:hideMark/>
          </w:tcPr>
          <w:p w14:paraId="55B9F79C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Մուրհակների սպասարկման ծախսեր (տոկոսավճարներ)</w:t>
            </w:r>
          </w:p>
        </w:tc>
        <w:tc>
          <w:tcPr>
            <w:tcW w:w="1680" w:type="dxa"/>
            <w:noWrap/>
            <w:hideMark/>
          </w:tcPr>
          <w:p w14:paraId="5A5CFAC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23,603.00</w:t>
            </w:r>
          </w:p>
        </w:tc>
        <w:tc>
          <w:tcPr>
            <w:tcW w:w="1680" w:type="dxa"/>
            <w:noWrap/>
            <w:hideMark/>
          </w:tcPr>
          <w:p w14:paraId="3C0CAB36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23,543.01</w:t>
            </w:r>
          </w:p>
        </w:tc>
        <w:tc>
          <w:tcPr>
            <w:tcW w:w="1680" w:type="dxa"/>
            <w:noWrap/>
            <w:hideMark/>
          </w:tcPr>
          <w:p w14:paraId="4D10FC1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23,543.01</w:t>
            </w:r>
          </w:p>
        </w:tc>
        <w:tc>
          <w:tcPr>
            <w:tcW w:w="1680" w:type="dxa"/>
            <w:noWrap/>
            <w:hideMark/>
          </w:tcPr>
          <w:p w14:paraId="1FA34D5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23,543.01</w:t>
            </w:r>
          </w:p>
        </w:tc>
        <w:tc>
          <w:tcPr>
            <w:tcW w:w="874" w:type="dxa"/>
            <w:noWrap/>
            <w:hideMark/>
          </w:tcPr>
          <w:p w14:paraId="56DB577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99.75</w:t>
            </w:r>
          </w:p>
        </w:tc>
      </w:tr>
      <w:tr w:rsidR="00772766" w:rsidRPr="00F26EBD" w14:paraId="3A132D0A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1F1CFCDA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lastRenderedPageBreak/>
              <w:t xml:space="preserve"> 10090201</w:t>
            </w:r>
          </w:p>
        </w:tc>
        <w:tc>
          <w:tcPr>
            <w:tcW w:w="5738" w:type="dxa"/>
            <w:noWrap/>
            <w:hideMark/>
          </w:tcPr>
          <w:p w14:paraId="361D06C5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Պետական հիմնարկների և կազմակերպությունների աշխատողների սոցիալական փաթեթով ապահովում</w:t>
            </w:r>
          </w:p>
        </w:tc>
        <w:tc>
          <w:tcPr>
            <w:tcW w:w="1680" w:type="dxa"/>
            <w:noWrap/>
            <w:hideMark/>
          </w:tcPr>
          <w:p w14:paraId="129989A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5,508.00</w:t>
            </w:r>
          </w:p>
        </w:tc>
        <w:tc>
          <w:tcPr>
            <w:tcW w:w="1680" w:type="dxa"/>
            <w:noWrap/>
            <w:hideMark/>
          </w:tcPr>
          <w:p w14:paraId="2742E6E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3,974.00</w:t>
            </w:r>
          </w:p>
        </w:tc>
        <w:tc>
          <w:tcPr>
            <w:tcW w:w="1680" w:type="dxa"/>
            <w:noWrap/>
            <w:hideMark/>
          </w:tcPr>
          <w:p w14:paraId="4CA1ACF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3,948.00</w:t>
            </w:r>
          </w:p>
        </w:tc>
        <w:tc>
          <w:tcPr>
            <w:tcW w:w="1680" w:type="dxa"/>
            <w:noWrap/>
            <w:hideMark/>
          </w:tcPr>
          <w:p w14:paraId="7176947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3,948.00</w:t>
            </w:r>
          </w:p>
        </w:tc>
        <w:tc>
          <w:tcPr>
            <w:tcW w:w="874" w:type="dxa"/>
            <w:noWrap/>
            <w:hideMark/>
          </w:tcPr>
          <w:p w14:paraId="6D2B882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71.68</w:t>
            </w:r>
          </w:p>
        </w:tc>
      </w:tr>
      <w:tr w:rsidR="00772766" w:rsidRPr="00F26EBD" w14:paraId="51ED7D41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0CB3AFA1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01060114</w:t>
            </w:r>
          </w:p>
        </w:tc>
        <w:tc>
          <w:tcPr>
            <w:tcW w:w="5738" w:type="dxa"/>
            <w:noWrap/>
            <w:hideMark/>
          </w:tcPr>
          <w:p w14:paraId="6465628B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ՀՀ ֆինանսների նախարարության և ՌԴ ֆինանսների նախարարության միջև` Ռուսաստանի Դաշնության կողմից Հայաստանի Հանրապետությանն անհատույց ֆինանսական օգնության դրամաշնորհային ծրագիր</w:t>
            </w:r>
          </w:p>
        </w:tc>
        <w:tc>
          <w:tcPr>
            <w:tcW w:w="1680" w:type="dxa"/>
            <w:noWrap/>
            <w:hideMark/>
          </w:tcPr>
          <w:p w14:paraId="20824B0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9,900.00</w:t>
            </w:r>
          </w:p>
        </w:tc>
        <w:tc>
          <w:tcPr>
            <w:tcW w:w="1680" w:type="dxa"/>
            <w:noWrap/>
            <w:hideMark/>
          </w:tcPr>
          <w:p w14:paraId="4185584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397BA76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5ED91C9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4A2A403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58CB291E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1EEAFE35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01060120</w:t>
            </w:r>
          </w:p>
        </w:tc>
        <w:tc>
          <w:tcPr>
            <w:tcW w:w="5738" w:type="dxa"/>
            <w:noWrap/>
            <w:hideMark/>
          </w:tcPr>
          <w:p w14:paraId="3826F7B1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 ձեռքբերում</w:t>
            </w:r>
          </w:p>
        </w:tc>
        <w:tc>
          <w:tcPr>
            <w:tcW w:w="1680" w:type="dxa"/>
            <w:noWrap/>
            <w:hideMark/>
          </w:tcPr>
          <w:p w14:paraId="49F9233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455,090.80</w:t>
            </w:r>
          </w:p>
        </w:tc>
        <w:tc>
          <w:tcPr>
            <w:tcW w:w="1680" w:type="dxa"/>
            <w:noWrap/>
            <w:hideMark/>
          </w:tcPr>
          <w:p w14:paraId="75C977C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4D051C5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581CB94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60FCAEC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2A8A51BC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04F54FA6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09050202</w:t>
            </w:r>
          </w:p>
        </w:tc>
        <w:tc>
          <w:tcPr>
            <w:tcW w:w="5738" w:type="dxa"/>
            <w:noWrap/>
            <w:hideMark/>
          </w:tcPr>
          <w:p w14:paraId="51FD4E6C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Հանրային հատվածի ֆինանսական ոլորտի մասնագետների վերապատրաստման ծառայություններ</w:t>
            </w:r>
          </w:p>
        </w:tc>
        <w:tc>
          <w:tcPr>
            <w:tcW w:w="1680" w:type="dxa"/>
            <w:noWrap/>
            <w:hideMark/>
          </w:tcPr>
          <w:p w14:paraId="7DB66B2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4,900.00</w:t>
            </w:r>
          </w:p>
        </w:tc>
        <w:tc>
          <w:tcPr>
            <w:tcW w:w="1680" w:type="dxa"/>
            <w:noWrap/>
            <w:hideMark/>
          </w:tcPr>
          <w:p w14:paraId="5A38F8C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56ABD24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18AE3F7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6FC66E8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F26EBD" w14:paraId="794F72A2" w14:textId="77777777" w:rsidTr="00772766">
        <w:trPr>
          <w:trHeight w:val="687"/>
        </w:trPr>
        <w:tc>
          <w:tcPr>
            <w:tcW w:w="1269" w:type="dxa"/>
            <w:noWrap/>
            <w:hideMark/>
          </w:tcPr>
          <w:p w14:paraId="176E715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03030204</w:t>
            </w:r>
          </w:p>
        </w:tc>
        <w:tc>
          <w:tcPr>
            <w:tcW w:w="5738" w:type="dxa"/>
            <w:noWrap/>
            <w:hideMark/>
          </w:tcPr>
          <w:p w14:paraId="02FEDA7F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Անվճարունակության գործերով կառավարիչներին իրենց մատուցած ծառայությունների դիմաց փոխհատուցում</w:t>
            </w:r>
          </w:p>
        </w:tc>
        <w:tc>
          <w:tcPr>
            <w:tcW w:w="1680" w:type="dxa"/>
            <w:noWrap/>
            <w:hideMark/>
          </w:tcPr>
          <w:p w14:paraId="0610DCF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8,500.00</w:t>
            </w:r>
          </w:p>
        </w:tc>
        <w:tc>
          <w:tcPr>
            <w:tcW w:w="1680" w:type="dxa"/>
            <w:noWrap/>
            <w:hideMark/>
          </w:tcPr>
          <w:p w14:paraId="4FFA4E6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4,470.00</w:t>
            </w:r>
          </w:p>
        </w:tc>
        <w:tc>
          <w:tcPr>
            <w:tcW w:w="1680" w:type="dxa"/>
            <w:noWrap/>
            <w:hideMark/>
          </w:tcPr>
          <w:p w14:paraId="509F496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4,470.00</w:t>
            </w:r>
          </w:p>
        </w:tc>
        <w:tc>
          <w:tcPr>
            <w:tcW w:w="1680" w:type="dxa"/>
            <w:noWrap/>
            <w:hideMark/>
          </w:tcPr>
          <w:p w14:paraId="09D016F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4,470.00</w:t>
            </w:r>
          </w:p>
        </w:tc>
        <w:tc>
          <w:tcPr>
            <w:tcW w:w="874" w:type="dxa"/>
            <w:noWrap/>
            <w:hideMark/>
          </w:tcPr>
          <w:p w14:paraId="0F0CCE3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52.59</w:t>
            </w:r>
          </w:p>
        </w:tc>
      </w:tr>
      <w:tr w:rsidR="00772766" w:rsidRPr="00F26EBD" w14:paraId="73243861" w14:textId="77777777" w:rsidTr="00772766">
        <w:trPr>
          <w:trHeight w:val="853"/>
        </w:trPr>
        <w:tc>
          <w:tcPr>
            <w:tcW w:w="1269" w:type="dxa"/>
            <w:noWrap/>
            <w:hideMark/>
          </w:tcPr>
          <w:p w14:paraId="77EDB792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01010201</w:t>
            </w:r>
          </w:p>
        </w:tc>
        <w:tc>
          <w:tcPr>
            <w:tcW w:w="5738" w:type="dxa"/>
            <w:noWrap/>
            <w:hideMark/>
          </w:tcPr>
          <w:p w14:paraId="75A84CA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Գործադիր իշխանության, պետական կառավարման հանրապետական և տարածքային կառավարման մարմինների պահպանում</w:t>
            </w:r>
          </w:p>
        </w:tc>
        <w:tc>
          <w:tcPr>
            <w:tcW w:w="1680" w:type="dxa"/>
            <w:noWrap/>
            <w:hideMark/>
          </w:tcPr>
          <w:p w14:paraId="5491A32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474,177.80</w:t>
            </w:r>
          </w:p>
        </w:tc>
        <w:tc>
          <w:tcPr>
            <w:tcW w:w="1680" w:type="dxa"/>
            <w:noWrap/>
            <w:hideMark/>
          </w:tcPr>
          <w:p w14:paraId="722D963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454,007.89</w:t>
            </w:r>
          </w:p>
        </w:tc>
        <w:tc>
          <w:tcPr>
            <w:tcW w:w="1680" w:type="dxa"/>
            <w:noWrap/>
            <w:hideMark/>
          </w:tcPr>
          <w:p w14:paraId="59E9986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414,397.69</w:t>
            </w:r>
          </w:p>
        </w:tc>
        <w:tc>
          <w:tcPr>
            <w:tcW w:w="1680" w:type="dxa"/>
            <w:noWrap/>
            <w:hideMark/>
          </w:tcPr>
          <w:p w14:paraId="71884CC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516,117.75</w:t>
            </w:r>
          </w:p>
        </w:tc>
        <w:tc>
          <w:tcPr>
            <w:tcW w:w="874" w:type="dxa"/>
            <w:noWrap/>
            <w:hideMark/>
          </w:tcPr>
          <w:p w14:paraId="14F76D2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87.39</w:t>
            </w:r>
          </w:p>
        </w:tc>
      </w:tr>
      <w:tr w:rsidR="00772766" w:rsidRPr="00F26EBD" w14:paraId="713F8F3F" w14:textId="77777777" w:rsidTr="00772766">
        <w:trPr>
          <w:trHeight w:val="411"/>
        </w:trPr>
        <w:tc>
          <w:tcPr>
            <w:tcW w:w="1269" w:type="dxa"/>
            <w:noWrap/>
            <w:hideMark/>
          </w:tcPr>
          <w:p w14:paraId="4F93C3B2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72C75136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Աշխատողների աշխատավարձեր և հավելավճարներ</w:t>
            </w:r>
          </w:p>
        </w:tc>
        <w:tc>
          <w:tcPr>
            <w:tcW w:w="1680" w:type="dxa"/>
            <w:noWrap/>
            <w:hideMark/>
          </w:tcPr>
          <w:p w14:paraId="638384B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298,956.00</w:t>
            </w:r>
          </w:p>
        </w:tc>
        <w:tc>
          <w:tcPr>
            <w:tcW w:w="1680" w:type="dxa"/>
            <w:noWrap/>
            <w:hideMark/>
          </w:tcPr>
          <w:p w14:paraId="47885E3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298,956.00</w:t>
            </w:r>
          </w:p>
        </w:tc>
        <w:tc>
          <w:tcPr>
            <w:tcW w:w="1680" w:type="dxa"/>
            <w:noWrap/>
            <w:hideMark/>
          </w:tcPr>
          <w:p w14:paraId="5594359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262,492.71</w:t>
            </w:r>
          </w:p>
        </w:tc>
        <w:tc>
          <w:tcPr>
            <w:tcW w:w="1680" w:type="dxa"/>
            <w:noWrap/>
            <w:hideMark/>
          </w:tcPr>
          <w:p w14:paraId="31D9674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359,780.30</w:t>
            </w:r>
          </w:p>
        </w:tc>
        <w:tc>
          <w:tcPr>
            <w:tcW w:w="874" w:type="dxa"/>
            <w:noWrap/>
            <w:hideMark/>
          </w:tcPr>
          <w:p w14:paraId="7C5C052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87.80</w:t>
            </w:r>
          </w:p>
        </w:tc>
      </w:tr>
      <w:tr w:rsidR="00772766" w:rsidRPr="00F26EBD" w14:paraId="5490404F" w14:textId="77777777" w:rsidTr="00772766">
        <w:trPr>
          <w:trHeight w:val="701"/>
        </w:trPr>
        <w:tc>
          <w:tcPr>
            <w:tcW w:w="1269" w:type="dxa"/>
            <w:noWrap/>
            <w:hideMark/>
          </w:tcPr>
          <w:p w14:paraId="2E67667D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4FD393F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Պարգևատրումներ, դրամական խրախուսումներ և հատուկ վճարներ</w:t>
            </w:r>
          </w:p>
        </w:tc>
        <w:tc>
          <w:tcPr>
            <w:tcW w:w="1680" w:type="dxa"/>
            <w:noWrap/>
            <w:hideMark/>
          </w:tcPr>
          <w:p w14:paraId="02E03A4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58,966.70</w:t>
            </w:r>
          </w:p>
        </w:tc>
        <w:tc>
          <w:tcPr>
            <w:tcW w:w="1680" w:type="dxa"/>
            <w:noWrap/>
            <w:hideMark/>
          </w:tcPr>
          <w:p w14:paraId="6F29986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58,966.70</w:t>
            </w:r>
          </w:p>
        </w:tc>
        <w:tc>
          <w:tcPr>
            <w:tcW w:w="1680" w:type="dxa"/>
            <w:noWrap/>
            <w:hideMark/>
          </w:tcPr>
          <w:p w14:paraId="29C9827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58,790.19</w:t>
            </w:r>
          </w:p>
        </w:tc>
        <w:tc>
          <w:tcPr>
            <w:tcW w:w="1680" w:type="dxa"/>
            <w:noWrap/>
            <w:hideMark/>
          </w:tcPr>
          <w:p w14:paraId="329FCDC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59,245.66</w:t>
            </w:r>
          </w:p>
        </w:tc>
        <w:tc>
          <w:tcPr>
            <w:tcW w:w="874" w:type="dxa"/>
            <w:noWrap/>
            <w:hideMark/>
          </w:tcPr>
          <w:p w14:paraId="37A51E8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99.70</w:t>
            </w:r>
          </w:p>
        </w:tc>
      </w:tr>
      <w:tr w:rsidR="00772766" w:rsidRPr="00F26EBD" w14:paraId="0FE617F8" w14:textId="77777777" w:rsidTr="00772766">
        <w:trPr>
          <w:trHeight w:val="697"/>
        </w:trPr>
        <w:tc>
          <w:tcPr>
            <w:tcW w:w="1269" w:type="dxa"/>
            <w:noWrap/>
            <w:hideMark/>
          </w:tcPr>
          <w:p w14:paraId="3D0003CC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449E6E91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Քաղաքացիական, դատական և պետական այլ ծառայողների պարգևատրում</w:t>
            </w:r>
          </w:p>
        </w:tc>
        <w:tc>
          <w:tcPr>
            <w:tcW w:w="1680" w:type="dxa"/>
            <w:noWrap/>
            <w:hideMark/>
          </w:tcPr>
          <w:p w14:paraId="0D04992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79,348.00</w:t>
            </w:r>
          </w:p>
        </w:tc>
        <w:tc>
          <w:tcPr>
            <w:tcW w:w="1680" w:type="dxa"/>
            <w:noWrap/>
            <w:hideMark/>
          </w:tcPr>
          <w:p w14:paraId="0473426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79,348.00</w:t>
            </w:r>
          </w:p>
        </w:tc>
        <w:tc>
          <w:tcPr>
            <w:tcW w:w="1680" w:type="dxa"/>
            <w:noWrap/>
            <w:hideMark/>
          </w:tcPr>
          <w:p w14:paraId="54C76B3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79,348.00</w:t>
            </w:r>
          </w:p>
        </w:tc>
        <w:tc>
          <w:tcPr>
            <w:tcW w:w="1680" w:type="dxa"/>
            <w:noWrap/>
            <w:hideMark/>
          </w:tcPr>
          <w:p w14:paraId="016827B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79,348.00</w:t>
            </w:r>
          </w:p>
        </w:tc>
        <w:tc>
          <w:tcPr>
            <w:tcW w:w="874" w:type="dxa"/>
            <w:noWrap/>
            <w:hideMark/>
          </w:tcPr>
          <w:p w14:paraId="13C88D6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F26EBD" w14:paraId="3F955017" w14:textId="77777777" w:rsidTr="00772766">
        <w:trPr>
          <w:trHeight w:val="409"/>
        </w:trPr>
        <w:tc>
          <w:tcPr>
            <w:tcW w:w="1269" w:type="dxa"/>
            <w:noWrap/>
            <w:hideMark/>
          </w:tcPr>
          <w:p w14:paraId="093238C3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39ADBC75" w14:textId="77777777" w:rsidR="0052331E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Ներքին գործուղումներ</w:t>
            </w:r>
          </w:p>
          <w:p w14:paraId="66B83A63" w14:textId="7F88AEFA" w:rsidR="003949BD" w:rsidRPr="00060B13" w:rsidRDefault="003949BD" w:rsidP="00C60A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4A4CA3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8,990.40</w:t>
            </w:r>
          </w:p>
        </w:tc>
        <w:tc>
          <w:tcPr>
            <w:tcW w:w="1680" w:type="dxa"/>
            <w:noWrap/>
            <w:hideMark/>
          </w:tcPr>
          <w:p w14:paraId="00EF2EE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8,990.40</w:t>
            </w:r>
          </w:p>
        </w:tc>
        <w:tc>
          <w:tcPr>
            <w:tcW w:w="1680" w:type="dxa"/>
            <w:noWrap/>
            <w:hideMark/>
          </w:tcPr>
          <w:p w14:paraId="72E7E66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6,020.00</w:t>
            </w:r>
          </w:p>
        </w:tc>
        <w:tc>
          <w:tcPr>
            <w:tcW w:w="1680" w:type="dxa"/>
            <w:noWrap/>
            <w:hideMark/>
          </w:tcPr>
          <w:p w14:paraId="457DFE7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6,718.80</w:t>
            </w:r>
          </w:p>
        </w:tc>
        <w:tc>
          <w:tcPr>
            <w:tcW w:w="874" w:type="dxa"/>
            <w:noWrap/>
            <w:hideMark/>
          </w:tcPr>
          <w:p w14:paraId="0D98F25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66.96</w:t>
            </w:r>
          </w:p>
        </w:tc>
      </w:tr>
      <w:tr w:rsidR="00772766" w:rsidRPr="00F26EBD" w14:paraId="5421655A" w14:textId="77777777" w:rsidTr="00772766">
        <w:trPr>
          <w:trHeight w:val="413"/>
        </w:trPr>
        <w:tc>
          <w:tcPr>
            <w:tcW w:w="1269" w:type="dxa"/>
            <w:noWrap/>
            <w:hideMark/>
          </w:tcPr>
          <w:p w14:paraId="5E2E5872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418912E4" w14:textId="77777777" w:rsidR="0052331E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Համակարգչային ծառայություններ</w:t>
            </w:r>
          </w:p>
          <w:p w14:paraId="3304024E" w14:textId="2850DF09" w:rsidR="003949BD" w:rsidRPr="00060B13" w:rsidRDefault="003949BD" w:rsidP="00C60A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BD92B9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3,643.00</w:t>
            </w:r>
          </w:p>
        </w:tc>
        <w:tc>
          <w:tcPr>
            <w:tcW w:w="1680" w:type="dxa"/>
            <w:noWrap/>
            <w:hideMark/>
          </w:tcPr>
          <w:p w14:paraId="156A6E7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820.04</w:t>
            </w:r>
          </w:p>
        </w:tc>
        <w:tc>
          <w:tcPr>
            <w:tcW w:w="1680" w:type="dxa"/>
            <w:noWrap/>
            <w:hideMark/>
          </w:tcPr>
          <w:p w14:paraId="2F1BA11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820.04</w:t>
            </w:r>
          </w:p>
        </w:tc>
        <w:tc>
          <w:tcPr>
            <w:tcW w:w="1680" w:type="dxa"/>
            <w:noWrap/>
            <w:hideMark/>
          </w:tcPr>
          <w:p w14:paraId="51FEF5F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820.04</w:t>
            </w:r>
          </w:p>
        </w:tc>
        <w:tc>
          <w:tcPr>
            <w:tcW w:w="874" w:type="dxa"/>
            <w:noWrap/>
            <w:hideMark/>
          </w:tcPr>
          <w:p w14:paraId="3D2F216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22.51</w:t>
            </w:r>
          </w:p>
        </w:tc>
      </w:tr>
      <w:tr w:rsidR="00772766" w:rsidRPr="00F26EBD" w14:paraId="5A6B0166" w14:textId="77777777" w:rsidTr="00772766">
        <w:trPr>
          <w:trHeight w:val="417"/>
        </w:trPr>
        <w:tc>
          <w:tcPr>
            <w:tcW w:w="1269" w:type="dxa"/>
            <w:noWrap/>
            <w:hideMark/>
          </w:tcPr>
          <w:p w14:paraId="203A0DFB" w14:textId="77777777" w:rsidR="0052331E" w:rsidRPr="00060B13" w:rsidRDefault="0052331E" w:rsidP="00C60AA9">
            <w:pPr>
              <w:rPr>
                <w:rFonts w:cs="Sylfaen"/>
                <w:sz w:val="20"/>
                <w:szCs w:val="20"/>
              </w:rPr>
            </w:pPr>
            <w:r w:rsidRPr="00060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8" w:type="dxa"/>
            <w:noWrap/>
            <w:hideMark/>
          </w:tcPr>
          <w:p w14:paraId="524C50BC" w14:textId="77777777" w:rsidR="0052331E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Այլ հոդվածներ</w:t>
            </w:r>
          </w:p>
          <w:p w14:paraId="6E371951" w14:textId="741E87CA" w:rsidR="003949BD" w:rsidRPr="00060B13" w:rsidRDefault="003949BD" w:rsidP="00C60A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52D32F0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24,273.70</w:t>
            </w:r>
          </w:p>
        </w:tc>
        <w:tc>
          <w:tcPr>
            <w:tcW w:w="1680" w:type="dxa"/>
            <w:noWrap/>
            <w:hideMark/>
          </w:tcPr>
          <w:p w14:paraId="0AC05AC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6,926.75</w:t>
            </w:r>
          </w:p>
        </w:tc>
        <w:tc>
          <w:tcPr>
            <w:tcW w:w="1680" w:type="dxa"/>
            <w:noWrap/>
            <w:hideMark/>
          </w:tcPr>
          <w:p w14:paraId="1067CE2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6,926.75</w:t>
            </w:r>
          </w:p>
        </w:tc>
        <w:tc>
          <w:tcPr>
            <w:tcW w:w="1680" w:type="dxa"/>
            <w:noWrap/>
            <w:hideMark/>
          </w:tcPr>
          <w:p w14:paraId="795C6EAE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10,204.95</w:t>
            </w:r>
          </w:p>
        </w:tc>
        <w:tc>
          <w:tcPr>
            <w:tcW w:w="874" w:type="dxa"/>
            <w:noWrap/>
            <w:hideMark/>
          </w:tcPr>
          <w:p w14:paraId="6A0EF21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28.54</w:t>
            </w:r>
          </w:p>
        </w:tc>
      </w:tr>
      <w:tr w:rsidR="00772766" w:rsidRPr="00F26EBD" w14:paraId="42A2495D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56218F1A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lastRenderedPageBreak/>
              <w:t xml:space="preserve"> 01010204</w:t>
            </w:r>
          </w:p>
        </w:tc>
        <w:tc>
          <w:tcPr>
            <w:tcW w:w="5738" w:type="dxa"/>
            <w:noWrap/>
            <w:hideMark/>
          </w:tcPr>
          <w:p w14:paraId="08523CBC" w14:textId="77777777" w:rsidR="0052331E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Ֆինանսական կառավարման համակարգի վճարահաշվարկային ծախսեր</w:t>
            </w:r>
          </w:p>
          <w:p w14:paraId="607BCB9C" w14:textId="719BFD53" w:rsidR="003949BD" w:rsidRPr="00060B13" w:rsidRDefault="003949BD" w:rsidP="00C60A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083F007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36,741.00</w:t>
            </w:r>
          </w:p>
        </w:tc>
        <w:tc>
          <w:tcPr>
            <w:tcW w:w="1680" w:type="dxa"/>
            <w:noWrap/>
            <w:hideMark/>
          </w:tcPr>
          <w:p w14:paraId="74023C3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5,538.26</w:t>
            </w:r>
          </w:p>
        </w:tc>
        <w:tc>
          <w:tcPr>
            <w:tcW w:w="1680" w:type="dxa"/>
            <w:noWrap/>
            <w:hideMark/>
          </w:tcPr>
          <w:p w14:paraId="14CDA39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5,538.26</w:t>
            </w:r>
          </w:p>
        </w:tc>
        <w:tc>
          <w:tcPr>
            <w:tcW w:w="1680" w:type="dxa"/>
            <w:noWrap/>
            <w:hideMark/>
          </w:tcPr>
          <w:p w14:paraId="3008962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5,538.26</w:t>
            </w:r>
          </w:p>
        </w:tc>
        <w:tc>
          <w:tcPr>
            <w:tcW w:w="874" w:type="dxa"/>
            <w:noWrap/>
            <w:hideMark/>
          </w:tcPr>
          <w:p w14:paraId="5475B4B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15.07</w:t>
            </w:r>
          </w:p>
        </w:tc>
      </w:tr>
      <w:tr w:rsidR="00772766" w:rsidRPr="00F26EBD" w14:paraId="14FD839B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66E544CE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01010308</w:t>
            </w:r>
          </w:p>
        </w:tc>
        <w:tc>
          <w:tcPr>
            <w:tcW w:w="5738" w:type="dxa"/>
            <w:noWrap/>
            <w:hideMark/>
          </w:tcPr>
          <w:p w14:paraId="048D92BE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Հայաստանի Հանրապետությանը սուվերեն վարկանիշ շնորհելու կապակցությամբ կազմակերպությունների կողմից մատուցված ծառայությունների դիմաց վճարման ծախսեր</w:t>
            </w:r>
          </w:p>
        </w:tc>
        <w:tc>
          <w:tcPr>
            <w:tcW w:w="1680" w:type="dxa"/>
            <w:noWrap/>
            <w:hideMark/>
          </w:tcPr>
          <w:p w14:paraId="464338D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80,816.70</w:t>
            </w:r>
          </w:p>
        </w:tc>
        <w:tc>
          <w:tcPr>
            <w:tcW w:w="1680" w:type="dxa"/>
            <w:noWrap/>
            <w:hideMark/>
          </w:tcPr>
          <w:p w14:paraId="1BE7BA2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80,164.69</w:t>
            </w:r>
          </w:p>
        </w:tc>
        <w:tc>
          <w:tcPr>
            <w:tcW w:w="1680" w:type="dxa"/>
            <w:noWrap/>
            <w:hideMark/>
          </w:tcPr>
          <w:p w14:paraId="23DDA9F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80,164.69</w:t>
            </w:r>
          </w:p>
        </w:tc>
        <w:tc>
          <w:tcPr>
            <w:tcW w:w="1680" w:type="dxa"/>
            <w:noWrap/>
            <w:hideMark/>
          </w:tcPr>
          <w:p w14:paraId="09CF026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80,164.69</w:t>
            </w:r>
          </w:p>
        </w:tc>
        <w:tc>
          <w:tcPr>
            <w:tcW w:w="874" w:type="dxa"/>
            <w:noWrap/>
            <w:hideMark/>
          </w:tcPr>
          <w:p w14:paraId="659B61A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99.19</w:t>
            </w:r>
          </w:p>
        </w:tc>
      </w:tr>
      <w:tr w:rsidR="00772766" w:rsidRPr="007E03FB" w14:paraId="11973E72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5CAE9F8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04090120</w:t>
            </w:r>
          </w:p>
        </w:tc>
        <w:tc>
          <w:tcPr>
            <w:tcW w:w="5738" w:type="dxa"/>
            <w:noWrap/>
            <w:hideMark/>
          </w:tcPr>
          <w:p w14:paraId="322B1686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ՀՀ պետական կառավարման մարմինների կողմից դիմումներ, հայցադիմումներ, դատարանի վճիռների և որոշումների դեմ վերաքննիչ և վճռաբեկ բողոքներ ներկայացնելիս` «Պետական տուրքի մասին» ՀՀ օրենքով սահմանված վճարումներ</w:t>
            </w:r>
          </w:p>
        </w:tc>
        <w:tc>
          <w:tcPr>
            <w:tcW w:w="1680" w:type="dxa"/>
            <w:noWrap/>
            <w:hideMark/>
          </w:tcPr>
          <w:p w14:paraId="3A0BDEA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4,700.39</w:t>
            </w:r>
          </w:p>
        </w:tc>
        <w:tc>
          <w:tcPr>
            <w:tcW w:w="1680" w:type="dxa"/>
            <w:noWrap/>
            <w:hideMark/>
          </w:tcPr>
          <w:p w14:paraId="7469B3E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4,700.39</w:t>
            </w:r>
          </w:p>
        </w:tc>
        <w:tc>
          <w:tcPr>
            <w:tcW w:w="1680" w:type="dxa"/>
            <w:noWrap/>
            <w:hideMark/>
          </w:tcPr>
          <w:p w14:paraId="1627EC8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4,700.39</w:t>
            </w:r>
          </w:p>
        </w:tc>
        <w:tc>
          <w:tcPr>
            <w:tcW w:w="1680" w:type="dxa"/>
            <w:noWrap/>
            <w:hideMark/>
          </w:tcPr>
          <w:p w14:paraId="14A9CCB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4,700.39</w:t>
            </w:r>
          </w:p>
        </w:tc>
        <w:tc>
          <w:tcPr>
            <w:tcW w:w="874" w:type="dxa"/>
            <w:noWrap/>
            <w:hideMark/>
          </w:tcPr>
          <w:p w14:paraId="511E470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7E03FB" w14:paraId="50EB4818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724354A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01010219</w:t>
            </w:r>
          </w:p>
        </w:tc>
        <w:tc>
          <w:tcPr>
            <w:tcW w:w="5738" w:type="dxa"/>
            <w:noWrap/>
            <w:hideMark/>
          </w:tcPr>
          <w:p w14:paraId="1C13A88B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Արտասահմանյան պաշտոնական գործուղումներ</w:t>
            </w:r>
          </w:p>
        </w:tc>
        <w:tc>
          <w:tcPr>
            <w:tcW w:w="1680" w:type="dxa"/>
            <w:noWrap/>
            <w:hideMark/>
          </w:tcPr>
          <w:p w14:paraId="3935AB8C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729.87</w:t>
            </w:r>
          </w:p>
        </w:tc>
        <w:tc>
          <w:tcPr>
            <w:tcW w:w="1680" w:type="dxa"/>
            <w:noWrap/>
            <w:hideMark/>
          </w:tcPr>
          <w:p w14:paraId="5B02E58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729.87</w:t>
            </w:r>
          </w:p>
        </w:tc>
        <w:tc>
          <w:tcPr>
            <w:tcW w:w="1680" w:type="dxa"/>
            <w:noWrap/>
            <w:hideMark/>
          </w:tcPr>
          <w:p w14:paraId="192CA42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729.87</w:t>
            </w:r>
          </w:p>
        </w:tc>
        <w:tc>
          <w:tcPr>
            <w:tcW w:w="1680" w:type="dxa"/>
            <w:noWrap/>
            <w:hideMark/>
          </w:tcPr>
          <w:p w14:paraId="60A1DE1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729.87</w:t>
            </w:r>
          </w:p>
        </w:tc>
        <w:tc>
          <w:tcPr>
            <w:tcW w:w="874" w:type="dxa"/>
            <w:noWrap/>
            <w:hideMark/>
          </w:tcPr>
          <w:p w14:paraId="3CD19FC6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7E03FB" w14:paraId="23A2AC24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6D39A066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01010206</w:t>
            </w:r>
          </w:p>
        </w:tc>
        <w:tc>
          <w:tcPr>
            <w:tcW w:w="5738" w:type="dxa"/>
            <w:noWrap/>
            <w:hideMark/>
          </w:tcPr>
          <w:p w14:paraId="56CB678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Գործադիր իշխանության, պետական կառավարման հանրապետական և տարածքային կառավարման մարմինների կարողությունների զարգացում</w:t>
            </w:r>
          </w:p>
        </w:tc>
        <w:tc>
          <w:tcPr>
            <w:tcW w:w="1680" w:type="dxa"/>
            <w:noWrap/>
            <w:hideMark/>
          </w:tcPr>
          <w:p w14:paraId="544FBD9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122A6836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FECA53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48B721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64A4DC4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7E03FB" w14:paraId="6288BCAC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32B2A497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01010210</w:t>
            </w:r>
          </w:p>
        </w:tc>
        <w:tc>
          <w:tcPr>
            <w:tcW w:w="5738" w:type="dxa"/>
            <w:noWrap/>
            <w:hideMark/>
          </w:tcPr>
          <w:p w14:paraId="0A610196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Էլեկտրոնային գնումների համակարգի տեխնիկական սպասարկում</w:t>
            </w:r>
          </w:p>
        </w:tc>
        <w:tc>
          <w:tcPr>
            <w:tcW w:w="1680" w:type="dxa"/>
            <w:noWrap/>
            <w:hideMark/>
          </w:tcPr>
          <w:p w14:paraId="46868AF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4,925.00</w:t>
            </w:r>
          </w:p>
        </w:tc>
        <w:tc>
          <w:tcPr>
            <w:tcW w:w="1680" w:type="dxa"/>
            <w:noWrap/>
            <w:hideMark/>
          </w:tcPr>
          <w:p w14:paraId="328E1DC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1118C19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DC7B27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71158B2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7E03FB" w14:paraId="347C94CD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32BAFA69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01010205</w:t>
            </w:r>
          </w:p>
        </w:tc>
        <w:tc>
          <w:tcPr>
            <w:tcW w:w="5738" w:type="dxa"/>
            <w:noWrap/>
            <w:hideMark/>
          </w:tcPr>
          <w:p w14:paraId="4A256583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Էլեկտրոնային գնումների համակարգի ներդրման գծով պետական պատվեր</w:t>
            </w:r>
          </w:p>
        </w:tc>
        <w:tc>
          <w:tcPr>
            <w:tcW w:w="1680" w:type="dxa"/>
            <w:noWrap/>
            <w:hideMark/>
          </w:tcPr>
          <w:p w14:paraId="17B4247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29,990.00</w:t>
            </w:r>
          </w:p>
        </w:tc>
        <w:tc>
          <w:tcPr>
            <w:tcW w:w="1680" w:type="dxa"/>
            <w:noWrap/>
            <w:hideMark/>
          </w:tcPr>
          <w:p w14:paraId="74E8975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18,430.53</w:t>
            </w:r>
          </w:p>
        </w:tc>
        <w:tc>
          <w:tcPr>
            <w:tcW w:w="1680" w:type="dxa"/>
            <w:noWrap/>
            <w:hideMark/>
          </w:tcPr>
          <w:p w14:paraId="1A02CCD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18,430.53</w:t>
            </w:r>
          </w:p>
        </w:tc>
        <w:tc>
          <w:tcPr>
            <w:tcW w:w="1680" w:type="dxa"/>
            <w:noWrap/>
            <w:hideMark/>
          </w:tcPr>
          <w:p w14:paraId="7878D45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18,430.53</w:t>
            </w:r>
          </w:p>
        </w:tc>
        <w:tc>
          <w:tcPr>
            <w:tcW w:w="874" w:type="dxa"/>
            <w:noWrap/>
            <w:hideMark/>
          </w:tcPr>
          <w:p w14:paraId="4E76894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61.46</w:t>
            </w:r>
          </w:p>
        </w:tc>
      </w:tr>
      <w:tr w:rsidR="00772766" w:rsidRPr="007E03FB" w14:paraId="1F79D159" w14:textId="77777777" w:rsidTr="00772766">
        <w:trPr>
          <w:trHeight w:val="285"/>
        </w:trPr>
        <w:tc>
          <w:tcPr>
            <w:tcW w:w="1269" w:type="dxa"/>
            <w:noWrap/>
            <w:hideMark/>
          </w:tcPr>
          <w:p w14:paraId="2A653E90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01060111</w:t>
            </w:r>
          </w:p>
        </w:tc>
        <w:tc>
          <w:tcPr>
            <w:tcW w:w="5738" w:type="dxa"/>
            <w:noWrap/>
            <w:hideMark/>
          </w:tcPr>
          <w:p w14:paraId="091DD5BC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ծրագիր</w:t>
            </w:r>
          </w:p>
        </w:tc>
        <w:tc>
          <w:tcPr>
            <w:tcW w:w="1680" w:type="dxa"/>
            <w:noWrap/>
            <w:hideMark/>
          </w:tcPr>
          <w:p w14:paraId="589D425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24071AE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F9F460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5C4EC3B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54B7851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7E03FB" w14:paraId="471B9429" w14:textId="77777777" w:rsidTr="00772766">
        <w:trPr>
          <w:trHeight w:val="971"/>
        </w:trPr>
        <w:tc>
          <w:tcPr>
            <w:tcW w:w="1269" w:type="dxa"/>
            <w:noWrap/>
            <w:hideMark/>
          </w:tcPr>
          <w:p w14:paraId="1F60FED4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01060125</w:t>
            </w:r>
          </w:p>
        </w:tc>
        <w:tc>
          <w:tcPr>
            <w:tcW w:w="5738" w:type="dxa"/>
            <w:noWrap/>
            <w:hideMark/>
          </w:tcPr>
          <w:p w14:paraId="671CC708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ծրագրի շրջանակներում շենքերի և շինությունների հիմնանորոգում</w:t>
            </w:r>
          </w:p>
        </w:tc>
        <w:tc>
          <w:tcPr>
            <w:tcW w:w="1680" w:type="dxa"/>
            <w:noWrap/>
            <w:hideMark/>
          </w:tcPr>
          <w:p w14:paraId="560C6AB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5664B5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0651B2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1D06DA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240AA2F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7E03FB" w14:paraId="5CD0140D" w14:textId="77777777" w:rsidTr="00772766">
        <w:trPr>
          <w:trHeight w:val="999"/>
        </w:trPr>
        <w:tc>
          <w:tcPr>
            <w:tcW w:w="1269" w:type="dxa"/>
            <w:noWrap/>
            <w:hideMark/>
          </w:tcPr>
          <w:p w14:paraId="080FB0FB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01060124</w:t>
            </w:r>
          </w:p>
        </w:tc>
        <w:tc>
          <w:tcPr>
            <w:tcW w:w="5738" w:type="dxa"/>
            <w:noWrap/>
            <w:hideMark/>
          </w:tcPr>
          <w:p w14:paraId="1D647E84" w14:textId="77777777" w:rsidR="0052331E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  <w:p w14:paraId="2883218C" w14:textId="77777777" w:rsidR="003949BD" w:rsidRDefault="003949BD" w:rsidP="00C60AA9">
            <w:pPr>
              <w:rPr>
                <w:sz w:val="20"/>
                <w:szCs w:val="20"/>
              </w:rPr>
            </w:pPr>
          </w:p>
          <w:p w14:paraId="1D7A268F" w14:textId="77777777" w:rsidR="003949BD" w:rsidRDefault="003949BD" w:rsidP="00C60AA9">
            <w:pPr>
              <w:rPr>
                <w:sz w:val="20"/>
                <w:szCs w:val="20"/>
              </w:rPr>
            </w:pPr>
          </w:p>
          <w:p w14:paraId="5D05369E" w14:textId="0CF49162" w:rsidR="003949BD" w:rsidRPr="00060B13" w:rsidRDefault="003949BD" w:rsidP="00C60A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2C0D3666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  <w:noWrap/>
            <w:hideMark/>
          </w:tcPr>
          <w:p w14:paraId="11ECA93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3F248BB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14:paraId="78115C39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noWrap/>
            <w:hideMark/>
          </w:tcPr>
          <w:p w14:paraId="4D0BE800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</w:t>
            </w:r>
          </w:p>
        </w:tc>
      </w:tr>
      <w:tr w:rsidR="00772766" w:rsidRPr="007E03FB" w14:paraId="337749D7" w14:textId="77777777" w:rsidTr="00772766">
        <w:trPr>
          <w:trHeight w:val="403"/>
        </w:trPr>
        <w:tc>
          <w:tcPr>
            <w:tcW w:w="1269" w:type="dxa"/>
            <w:noWrap/>
            <w:hideMark/>
          </w:tcPr>
          <w:p w14:paraId="359E1E93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lastRenderedPageBreak/>
              <w:t xml:space="preserve"> 10040110</w:t>
            </w:r>
          </w:p>
        </w:tc>
        <w:tc>
          <w:tcPr>
            <w:tcW w:w="5738" w:type="dxa"/>
            <w:noWrap/>
            <w:hideMark/>
          </w:tcPr>
          <w:p w14:paraId="0E07BDCE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Դատարանների կողմից նշանակված տույժեր և տուգանքներ</w:t>
            </w:r>
          </w:p>
        </w:tc>
        <w:tc>
          <w:tcPr>
            <w:tcW w:w="1680" w:type="dxa"/>
            <w:noWrap/>
            <w:hideMark/>
          </w:tcPr>
          <w:p w14:paraId="5A09377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1,236.50</w:t>
            </w:r>
          </w:p>
        </w:tc>
        <w:tc>
          <w:tcPr>
            <w:tcW w:w="1680" w:type="dxa"/>
            <w:noWrap/>
            <w:hideMark/>
          </w:tcPr>
          <w:p w14:paraId="2EA2A455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1,236.50</w:t>
            </w:r>
          </w:p>
        </w:tc>
        <w:tc>
          <w:tcPr>
            <w:tcW w:w="1680" w:type="dxa"/>
            <w:noWrap/>
            <w:hideMark/>
          </w:tcPr>
          <w:p w14:paraId="30871644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1,236.50</w:t>
            </w:r>
          </w:p>
        </w:tc>
        <w:tc>
          <w:tcPr>
            <w:tcW w:w="1680" w:type="dxa"/>
            <w:noWrap/>
            <w:hideMark/>
          </w:tcPr>
          <w:p w14:paraId="496DE9D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1,236.50</w:t>
            </w:r>
          </w:p>
        </w:tc>
        <w:tc>
          <w:tcPr>
            <w:tcW w:w="874" w:type="dxa"/>
            <w:noWrap/>
            <w:hideMark/>
          </w:tcPr>
          <w:p w14:paraId="18B0033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7E03FB" w14:paraId="070E76B1" w14:textId="77777777" w:rsidTr="00772766">
        <w:trPr>
          <w:trHeight w:val="1273"/>
        </w:trPr>
        <w:tc>
          <w:tcPr>
            <w:tcW w:w="1269" w:type="dxa"/>
            <w:noWrap/>
            <w:hideMark/>
          </w:tcPr>
          <w:p w14:paraId="02588B2F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01080101</w:t>
            </w:r>
          </w:p>
        </w:tc>
        <w:tc>
          <w:tcPr>
            <w:tcW w:w="5738" w:type="dxa"/>
            <w:noWrap/>
            <w:hideMark/>
          </w:tcPr>
          <w:p w14:paraId="19E047E5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Համայնքների բյուջեներին ֆինանսական համահարթեցման սկզբունքով դոտացիաների տրամադրում և Ազգային Ժողովի ընդունած օրենքների կիրարկման արդյունքում համայնքների բյուջեների եկամուտների կորուստների փոխհատուցում</w:t>
            </w:r>
          </w:p>
        </w:tc>
        <w:tc>
          <w:tcPr>
            <w:tcW w:w="1680" w:type="dxa"/>
            <w:noWrap/>
            <w:hideMark/>
          </w:tcPr>
          <w:p w14:paraId="4C32CA0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13,844,642.10</w:t>
            </w:r>
          </w:p>
        </w:tc>
        <w:tc>
          <w:tcPr>
            <w:tcW w:w="1680" w:type="dxa"/>
            <w:noWrap/>
            <w:hideMark/>
          </w:tcPr>
          <w:p w14:paraId="537E257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13,844,642.10</w:t>
            </w:r>
          </w:p>
        </w:tc>
        <w:tc>
          <w:tcPr>
            <w:tcW w:w="1680" w:type="dxa"/>
            <w:noWrap/>
            <w:hideMark/>
          </w:tcPr>
          <w:p w14:paraId="29714BA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13,844,642.10</w:t>
            </w:r>
          </w:p>
        </w:tc>
        <w:tc>
          <w:tcPr>
            <w:tcW w:w="1680" w:type="dxa"/>
            <w:noWrap/>
            <w:hideMark/>
          </w:tcPr>
          <w:p w14:paraId="7A6F5F2A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13,844,642.10</w:t>
            </w:r>
          </w:p>
        </w:tc>
        <w:tc>
          <w:tcPr>
            <w:tcW w:w="874" w:type="dxa"/>
            <w:noWrap/>
            <w:hideMark/>
          </w:tcPr>
          <w:p w14:paraId="1DA2BBE1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7E03FB" w14:paraId="2A340431" w14:textId="77777777" w:rsidTr="00772766">
        <w:trPr>
          <w:trHeight w:val="683"/>
        </w:trPr>
        <w:tc>
          <w:tcPr>
            <w:tcW w:w="1269" w:type="dxa"/>
            <w:noWrap/>
            <w:hideMark/>
          </w:tcPr>
          <w:p w14:paraId="50EC1082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0B422B83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1680" w:type="dxa"/>
            <w:noWrap/>
            <w:hideMark/>
          </w:tcPr>
          <w:p w14:paraId="048C03B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13,828,071.70</w:t>
            </w:r>
          </w:p>
        </w:tc>
        <w:tc>
          <w:tcPr>
            <w:tcW w:w="1680" w:type="dxa"/>
            <w:noWrap/>
            <w:hideMark/>
          </w:tcPr>
          <w:p w14:paraId="0A77C6D2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13,828,071.70</w:t>
            </w:r>
          </w:p>
        </w:tc>
        <w:tc>
          <w:tcPr>
            <w:tcW w:w="1680" w:type="dxa"/>
            <w:noWrap/>
            <w:hideMark/>
          </w:tcPr>
          <w:p w14:paraId="30132E5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13,828,071.70</w:t>
            </w:r>
          </w:p>
        </w:tc>
        <w:tc>
          <w:tcPr>
            <w:tcW w:w="1680" w:type="dxa"/>
            <w:noWrap/>
            <w:hideMark/>
          </w:tcPr>
          <w:p w14:paraId="6AE6C24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13,828,071.70</w:t>
            </w:r>
          </w:p>
        </w:tc>
        <w:tc>
          <w:tcPr>
            <w:tcW w:w="874" w:type="dxa"/>
            <w:noWrap/>
            <w:hideMark/>
          </w:tcPr>
          <w:p w14:paraId="31B93BB3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  <w:tr w:rsidR="00772766" w:rsidRPr="007E03FB" w14:paraId="6FD5F2ED" w14:textId="77777777" w:rsidTr="00772766">
        <w:trPr>
          <w:trHeight w:val="707"/>
        </w:trPr>
        <w:tc>
          <w:tcPr>
            <w:tcW w:w="1269" w:type="dxa"/>
            <w:noWrap/>
            <w:hideMark/>
          </w:tcPr>
          <w:p w14:paraId="28918E30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noWrap/>
            <w:hideMark/>
          </w:tcPr>
          <w:p w14:paraId="73089EBA" w14:textId="77777777" w:rsidR="0052331E" w:rsidRPr="00060B13" w:rsidRDefault="0052331E" w:rsidP="00C60AA9">
            <w:pPr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- Օրենքների կիրարկման արդյունքում համայնքների բյուջեների կորուստների փոխհատուցում</w:t>
            </w:r>
          </w:p>
        </w:tc>
        <w:tc>
          <w:tcPr>
            <w:tcW w:w="1680" w:type="dxa"/>
            <w:noWrap/>
            <w:hideMark/>
          </w:tcPr>
          <w:p w14:paraId="2CBE36DD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16,570.40</w:t>
            </w:r>
          </w:p>
        </w:tc>
        <w:tc>
          <w:tcPr>
            <w:tcW w:w="1680" w:type="dxa"/>
            <w:noWrap/>
            <w:hideMark/>
          </w:tcPr>
          <w:p w14:paraId="184B8857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16,570.40</w:t>
            </w:r>
          </w:p>
        </w:tc>
        <w:tc>
          <w:tcPr>
            <w:tcW w:w="1680" w:type="dxa"/>
            <w:noWrap/>
            <w:hideMark/>
          </w:tcPr>
          <w:p w14:paraId="24BA3318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16,570.40</w:t>
            </w:r>
          </w:p>
        </w:tc>
        <w:tc>
          <w:tcPr>
            <w:tcW w:w="1680" w:type="dxa"/>
            <w:noWrap/>
            <w:hideMark/>
          </w:tcPr>
          <w:p w14:paraId="1646F01F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16,570.40</w:t>
            </w:r>
          </w:p>
        </w:tc>
        <w:tc>
          <w:tcPr>
            <w:tcW w:w="874" w:type="dxa"/>
            <w:noWrap/>
            <w:hideMark/>
          </w:tcPr>
          <w:p w14:paraId="3A7684EB" w14:textId="77777777" w:rsidR="0052331E" w:rsidRPr="00060B13" w:rsidRDefault="0052331E" w:rsidP="00060B13">
            <w:pPr>
              <w:jc w:val="right"/>
              <w:rPr>
                <w:sz w:val="20"/>
                <w:szCs w:val="20"/>
              </w:rPr>
            </w:pPr>
            <w:r w:rsidRPr="00060B13">
              <w:rPr>
                <w:sz w:val="20"/>
                <w:szCs w:val="20"/>
              </w:rPr>
              <w:t>100.00</w:t>
            </w:r>
          </w:p>
        </w:tc>
      </w:tr>
    </w:tbl>
    <w:p w14:paraId="7DD559D7" w14:textId="77777777" w:rsidR="0052331E" w:rsidRPr="007E03FB" w:rsidRDefault="0052331E" w:rsidP="00C60AA9"/>
    <w:p w14:paraId="7CE49519" w14:textId="77777777" w:rsidR="0052331E" w:rsidRPr="007E03FB" w:rsidRDefault="0052331E" w:rsidP="00C60AA9">
      <w:pPr>
        <w:sectPr w:rsidR="0052331E" w:rsidRPr="007E03FB" w:rsidSect="000D1835">
          <w:pgSz w:w="15840" w:h="12240" w:orient="landscape"/>
          <w:pgMar w:top="1298" w:right="862" w:bottom="1298" w:left="862" w:header="720" w:footer="720" w:gutter="0"/>
          <w:cols w:space="720"/>
          <w:docGrid w:linePitch="360"/>
        </w:sectPr>
      </w:pPr>
    </w:p>
    <w:p w14:paraId="6838D3FE" w14:textId="0B2F4971" w:rsidR="0052331E" w:rsidRPr="007E03FB" w:rsidRDefault="0052331E" w:rsidP="00B60C3E">
      <w:pPr>
        <w:pStyle w:val="Heading3"/>
        <w:numPr>
          <w:ilvl w:val="0"/>
          <w:numId w:val="7"/>
        </w:numPr>
      </w:pPr>
      <w:bookmarkStart w:id="7" w:name="_Toc47020597"/>
      <w:r w:rsidRPr="007E03FB">
        <w:lastRenderedPageBreak/>
        <w:t xml:space="preserve">ԳՈՐԾԱԴԻՐ ԻՇԽԱՆՈՒԹՅԱՆ, ՊԵՏԱԿԱՆ ԿԱՌԱՎԱՐՄԱՆ ՀԱՆՐԱՊԵՏԱԿԱՆ </w:t>
      </w:r>
      <w:r w:rsidR="00195B8B">
        <w:t>ԵՎ</w:t>
      </w:r>
      <w:r w:rsidRPr="007E03FB">
        <w:t xml:space="preserve"> ՏԱՐԱԾՔԱՅԻՆ ԿԱՌԱՎԱՐՄԱՆ ՄԱՐՄԻՆՆԵՐԻ ՊԱՀՊԱՆՈՒՄ</w:t>
      </w:r>
      <w:bookmarkEnd w:id="7"/>
    </w:p>
    <w:p w14:paraId="6729B779" w14:textId="77777777" w:rsidR="0052331E" w:rsidRPr="007E03FB" w:rsidRDefault="0052331E" w:rsidP="00C60AA9"/>
    <w:p w14:paraId="467094FE" w14:textId="77777777" w:rsidR="0052331E" w:rsidRPr="007E03FB" w:rsidRDefault="0052331E" w:rsidP="00C60AA9">
      <w:r w:rsidRPr="007E03FB">
        <w:tab/>
        <w:t>«Գործադիր իշխանության, պետական կառավարման հանրապետական և տարածքային կառավարման մարմինների պահպանում» ծրագրի շրջանակներում 2020թ. տարեկան ծախսերի համար 2020թ. պետական բյուջեով նախատեսվել է 2,495,967.9 հազ.դրամ գումար, 2020թ. առաջին եռամսյակի պլանը կազմել է 474,177.8 հազ.դրամ, նույնքան էլ ճշտված պլանը, դրամարկղի ծախսը՝ 414,397.7 հազ.դրամ, ճշտված պլանի և դրամարկղի ծախսի տարբերությունը՝ 59,780.1 հազ.դրամ:</w:t>
      </w:r>
    </w:p>
    <w:p w14:paraId="6810ADA9" w14:textId="77777777" w:rsidR="0052331E" w:rsidRPr="007E03FB" w:rsidRDefault="0052331E" w:rsidP="00593C68">
      <w:pPr>
        <w:pStyle w:val="ListParagraph"/>
        <w:ind w:left="0"/>
      </w:pPr>
      <w:r w:rsidRPr="007E03FB">
        <w:tab/>
        <w:t>Նշված ծրագրի շրջանակներում ծախսերն ունեն հետևյալ կատարողականները.</w:t>
      </w:r>
    </w:p>
    <w:p w14:paraId="62E320FB" w14:textId="77777777" w:rsidR="0052331E" w:rsidRPr="004A7335" w:rsidRDefault="0052331E" w:rsidP="004A7335">
      <w:pPr>
        <w:spacing w:after="0"/>
        <w:jc w:val="right"/>
        <w:rPr>
          <w:rFonts w:cs="Sylfaen"/>
          <w:sz w:val="22"/>
          <w:szCs w:val="22"/>
        </w:rPr>
      </w:pPr>
      <w:r w:rsidRPr="004A7335">
        <w:rPr>
          <w:sz w:val="20"/>
          <w:szCs w:val="20"/>
        </w:rPr>
        <w:t>(Աղյուսակ 8)</w:t>
      </w:r>
    </w:p>
    <w:p w14:paraId="3E752F4D" w14:textId="77777777" w:rsidR="0052331E" w:rsidRPr="004A7335" w:rsidRDefault="0052331E" w:rsidP="004A7335">
      <w:pPr>
        <w:pStyle w:val="ListParagraph"/>
        <w:spacing w:after="0"/>
        <w:jc w:val="right"/>
        <w:rPr>
          <w:sz w:val="20"/>
          <w:szCs w:val="20"/>
        </w:rPr>
      </w:pPr>
      <w:r w:rsidRPr="004A7335">
        <w:rPr>
          <w:sz w:val="20"/>
          <w:szCs w:val="20"/>
        </w:rPr>
        <w:t xml:space="preserve"> հազ.դրամ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423"/>
        <w:gridCol w:w="1417"/>
        <w:gridCol w:w="1276"/>
        <w:gridCol w:w="1271"/>
      </w:tblGrid>
      <w:tr w:rsidR="0052331E" w:rsidRPr="004A7335" w14:paraId="02C33007" w14:textId="77777777" w:rsidTr="00A57922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68F4" w14:textId="459DED79" w:rsidR="0052331E" w:rsidRPr="00234406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>Ծրագիր (հոդված)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1329" w14:textId="56AC1219" w:rsidR="0052331E" w:rsidRPr="00234406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>2020թ. առաջին եռամսյակի ճշտված պլան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E069" w14:textId="77777777" w:rsidR="0052331E" w:rsidRPr="00234406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>Ֆինանսավորում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01827" w14:textId="77777777" w:rsidR="0052331E" w:rsidRPr="00234406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>Դրամարկղի ծախսը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B5B51" w14:textId="223F2C70" w:rsidR="0052331E" w:rsidRPr="00234406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>Փաստացի ծախս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39BE" w14:textId="77777777" w:rsidR="0052331E" w:rsidRPr="00234406" w:rsidRDefault="0052331E" w:rsidP="00A5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06">
              <w:rPr>
                <w:b/>
                <w:bCs/>
                <w:sz w:val="20"/>
                <w:szCs w:val="20"/>
              </w:rPr>
              <w:t xml:space="preserve">Կատարման %-ը </w:t>
            </w:r>
            <w:r w:rsidRPr="00234406">
              <w:rPr>
                <w:b/>
                <w:bCs/>
                <w:sz w:val="20"/>
                <w:szCs w:val="20"/>
              </w:rPr>
              <w:br/>
              <w:t>6=4/2 x100%</w:t>
            </w:r>
          </w:p>
        </w:tc>
      </w:tr>
      <w:tr w:rsidR="0052331E" w:rsidRPr="004A7335" w14:paraId="1BEC84CC" w14:textId="77777777" w:rsidTr="00A57922">
        <w:trPr>
          <w:trHeight w:val="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35B7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777AA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787E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5B67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7254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00A6" w14:textId="77777777" w:rsidR="0052331E" w:rsidRPr="00F34C63" w:rsidRDefault="0052331E" w:rsidP="004A733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C6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331E" w:rsidRPr="004A7335" w14:paraId="6DB3EC30" w14:textId="77777777" w:rsidTr="00A57922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4B31" w14:textId="77777777" w:rsidR="0052331E" w:rsidRPr="004A7335" w:rsidRDefault="0052331E" w:rsidP="00C60AA9">
            <w:pPr>
              <w:rPr>
                <w:sz w:val="16"/>
                <w:szCs w:val="16"/>
              </w:rPr>
            </w:pPr>
            <w:r w:rsidRPr="004A7335">
              <w:rPr>
                <w:sz w:val="20"/>
                <w:szCs w:val="20"/>
              </w:rPr>
              <w:t>Ընդամենը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482C5" w14:textId="77777777" w:rsidR="0052331E" w:rsidRPr="004A7335" w:rsidRDefault="0052331E" w:rsidP="00675BE5">
            <w:pPr>
              <w:ind w:right="11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474,177.80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9B5F4" w14:textId="77777777" w:rsidR="0052331E" w:rsidRPr="004A7335" w:rsidRDefault="0052331E" w:rsidP="00675BE5">
            <w:pPr>
              <w:ind w:right="133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454,007.89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62B2F" w14:textId="77777777" w:rsidR="0052331E" w:rsidRPr="004A7335" w:rsidRDefault="0052331E" w:rsidP="00675BE5">
            <w:pPr>
              <w:ind w:left="-20" w:right="12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414,397.69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35FE0" w14:textId="77777777" w:rsidR="0052331E" w:rsidRPr="004A7335" w:rsidRDefault="0052331E" w:rsidP="00675BE5">
            <w:pPr>
              <w:ind w:right="84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516,117.75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1D7E3" w14:textId="77777777" w:rsidR="0052331E" w:rsidRPr="004A7335" w:rsidRDefault="0052331E" w:rsidP="00675BE5">
            <w:pPr>
              <w:ind w:right="121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87.39</w:t>
            </w:r>
          </w:p>
        </w:tc>
      </w:tr>
      <w:tr w:rsidR="0052331E" w:rsidRPr="004A7335" w14:paraId="7630CA76" w14:textId="77777777" w:rsidTr="00A5792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DA4" w14:textId="77777777" w:rsidR="0052331E" w:rsidRPr="004A7335" w:rsidRDefault="0052331E" w:rsidP="00C60AA9">
            <w:pPr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Աշխատանքի վարձատրություն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17E52" w14:textId="77777777" w:rsidR="0052331E" w:rsidRPr="004A7335" w:rsidRDefault="0052331E" w:rsidP="00675BE5">
            <w:pPr>
              <w:ind w:right="11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437,270.70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81682" w14:textId="77777777" w:rsidR="0052331E" w:rsidRPr="004A7335" w:rsidRDefault="0052331E" w:rsidP="00675BE5">
            <w:pPr>
              <w:ind w:right="133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437,270.70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469D9" w14:textId="77777777" w:rsidR="0052331E" w:rsidRPr="004A7335" w:rsidRDefault="0052331E" w:rsidP="00675BE5">
            <w:pPr>
              <w:ind w:left="-20" w:right="12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400,630.90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D5D9B" w14:textId="77777777" w:rsidR="0052331E" w:rsidRPr="004A7335" w:rsidRDefault="0052331E" w:rsidP="00675BE5">
            <w:pPr>
              <w:ind w:right="84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498,373.96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CF0DB" w14:textId="77777777" w:rsidR="0052331E" w:rsidRPr="004A7335" w:rsidRDefault="0052331E" w:rsidP="00675BE5">
            <w:pPr>
              <w:ind w:right="121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91.62</w:t>
            </w:r>
          </w:p>
        </w:tc>
      </w:tr>
      <w:tr w:rsidR="0052331E" w:rsidRPr="004A7335" w14:paraId="64CFFE26" w14:textId="77777777" w:rsidTr="00A57922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06F4" w14:textId="77777777" w:rsidR="0052331E" w:rsidRPr="004A7335" w:rsidRDefault="0052331E" w:rsidP="00755974">
            <w:pPr>
              <w:jc w:val="lef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BA2AC" w14:textId="77777777" w:rsidR="0052331E" w:rsidRPr="004A7335" w:rsidRDefault="0052331E" w:rsidP="00675BE5">
            <w:pPr>
              <w:ind w:right="11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21,056.68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C66C5" w14:textId="77777777" w:rsidR="0052331E" w:rsidRPr="004A7335" w:rsidRDefault="0052331E" w:rsidP="00675BE5">
            <w:pPr>
              <w:ind w:right="133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4,714.09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F5595" w14:textId="77777777" w:rsidR="0052331E" w:rsidRPr="004A7335" w:rsidRDefault="0052331E" w:rsidP="00675BE5">
            <w:pPr>
              <w:ind w:left="-20" w:right="12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4,714.09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2E994" w14:textId="77777777" w:rsidR="0052331E" w:rsidRPr="004A7335" w:rsidRDefault="0052331E" w:rsidP="00675BE5">
            <w:pPr>
              <w:ind w:right="84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7,752.71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7B24E" w14:textId="77777777" w:rsidR="0052331E" w:rsidRPr="004A7335" w:rsidRDefault="0052331E" w:rsidP="00675BE5">
            <w:pPr>
              <w:ind w:right="121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22.39</w:t>
            </w:r>
          </w:p>
        </w:tc>
      </w:tr>
      <w:tr w:rsidR="0052331E" w:rsidRPr="004A7335" w14:paraId="46C4A2BE" w14:textId="77777777" w:rsidTr="00A5792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F144" w14:textId="77777777" w:rsidR="0052331E" w:rsidRPr="004A7335" w:rsidRDefault="0052331E" w:rsidP="00C60AA9">
            <w:pPr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Այլ 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58209" w14:textId="77777777" w:rsidR="0052331E" w:rsidRPr="004A7335" w:rsidRDefault="0052331E" w:rsidP="00675BE5">
            <w:pPr>
              <w:ind w:right="11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15,850.42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8649" w14:textId="77777777" w:rsidR="0052331E" w:rsidRPr="004A7335" w:rsidRDefault="0052331E" w:rsidP="00675BE5">
            <w:pPr>
              <w:ind w:right="133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12,023.1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E7177" w14:textId="77777777" w:rsidR="0052331E" w:rsidRPr="004A7335" w:rsidRDefault="0052331E" w:rsidP="00675BE5">
            <w:pPr>
              <w:ind w:left="-20" w:right="127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9,052.7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3BEFF" w14:textId="77777777" w:rsidR="0052331E" w:rsidRPr="004A7335" w:rsidRDefault="0052331E" w:rsidP="00675BE5">
            <w:pPr>
              <w:ind w:right="84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9,991.08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2EB2A" w14:textId="77777777" w:rsidR="0052331E" w:rsidRPr="004A7335" w:rsidRDefault="0052331E" w:rsidP="00675BE5">
            <w:pPr>
              <w:ind w:right="121"/>
              <w:jc w:val="right"/>
              <w:rPr>
                <w:sz w:val="20"/>
                <w:szCs w:val="20"/>
              </w:rPr>
            </w:pPr>
            <w:r w:rsidRPr="004A7335">
              <w:rPr>
                <w:sz w:val="20"/>
                <w:szCs w:val="20"/>
              </w:rPr>
              <w:t>57.11</w:t>
            </w:r>
          </w:p>
        </w:tc>
      </w:tr>
    </w:tbl>
    <w:p w14:paraId="4F5AF67D" w14:textId="77777777" w:rsidR="00612260" w:rsidRDefault="00612260" w:rsidP="00AB41C4">
      <w:pPr>
        <w:pStyle w:val="ListParagraph"/>
        <w:ind w:left="0" w:firstLine="567"/>
      </w:pPr>
    </w:p>
    <w:p w14:paraId="35CCE6C9" w14:textId="44ACECCE" w:rsidR="0052331E" w:rsidRPr="007E03FB" w:rsidRDefault="00E51231" w:rsidP="00E51231">
      <w:pPr>
        <w:pStyle w:val="ListParagraph"/>
        <w:ind w:left="0"/>
        <w:rPr>
          <w:strike/>
          <w:color w:val="FF0000"/>
        </w:rPr>
      </w:pPr>
      <w:r>
        <w:tab/>
      </w:r>
      <w:r w:rsidR="0052331E" w:rsidRPr="007E03FB">
        <w:t xml:space="preserve">Աշխատանքի վարձատրության գծով փաստացի ծախսը կազմել է </w:t>
      </w:r>
      <w:r w:rsidR="0052331E" w:rsidRPr="007E03FB">
        <w:rPr>
          <w:b/>
          <w:bCs/>
          <w:u w:val="single"/>
        </w:rPr>
        <w:t>498,373.96</w:t>
      </w:r>
      <w:r w:rsidR="0052331E" w:rsidRPr="007E03FB">
        <w:t xml:space="preserve"> </w:t>
      </w:r>
      <w:r w:rsidR="0052331E" w:rsidRPr="007E03FB">
        <w:rPr>
          <w:b/>
          <w:bCs/>
          <w:u w:val="single"/>
        </w:rPr>
        <w:t>հազ. դրամ</w:t>
      </w:r>
      <w:r w:rsidR="0052331E" w:rsidRPr="007E03FB">
        <w:t xml:space="preserve">, դրամարկղի ծախսը՝ </w:t>
      </w:r>
      <w:r w:rsidR="0052331E" w:rsidRPr="007E03FB">
        <w:rPr>
          <w:b/>
          <w:bCs/>
          <w:u w:val="single"/>
        </w:rPr>
        <w:t>400,630.9 հազ. դրամ</w:t>
      </w:r>
      <w:r w:rsidR="0052331E" w:rsidRPr="007E03FB">
        <w:t xml:space="preserve">, աշխատանքի վարձատրության մասով առաջին եռամսյակի վերջի դրությամբ կրեդիտորական պարտքը կազմում է </w:t>
      </w:r>
      <w:r w:rsidR="0052331E" w:rsidRPr="007E03FB">
        <w:rPr>
          <w:b/>
          <w:u w:val="single"/>
        </w:rPr>
        <w:t>97,229.51 հազ. դրամ</w:t>
      </w:r>
      <w:r w:rsidR="0052331E" w:rsidRPr="007E03FB">
        <w:t>։</w:t>
      </w:r>
    </w:p>
    <w:p w14:paraId="10BE7B06" w14:textId="39056FBB" w:rsidR="0052331E" w:rsidRPr="007E03FB" w:rsidRDefault="00E51231" w:rsidP="00E51231">
      <w:pPr>
        <w:pStyle w:val="ListParagraph"/>
        <w:ind w:left="0"/>
      </w:pPr>
      <w:r>
        <w:tab/>
      </w:r>
      <w:r w:rsidR="0052331E" w:rsidRPr="007E03FB">
        <w:t>Աշխատանքի վարձատրության գծով ծախսի (դրամարկղի ծախսի) կատարողականը կազմել է 91.62 տոկոս, ծառայությունների և ապրանքների ձեռքբերումների և այլ ծախսերի գծով ծախսերի կատարողականները համապատասխանաբար կազմել են 22.39 տոկոս և 57.11 տոկոս։</w:t>
      </w:r>
    </w:p>
    <w:p w14:paraId="7682577D" w14:textId="190FDC1A" w:rsidR="0052331E" w:rsidRDefault="0052331E" w:rsidP="00E51231">
      <w:pPr>
        <w:pStyle w:val="ListParagraph"/>
        <w:ind w:left="0"/>
      </w:pPr>
      <w:r w:rsidRPr="007E03FB">
        <w:lastRenderedPageBreak/>
        <w:tab/>
        <w:t>Եռամսյակի ճշտված պլանի համեմատ տարբերությունը հիմնականում պայմանավորված է մարտ ամսին նախատեսված որոշ ապրանքների և ծառայությունների ձեռքբերման մրցույթների՝ COVID-19-ի հետևանքով հետաձգվելու հանգամանքով:</w:t>
      </w:r>
    </w:p>
    <w:p w14:paraId="107B93E9" w14:textId="77777777" w:rsidR="00AB41C4" w:rsidRPr="007E03FB" w:rsidRDefault="00AB41C4" w:rsidP="00AB41C4">
      <w:pPr>
        <w:pStyle w:val="ListParagraph"/>
        <w:ind w:left="0"/>
      </w:pPr>
    </w:p>
    <w:p w14:paraId="01634D1A" w14:textId="39151225" w:rsidR="0052331E" w:rsidRPr="007E03FB" w:rsidRDefault="0052331E" w:rsidP="004F4A47">
      <w:pPr>
        <w:pStyle w:val="Heading3"/>
        <w:numPr>
          <w:ilvl w:val="0"/>
          <w:numId w:val="16"/>
        </w:numPr>
      </w:pPr>
      <w:bookmarkStart w:id="8" w:name="_Toc47020598"/>
      <w:r w:rsidRPr="007E03FB">
        <w:t>ԿԱՌԱՎԱՐՈՒԹՅԱՆ ՊԱՐՏՔԻ ՍՊԱՍԱՐԿՈՒՄ</w:t>
      </w:r>
      <w:bookmarkEnd w:id="8"/>
    </w:p>
    <w:p w14:paraId="59918721" w14:textId="77777777" w:rsidR="0052331E" w:rsidRPr="007E03FB" w:rsidRDefault="0052331E" w:rsidP="00C60AA9">
      <w:pPr>
        <w:pStyle w:val="ListParagraph"/>
      </w:pPr>
    </w:p>
    <w:p w14:paraId="3EF9EF08" w14:textId="77777777" w:rsidR="0052331E" w:rsidRPr="007E03FB" w:rsidRDefault="0052331E" w:rsidP="00C60AA9">
      <w:r w:rsidRPr="007E03FB">
        <w:rPr>
          <w:rFonts w:cs="Sylfaen"/>
        </w:rPr>
        <w:tab/>
        <w:t>«</w:t>
      </w:r>
      <w:r w:rsidRPr="007E03FB">
        <w:t>Կառավարության պարտքի սպասարկում» ծրագրի շրջանակներում 2020թ. տարեկան ծախսերի համար 2020թ. պետական բյուջեով նախատեսվել է 168,023,209.15 հազ.դրամ գումար, 2020թ. առաջին եռամսյակի պլանը կազմել է 38,589,543.83 հազ.դրամ, նույնքան էլ ճշտված պլանը, դրամարկղի ծախսը՝ 37,754,655.55 հազ.դրամ, ճշտված պլանի և դրամարկղի ծախսի տարբերությունը՝ 834,888.28 հազ.դրամ:</w:t>
      </w:r>
    </w:p>
    <w:p w14:paraId="1553D662" w14:textId="77777777" w:rsidR="0052331E" w:rsidRPr="007E03FB" w:rsidRDefault="0052331E" w:rsidP="00C60AA9">
      <w:r w:rsidRPr="007E03FB">
        <w:tab/>
        <w:t>Նշված ծրագրի շրջանակներում ծախսերը ունեն հետևյալ կատարողականները.</w:t>
      </w:r>
    </w:p>
    <w:p w14:paraId="4C542439" w14:textId="77777777" w:rsidR="0052331E" w:rsidRPr="00AB41C4" w:rsidRDefault="0052331E" w:rsidP="00AB41C4">
      <w:pPr>
        <w:spacing w:after="0"/>
        <w:jc w:val="right"/>
        <w:rPr>
          <w:sz w:val="20"/>
          <w:szCs w:val="20"/>
        </w:rPr>
      </w:pPr>
      <w:r w:rsidRPr="00AB41C4">
        <w:rPr>
          <w:sz w:val="20"/>
          <w:szCs w:val="20"/>
        </w:rPr>
        <w:t>(Աղյուսակ 9)</w:t>
      </w:r>
    </w:p>
    <w:p w14:paraId="52FE8881" w14:textId="77777777" w:rsidR="0052331E" w:rsidRPr="00AB41C4" w:rsidRDefault="0052331E" w:rsidP="00AB41C4">
      <w:pPr>
        <w:pStyle w:val="ListParagraph"/>
        <w:spacing w:after="0"/>
        <w:jc w:val="right"/>
        <w:rPr>
          <w:sz w:val="20"/>
          <w:szCs w:val="20"/>
        </w:rPr>
      </w:pPr>
      <w:r w:rsidRPr="00AB41C4">
        <w:rPr>
          <w:sz w:val="20"/>
          <w:szCs w:val="20"/>
        </w:rPr>
        <w:t>Հազ. դրամ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560"/>
        <w:gridCol w:w="1559"/>
        <w:gridCol w:w="1417"/>
      </w:tblGrid>
      <w:tr w:rsidR="0052331E" w:rsidRPr="00AB41C4" w14:paraId="560E2583" w14:textId="77777777" w:rsidTr="005C2E51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8FD" w14:textId="5CD930D5" w:rsidR="0052331E" w:rsidRPr="004C7F77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 xml:space="preserve">Ծրագիր </w:t>
            </w:r>
            <w:r w:rsidRPr="004C7F77">
              <w:rPr>
                <w:b/>
                <w:bCs/>
                <w:sz w:val="20"/>
                <w:szCs w:val="20"/>
                <w:lang w:eastAsia="ru-RU"/>
              </w:rPr>
              <w:t>(հ</w:t>
            </w: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>ոդված</w:t>
            </w:r>
            <w:r w:rsidRPr="004C7F77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982" w14:textId="13333AEA" w:rsidR="0052331E" w:rsidRPr="004C7F77" w:rsidRDefault="0052331E" w:rsidP="005C2E51">
            <w:pPr>
              <w:ind w:left="-113" w:right="-11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>2020թ. առաջին եռամսյակի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185" w14:textId="77777777" w:rsidR="0052331E" w:rsidRPr="004C7F77" w:rsidRDefault="0052331E" w:rsidP="005C2E51">
            <w:pPr>
              <w:ind w:left="-107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>Ֆինանսավորում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E97" w14:textId="77777777" w:rsidR="0052331E" w:rsidRPr="004C7F77" w:rsidRDefault="0052331E" w:rsidP="000D183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F77">
              <w:rPr>
                <w:b/>
                <w:bCs/>
                <w:sz w:val="20"/>
                <w:szCs w:val="20"/>
                <w:lang w:eastAsia="ru-RU"/>
              </w:rPr>
              <w:t>Դրամարկղային ծախս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9AF" w14:textId="2F67ED30" w:rsidR="0052331E" w:rsidRPr="004C7F77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>Փաստացի ծախս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ED2" w14:textId="41031D89" w:rsidR="0052331E" w:rsidRPr="004C7F77" w:rsidRDefault="0052331E" w:rsidP="005C2E51">
            <w:pPr>
              <w:ind w:left="-102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7F77">
              <w:rPr>
                <w:b/>
                <w:bCs/>
                <w:sz w:val="20"/>
                <w:szCs w:val="20"/>
                <w:lang w:eastAsia="ru-RU"/>
              </w:rPr>
              <w:t>Կ</w:t>
            </w: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t xml:space="preserve">ատարման %-ը </w:t>
            </w:r>
            <w:r w:rsidRPr="004C7F77">
              <w:rPr>
                <w:b/>
                <w:bCs/>
                <w:sz w:val="20"/>
                <w:szCs w:val="20"/>
                <w:lang w:val="ru-RU" w:eastAsia="ru-RU"/>
              </w:rPr>
              <w:br/>
              <w:t>6=4/2 x100%</w:t>
            </w:r>
          </w:p>
        </w:tc>
      </w:tr>
      <w:tr w:rsidR="0052331E" w:rsidRPr="00AB41C4" w14:paraId="3B350C02" w14:textId="77777777" w:rsidTr="005C2E51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768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24C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EA4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C08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2AC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C50" w14:textId="77777777" w:rsidR="0052331E" w:rsidRPr="004C169B" w:rsidRDefault="0052331E" w:rsidP="000D183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169B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52331E" w:rsidRPr="00AB41C4" w14:paraId="18EB0601" w14:textId="77777777" w:rsidTr="005C2E51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57C" w14:textId="77777777" w:rsidR="0052331E" w:rsidRPr="00AB41C4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E14D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38,589,543.83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3F89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37,754,655.56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2849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37,754,655.55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573B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37,754,655.55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3CB0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97.84</w:t>
            </w:r>
          </w:p>
        </w:tc>
      </w:tr>
      <w:tr w:rsidR="0052331E" w:rsidRPr="00AB41C4" w14:paraId="0FAF1681" w14:textId="77777777" w:rsidTr="005C2E51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1495" w14:textId="77777777" w:rsidR="0052331E" w:rsidRPr="00AB41C4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Ներքին արժեթղթերի տոկոսավճարներ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3ECA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13,928,112.40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C119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13,903,626.60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D45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13,903,626.60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AF4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13,903,626.60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8925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eastAsia="ru-RU"/>
              </w:rPr>
            </w:pPr>
            <w:r w:rsidRPr="00AB41C4">
              <w:rPr>
                <w:sz w:val="20"/>
                <w:szCs w:val="20"/>
                <w:lang w:eastAsia="ru-RU"/>
              </w:rPr>
              <w:t>99.82</w:t>
            </w:r>
          </w:p>
        </w:tc>
      </w:tr>
      <w:tr w:rsidR="0052331E" w:rsidRPr="00AB41C4" w14:paraId="7530899C" w14:textId="77777777" w:rsidTr="005C2E51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FFF8" w14:textId="77777777" w:rsidR="0052331E" w:rsidRPr="00AB41C4" w:rsidRDefault="0052331E" w:rsidP="00A47FEE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Արտաքին վարկերի գծով տոկոսավճարներ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B445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24,661,431.40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97A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23,851,028.96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211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23,851,028.95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A5C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B41C4">
              <w:rPr>
                <w:sz w:val="20"/>
                <w:szCs w:val="20"/>
                <w:lang w:val="ru-RU" w:eastAsia="ru-RU"/>
              </w:rPr>
              <w:t>23,851,028.95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807F" w14:textId="77777777" w:rsidR="0052331E" w:rsidRPr="00AB41C4" w:rsidRDefault="0052331E" w:rsidP="00447750">
            <w:pPr>
              <w:jc w:val="right"/>
              <w:rPr>
                <w:sz w:val="20"/>
                <w:szCs w:val="20"/>
                <w:lang w:eastAsia="ru-RU"/>
              </w:rPr>
            </w:pPr>
            <w:r w:rsidRPr="00AB41C4">
              <w:rPr>
                <w:sz w:val="20"/>
                <w:szCs w:val="20"/>
                <w:lang w:eastAsia="ru-RU"/>
              </w:rPr>
              <w:t>96.71</w:t>
            </w:r>
          </w:p>
        </w:tc>
      </w:tr>
    </w:tbl>
    <w:p w14:paraId="621C2114" w14:textId="77777777" w:rsidR="0052331E" w:rsidRPr="007E03FB" w:rsidRDefault="0052331E" w:rsidP="00C60AA9">
      <w:pPr>
        <w:pStyle w:val="ListParagraph"/>
      </w:pPr>
    </w:p>
    <w:p w14:paraId="6C2DDC65" w14:textId="77777777" w:rsidR="0052331E" w:rsidRDefault="0052331E" w:rsidP="00C60AA9"/>
    <w:p w14:paraId="366D109E" w14:textId="77777777" w:rsidR="0052331E" w:rsidRPr="007E03FB" w:rsidRDefault="0052331E" w:rsidP="00C60AA9">
      <w:r w:rsidRPr="007E03FB">
        <w:tab/>
        <w:t>Ծրագրի շրջանակներում պետական գանձապետական պարտատոմսերի սպասարկման մասով ունենք թերակատարում 24,485.8 հազ. դրամի չափով։ Թերակատարումը ֆինանսների նախարարության կողմից մեծամասամբ պայմանավորվել է կատարված կանխատեսման և փաստացի եկամտաբերության տարբերությամբ։</w:t>
      </w:r>
    </w:p>
    <w:p w14:paraId="1123560B" w14:textId="35F53402" w:rsidR="0052331E" w:rsidRPr="007E03FB" w:rsidRDefault="0052331E" w:rsidP="00C60AA9">
      <w:r w:rsidRPr="007E03FB">
        <w:lastRenderedPageBreak/>
        <w:tab/>
        <w:t>Արտաքին աղբյուրներից ստացված վարկերի սպասարկման մասով ստացվել է 810,402.48 հազ. դրամի թերակատարում, որը Նախարարության կողմից մեկնաբանվում է  6-ամսյա ԱՄՆ դոլարի LIBOR, 6-ամսյա EURIBOR կանխատեսումային դրույքաչափերի և 2020 թվականի առաջին եռամսյակի վճարումների համար կիրառված փաստացի դրույքաչափերի տարբերության հանգամանքով, ինչպես նաև մի շարք վարկերի գծով մասհանումների պլանային ցուցանիշների էական թերակատարումներով։</w:t>
      </w:r>
    </w:p>
    <w:p w14:paraId="13A892E7" w14:textId="77777777" w:rsidR="0052331E" w:rsidRPr="007E03FB" w:rsidRDefault="0052331E" w:rsidP="00C60AA9"/>
    <w:p w14:paraId="45187685" w14:textId="1AD90912" w:rsidR="0052331E" w:rsidRDefault="00196822" w:rsidP="00C60AA9">
      <w:r>
        <w:tab/>
      </w:r>
      <w:r w:rsidR="0052331E" w:rsidRPr="007E03FB">
        <w:t>2019</w:t>
      </w:r>
      <w:r w:rsidR="0052331E">
        <w:t xml:space="preserve"> </w:t>
      </w:r>
      <w:r w:rsidR="0052331E" w:rsidRPr="007E03FB">
        <w:t>թվականի</w:t>
      </w:r>
      <w:r w:rsidR="0052331E">
        <w:t xml:space="preserve"> </w:t>
      </w:r>
      <w:r w:rsidR="0052331E" w:rsidRPr="007E03FB">
        <w:t>դեկտեմբերի</w:t>
      </w:r>
      <w:r w:rsidR="0052331E">
        <w:t xml:space="preserve"> </w:t>
      </w:r>
      <w:r w:rsidR="0052331E" w:rsidRPr="007E03FB">
        <w:t>31-ի</w:t>
      </w:r>
      <w:r w:rsidR="0052331E">
        <w:t xml:space="preserve"> </w:t>
      </w:r>
      <w:r w:rsidR="0052331E" w:rsidRPr="007E03FB">
        <w:t>դրությամբ</w:t>
      </w:r>
      <w:r w:rsidR="0052331E">
        <w:t xml:space="preserve"> </w:t>
      </w:r>
      <w:r w:rsidR="0052331E" w:rsidRPr="007E03FB">
        <w:t>ՀՀ</w:t>
      </w:r>
      <w:r w:rsidR="0052331E">
        <w:t xml:space="preserve"> </w:t>
      </w:r>
      <w:r w:rsidR="0052331E" w:rsidRPr="007E03FB">
        <w:t>պետական</w:t>
      </w:r>
      <w:r w:rsidR="0052331E">
        <w:t xml:space="preserve"> </w:t>
      </w:r>
      <w:r w:rsidR="0052331E" w:rsidRPr="007E03FB">
        <w:t>պարտքը</w:t>
      </w:r>
      <w:r w:rsidR="0052331E">
        <w:t xml:space="preserve"> (</w:t>
      </w:r>
      <w:r w:rsidR="0052331E" w:rsidRPr="008B1115">
        <w:t xml:space="preserve">ՀՀ կառավարության և ՀՀ կենտրոնական </w:t>
      </w:r>
      <w:r w:rsidR="0052331E">
        <w:t xml:space="preserve">բանկի </w:t>
      </w:r>
      <w:r w:rsidR="0052331E" w:rsidRPr="008B1115">
        <w:t>պարտք</w:t>
      </w:r>
      <w:r w:rsidR="0052331E">
        <w:t>երի</w:t>
      </w:r>
      <w:r w:rsidR="0052331E" w:rsidRPr="008B1115">
        <w:t xml:space="preserve"> հանրագումար</w:t>
      </w:r>
      <w:r w:rsidR="0052331E">
        <w:t xml:space="preserve">ը) </w:t>
      </w:r>
      <w:r w:rsidR="0052331E" w:rsidRPr="007E03FB">
        <w:t>կազմել</w:t>
      </w:r>
      <w:r w:rsidR="0052331E">
        <w:t xml:space="preserve"> </w:t>
      </w:r>
      <w:r w:rsidR="0052331E" w:rsidRPr="007E03FB">
        <w:t>է</w:t>
      </w:r>
      <w:r w:rsidR="0052331E">
        <w:t xml:space="preserve"> </w:t>
      </w:r>
      <w:r w:rsidR="0052331E" w:rsidRPr="007E03FB">
        <w:t>3,513.4</w:t>
      </w:r>
      <w:r w:rsidR="0052331E">
        <w:t xml:space="preserve"> </w:t>
      </w:r>
      <w:r w:rsidR="0052331E" w:rsidRPr="007E03FB">
        <w:t>մլրդ</w:t>
      </w:r>
      <w:r w:rsidR="0052331E">
        <w:t xml:space="preserve"> </w:t>
      </w:r>
      <w:r w:rsidR="0052331E" w:rsidRPr="007E03FB">
        <w:t>դրամ</w:t>
      </w:r>
      <w:r w:rsidR="0052331E">
        <w:t xml:space="preserve"> </w:t>
      </w:r>
      <w:r w:rsidR="0052331E" w:rsidRPr="007E03FB">
        <w:t>կամ</w:t>
      </w:r>
      <w:r w:rsidR="0052331E">
        <w:t xml:space="preserve"> </w:t>
      </w:r>
      <w:r w:rsidR="0052331E" w:rsidRPr="007E03FB">
        <w:t>7,324.2</w:t>
      </w:r>
      <w:r w:rsidR="0052331E">
        <w:t xml:space="preserve"> </w:t>
      </w:r>
      <w:r w:rsidR="0052331E" w:rsidRPr="007E03FB">
        <w:t>մլն</w:t>
      </w:r>
      <w:r w:rsidR="0052331E">
        <w:t xml:space="preserve"> </w:t>
      </w:r>
      <w:r w:rsidR="0052331E" w:rsidRPr="007E03FB">
        <w:t>ԱՄՆ</w:t>
      </w:r>
      <w:r w:rsidR="0052331E">
        <w:t xml:space="preserve"> </w:t>
      </w:r>
      <w:r w:rsidR="0052331E" w:rsidRPr="007E03FB">
        <w:t>դոլար:</w:t>
      </w:r>
      <w:r w:rsidR="0052331E">
        <w:t xml:space="preserve"> </w:t>
      </w:r>
      <w:r w:rsidR="0052331E" w:rsidRPr="007E03FB">
        <w:t>Աղյուսակում</w:t>
      </w:r>
      <w:r w:rsidR="0052331E">
        <w:t xml:space="preserve"> 10</w:t>
      </w:r>
      <w:r w:rsidR="0052331E" w:rsidRPr="007E03FB">
        <w:t>-ում</w:t>
      </w:r>
      <w:r w:rsidR="0052331E">
        <w:t xml:space="preserve"> </w:t>
      </w:r>
      <w:r w:rsidR="0052331E" w:rsidRPr="007E03FB">
        <w:t>ներկայացված</w:t>
      </w:r>
      <w:r w:rsidR="0052331E">
        <w:t xml:space="preserve"> </w:t>
      </w:r>
      <w:r w:rsidR="0052331E" w:rsidRPr="007E03FB">
        <w:t>է</w:t>
      </w:r>
      <w:r w:rsidR="0052331E">
        <w:t xml:space="preserve"> </w:t>
      </w:r>
      <w:r w:rsidR="0052331E" w:rsidRPr="007E03FB">
        <w:t>2020</w:t>
      </w:r>
      <w:r w:rsidR="0052331E">
        <w:t xml:space="preserve"> </w:t>
      </w:r>
      <w:r w:rsidR="0052331E" w:rsidRPr="007E03FB">
        <w:t>թվականի</w:t>
      </w:r>
      <w:r w:rsidR="0052331E">
        <w:t xml:space="preserve"> </w:t>
      </w:r>
      <w:r w:rsidR="0052331E" w:rsidRPr="007E03FB">
        <w:t>մարտի</w:t>
      </w:r>
      <w:r w:rsidR="0052331E">
        <w:t xml:space="preserve"> </w:t>
      </w:r>
      <w:r w:rsidR="0052331E" w:rsidRPr="007E03FB">
        <w:t>31-ի</w:t>
      </w:r>
      <w:r w:rsidR="0052331E">
        <w:t xml:space="preserve"> </w:t>
      </w:r>
      <w:r w:rsidR="0052331E" w:rsidRPr="007E03FB">
        <w:t>դրությամբ</w:t>
      </w:r>
      <w:r w:rsidR="0052331E">
        <w:t xml:space="preserve"> </w:t>
      </w:r>
      <w:r w:rsidR="0052331E" w:rsidRPr="007E03FB">
        <w:t>ՀՀ</w:t>
      </w:r>
      <w:r w:rsidR="0052331E">
        <w:t xml:space="preserve"> </w:t>
      </w:r>
      <w:r w:rsidR="0052331E" w:rsidRPr="007E03FB">
        <w:t>պետական</w:t>
      </w:r>
      <w:r w:rsidR="0052331E">
        <w:t xml:space="preserve"> </w:t>
      </w:r>
      <w:r w:rsidR="0052331E" w:rsidRPr="007E03FB">
        <w:t>պարտքի</w:t>
      </w:r>
      <w:r w:rsidR="0052331E">
        <w:t xml:space="preserve"> </w:t>
      </w:r>
      <w:r w:rsidR="0052331E" w:rsidRPr="007E03FB">
        <w:t>կառուցվածքը:</w:t>
      </w:r>
    </w:p>
    <w:p w14:paraId="5687948C" w14:textId="77777777" w:rsidR="0052331E" w:rsidRPr="00196822" w:rsidRDefault="0052331E" w:rsidP="00F77134">
      <w:pPr>
        <w:spacing w:after="0"/>
        <w:jc w:val="right"/>
        <w:rPr>
          <w:sz w:val="20"/>
          <w:szCs w:val="20"/>
        </w:rPr>
      </w:pPr>
      <w:r w:rsidRPr="00196822">
        <w:rPr>
          <w:sz w:val="20"/>
          <w:szCs w:val="20"/>
        </w:rPr>
        <w:t>(Աղյուսակ 10)</w:t>
      </w:r>
    </w:p>
    <w:p w14:paraId="2A5A9C99" w14:textId="77777777" w:rsidR="0052331E" w:rsidRPr="00196822" w:rsidRDefault="0052331E" w:rsidP="00F77134">
      <w:pPr>
        <w:spacing w:after="0"/>
        <w:jc w:val="right"/>
        <w:rPr>
          <w:sz w:val="20"/>
          <w:szCs w:val="20"/>
        </w:rPr>
      </w:pPr>
      <w:r w:rsidRPr="00196822">
        <w:rPr>
          <w:sz w:val="20"/>
          <w:szCs w:val="20"/>
        </w:rPr>
        <w:t>Մլրդ դրամ</w:t>
      </w:r>
    </w:p>
    <w:tbl>
      <w:tblPr>
        <w:tblW w:w="104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1178"/>
        <w:gridCol w:w="1215"/>
        <w:gridCol w:w="1271"/>
        <w:gridCol w:w="1250"/>
      </w:tblGrid>
      <w:tr w:rsidR="0052331E" w:rsidRPr="00196822" w14:paraId="673FB9F5" w14:textId="77777777" w:rsidTr="00136A4C">
        <w:trPr>
          <w:trHeight w:val="360"/>
        </w:trPr>
        <w:tc>
          <w:tcPr>
            <w:tcW w:w="5488" w:type="dxa"/>
            <w:shd w:val="clear" w:color="auto" w:fill="auto"/>
            <w:vAlign w:val="center"/>
            <w:hideMark/>
          </w:tcPr>
          <w:p w14:paraId="713655F9" w14:textId="77777777" w:rsidR="0052331E" w:rsidRPr="009415B7" w:rsidRDefault="0052331E" w:rsidP="00136A4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B7">
              <w:rPr>
                <w:b/>
                <w:bCs/>
                <w:sz w:val="20"/>
                <w:szCs w:val="20"/>
              </w:rPr>
              <w:t>Պարտքի կառուցվածքը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C8D1ABB" w14:textId="77777777" w:rsidR="0052331E" w:rsidRPr="009415B7" w:rsidRDefault="0052331E" w:rsidP="00136A4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B7">
              <w:rPr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C4759B7" w14:textId="77777777" w:rsidR="0052331E" w:rsidRPr="009415B7" w:rsidRDefault="0052331E" w:rsidP="00136A4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B7">
              <w:rPr>
                <w:b/>
                <w:bCs/>
                <w:sz w:val="20"/>
                <w:szCs w:val="20"/>
              </w:rPr>
              <w:t>31.01.2020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38499CE5" w14:textId="77777777" w:rsidR="0052331E" w:rsidRPr="009415B7" w:rsidRDefault="0052331E" w:rsidP="00136A4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B7">
              <w:rPr>
                <w:b/>
                <w:bCs/>
                <w:sz w:val="20"/>
                <w:szCs w:val="20"/>
              </w:rPr>
              <w:t>29.02.2020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B14C7BE" w14:textId="77777777" w:rsidR="0052331E" w:rsidRPr="009415B7" w:rsidRDefault="0052331E" w:rsidP="00136A4C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B7">
              <w:rPr>
                <w:b/>
                <w:bCs/>
                <w:sz w:val="20"/>
                <w:szCs w:val="20"/>
              </w:rPr>
              <w:t>31.03.2020</w:t>
            </w:r>
          </w:p>
        </w:tc>
      </w:tr>
      <w:tr w:rsidR="0052331E" w:rsidRPr="00196822" w14:paraId="6F77E9BB" w14:textId="77777777" w:rsidTr="004367A9">
        <w:trPr>
          <w:trHeight w:val="285"/>
        </w:trPr>
        <w:tc>
          <w:tcPr>
            <w:tcW w:w="5488" w:type="dxa"/>
            <w:shd w:val="clear" w:color="auto" w:fill="auto"/>
            <w:vAlign w:val="center"/>
            <w:hideMark/>
          </w:tcPr>
          <w:p w14:paraId="12CDE89D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ՀՀ պետական պարտք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0618523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3,513.4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83D48BC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3,515.2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21C36E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3,519.4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2F7325A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3,650.7</w:t>
            </w:r>
          </w:p>
        </w:tc>
      </w:tr>
      <w:tr w:rsidR="0052331E" w:rsidRPr="00196822" w14:paraId="64B6BF41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664E8D03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 xml:space="preserve">            որից՝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E84A373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17F5A2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B363AA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6033937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2331E" w:rsidRPr="00196822" w14:paraId="438B8C8A" w14:textId="77777777" w:rsidTr="004367A9">
        <w:trPr>
          <w:trHeight w:val="26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51D41D5E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ՀՀ կառավարության պարտք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77898C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3,278.7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1E4970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3,282.8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981BE5A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3,287.2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1707D81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3,400.6</w:t>
            </w:r>
          </w:p>
        </w:tc>
      </w:tr>
      <w:tr w:rsidR="0052331E" w:rsidRPr="00196822" w14:paraId="3B6DABB3" w14:textId="77777777" w:rsidTr="004367A9">
        <w:trPr>
          <w:trHeight w:val="27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5B9B5955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այդ թվում`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1BEEB7E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5D23E7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4373AB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5D58576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2331E" w:rsidRPr="00196822" w14:paraId="6100CC5C" w14:textId="77777777" w:rsidTr="004367A9">
        <w:trPr>
          <w:trHeight w:val="143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7960D5D4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արտաքին պարտք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2F8241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2,541.5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48E87B6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2,520.8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AF931C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2,513.8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4F75EE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2,615.2</w:t>
            </w:r>
          </w:p>
        </w:tc>
      </w:tr>
      <w:tr w:rsidR="0052331E" w:rsidRPr="00196822" w14:paraId="4291408B" w14:textId="77777777" w:rsidTr="004367A9">
        <w:trPr>
          <w:trHeight w:val="27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76ACDCB4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այդ թվում`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09BEC2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8C0BE9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55C4F77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161734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2331E" w:rsidRPr="00196822" w14:paraId="52C12642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5965D9CE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արտաքին վարկեր և փոխառություններ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3618E5A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2,067.3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09ED65B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2,049.5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8923BB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2,041.9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D09F9C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2,128.8</w:t>
            </w:r>
          </w:p>
        </w:tc>
      </w:tr>
      <w:tr w:rsidR="0052331E" w:rsidRPr="00196822" w14:paraId="33A7BEDA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56E58452" w14:textId="77777777" w:rsidR="0052331E" w:rsidRPr="00196822" w:rsidRDefault="0052331E" w:rsidP="00D57E12">
            <w:pPr>
              <w:spacing w:after="0"/>
              <w:jc w:val="lef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ոչ ռեզիդենտների կողմից ձեռքբերված պետական գանձապետական պարտատոմսեր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E122F8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3.3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5AB643E7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57EA6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0C86A6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3.3</w:t>
            </w:r>
          </w:p>
        </w:tc>
      </w:tr>
      <w:tr w:rsidR="0052331E" w:rsidRPr="00196822" w14:paraId="7610B7D4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45517036" w14:textId="77777777" w:rsidR="0052331E" w:rsidRPr="00196822" w:rsidRDefault="0052331E" w:rsidP="00D57E12">
            <w:pPr>
              <w:spacing w:after="0"/>
              <w:jc w:val="lef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ոչ ռեզիդենտների կողմից ձեռքբերված արտարժութային պետական պարտատոմսեր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04A983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467.1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8BF4716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464.2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16D22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464.9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F8A41F1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479.2</w:t>
            </w:r>
          </w:p>
        </w:tc>
      </w:tr>
      <w:tr w:rsidR="0052331E" w:rsidRPr="00196822" w14:paraId="673AF6B7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7A6934D3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արտաքին երաշխիքներ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11C89C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3.8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EDD516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88E7A2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3.7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E2B1E6C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3.9</w:t>
            </w:r>
          </w:p>
        </w:tc>
      </w:tr>
      <w:tr w:rsidR="0052331E" w:rsidRPr="00196822" w14:paraId="05F760DC" w14:textId="77777777" w:rsidTr="004367A9">
        <w:trPr>
          <w:trHeight w:val="27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5C17B062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ներքին պարտք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3D67AA4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737.2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62BB3A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762.0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97F1D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773.3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125E60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785.4</w:t>
            </w:r>
          </w:p>
        </w:tc>
      </w:tr>
      <w:tr w:rsidR="0052331E" w:rsidRPr="00196822" w14:paraId="6D7B3D7C" w14:textId="77777777" w:rsidTr="004367A9">
        <w:trPr>
          <w:trHeight w:val="27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7E4B8D1E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այդ թվում`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371B6C1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C7CD18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7EB92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790EA5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2331E" w:rsidRPr="00196822" w14:paraId="3658DD3C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2BF2A021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ներքին վարկեր և փոխառություններ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5F5E2FD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1511C4F3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BD6B3A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EC77ED1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</w:tr>
      <w:tr w:rsidR="0052331E" w:rsidRPr="00196822" w14:paraId="4D903A10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0A2C2150" w14:textId="77777777" w:rsidR="0052331E" w:rsidRPr="00196822" w:rsidRDefault="0052331E" w:rsidP="00BB3B60">
            <w:pPr>
              <w:spacing w:after="0"/>
              <w:jc w:val="lef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ռեզիդենտների կողմից ձեռքբերված պետական գանձապետական պարտատոմսեր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A06BDB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677.7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4FA93CD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700.8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91089C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712.9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9041B1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715.0</w:t>
            </w:r>
          </w:p>
        </w:tc>
      </w:tr>
      <w:tr w:rsidR="0052331E" w:rsidRPr="00196822" w14:paraId="635D9E26" w14:textId="77777777" w:rsidTr="004367A9">
        <w:trPr>
          <w:trHeight w:val="373"/>
        </w:trPr>
        <w:tc>
          <w:tcPr>
            <w:tcW w:w="5488" w:type="dxa"/>
            <w:shd w:val="clear" w:color="auto" w:fill="auto"/>
            <w:vAlign w:val="center"/>
            <w:hideMark/>
          </w:tcPr>
          <w:p w14:paraId="3110698E" w14:textId="77777777" w:rsidR="0052331E" w:rsidRPr="00196822" w:rsidRDefault="0052331E" w:rsidP="00BB3B60">
            <w:pPr>
              <w:spacing w:after="0"/>
              <w:jc w:val="lef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ռեզիդենտների կողմից ձեռքբերված արտարժութային պետական պարտատոմսեր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DAE3C1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59.5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0043E71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61.3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063C8B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60.4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24D87C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70.5</w:t>
            </w:r>
          </w:p>
        </w:tc>
      </w:tr>
      <w:tr w:rsidR="0052331E" w:rsidRPr="00196822" w14:paraId="1F94A73A" w14:textId="77777777" w:rsidTr="004367A9">
        <w:trPr>
          <w:trHeight w:val="270"/>
        </w:trPr>
        <w:tc>
          <w:tcPr>
            <w:tcW w:w="5488" w:type="dxa"/>
            <w:shd w:val="clear" w:color="auto" w:fill="auto"/>
            <w:vAlign w:val="center"/>
            <w:hideMark/>
          </w:tcPr>
          <w:p w14:paraId="19890A00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ներքին երաշխիքներ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9514E95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7F4086E3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83ADB8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BAC6466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-</w:t>
            </w:r>
          </w:p>
        </w:tc>
      </w:tr>
      <w:tr w:rsidR="0052331E" w:rsidRPr="00196822" w14:paraId="3E2DD83C" w14:textId="77777777" w:rsidTr="004367A9">
        <w:trPr>
          <w:trHeight w:val="285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24E00D73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ՀՀ կենտրոնական բանկի արտաքին պարտք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270C327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234.7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7AFB88DB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232.4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BE23A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232.2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F6AC5A9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250.2</w:t>
            </w:r>
          </w:p>
        </w:tc>
      </w:tr>
      <w:tr w:rsidR="0052331E" w:rsidRPr="00196822" w14:paraId="7C44C421" w14:textId="77777777" w:rsidTr="004367A9">
        <w:trPr>
          <w:trHeight w:val="270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7FCD48BD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Որից`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16C7DCA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3A225D1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590EDF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A9C6113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2331E" w:rsidRPr="00196822" w14:paraId="792E481B" w14:textId="77777777" w:rsidTr="004367A9">
        <w:trPr>
          <w:trHeight w:val="285"/>
        </w:trPr>
        <w:tc>
          <w:tcPr>
            <w:tcW w:w="5488" w:type="dxa"/>
            <w:shd w:val="clear" w:color="auto" w:fill="auto"/>
            <w:noWrap/>
            <w:vAlign w:val="bottom"/>
            <w:hideMark/>
          </w:tcPr>
          <w:p w14:paraId="752528F6" w14:textId="77777777" w:rsidR="0052331E" w:rsidRPr="00196822" w:rsidRDefault="0052331E" w:rsidP="00F77134">
            <w:pPr>
              <w:spacing w:after="0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ՀՀ կառավարության երաշխիքով տրամադրված վարկեր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DA152B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61.9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0EE0461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60.7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2AB9EE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60.8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02BBE40" w14:textId="77777777" w:rsidR="0052331E" w:rsidRPr="00196822" w:rsidRDefault="0052331E" w:rsidP="00F77134">
            <w:pPr>
              <w:spacing w:after="0"/>
              <w:jc w:val="right"/>
              <w:rPr>
                <w:sz w:val="20"/>
                <w:szCs w:val="20"/>
              </w:rPr>
            </w:pPr>
            <w:r w:rsidRPr="00196822">
              <w:rPr>
                <w:sz w:val="20"/>
                <w:szCs w:val="20"/>
              </w:rPr>
              <w:t>63.6</w:t>
            </w:r>
          </w:p>
        </w:tc>
      </w:tr>
    </w:tbl>
    <w:p w14:paraId="7F91301C" w14:textId="77777777" w:rsidR="0052331E" w:rsidRPr="00196822" w:rsidRDefault="0052331E" w:rsidP="00C60AA9">
      <w:pPr>
        <w:rPr>
          <w:sz w:val="20"/>
          <w:szCs w:val="20"/>
        </w:rPr>
      </w:pPr>
    </w:p>
    <w:p w14:paraId="7FEFAF8F" w14:textId="2C387461" w:rsidR="0052331E" w:rsidRPr="007E03FB" w:rsidRDefault="00196822" w:rsidP="00C60AA9">
      <w:r>
        <w:lastRenderedPageBreak/>
        <w:tab/>
      </w:r>
      <w:r w:rsidR="0052331E" w:rsidRPr="007E03FB">
        <w:t xml:space="preserve">2020 թվականի 1-ին եռամսյակում ՀՀ պետական պարքտը կազմել է 137.3 մլրդ դրամ: Նախորդ տարվա նույն ժամանակահատվածի համեմատ ՀՀ պետական պարտքի ծավալն աճել է 113.3 մլրդ դրամով կամ շուրջ 4.7 անգամ: Կառավարության պարտքի ծավալն աճել է 112.2 մլրդ դրամով կամ շուրջ 4.5 անգամ, Կենտրոնական բանկի արտաքին պարտքի ծավալն աճել է 15.5 մլրդ դրամով (Աղյուսակ </w:t>
      </w:r>
      <w:r w:rsidR="0052331E">
        <w:t>11</w:t>
      </w:r>
      <w:r w:rsidR="0052331E" w:rsidRPr="007E03FB">
        <w:t>):</w:t>
      </w:r>
    </w:p>
    <w:p w14:paraId="09E796F4" w14:textId="77777777" w:rsidR="0052331E" w:rsidRPr="00A34990" w:rsidRDefault="0052331E" w:rsidP="00A34990">
      <w:pPr>
        <w:spacing w:after="0"/>
        <w:jc w:val="right"/>
        <w:rPr>
          <w:sz w:val="20"/>
          <w:szCs w:val="20"/>
        </w:rPr>
      </w:pPr>
      <w:r w:rsidRPr="00A34990">
        <w:rPr>
          <w:sz w:val="20"/>
          <w:szCs w:val="20"/>
        </w:rPr>
        <w:t>(Աղյուսակ 11)</w:t>
      </w:r>
    </w:p>
    <w:p w14:paraId="1496D4ED" w14:textId="77777777" w:rsidR="0052331E" w:rsidRPr="00A34990" w:rsidRDefault="0052331E" w:rsidP="00A34990">
      <w:pPr>
        <w:spacing w:after="0"/>
        <w:jc w:val="right"/>
        <w:rPr>
          <w:sz w:val="20"/>
          <w:szCs w:val="20"/>
        </w:rPr>
      </w:pPr>
      <w:r w:rsidRPr="00A34990">
        <w:rPr>
          <w:sz w:val="20"/>
          <w:szCs w:val="20"/>
        </w:rPr>
        <w:t>Մլրդ դրամ</w:t>
      </w:r>
    </w:p>
    <w:tbl>
      <w:tblPr>
        <w:tblW w:w="102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188"/>
        <w:gridCol w:w="1226"/>
        <w:gridCol w:w="1196"/>
        <w:gridCol w:w="1178"/>
        <w:gridCol w:w="1250"/>
        <w:gridCol w:w="1196"/>
      </w:tblGrid>
      <w:tr w:rsidR="0052331E" w:rsidRPr="00B660E0" w14:paraId="1627788D" w14:textId="77777777" w:rsidTr="00C97942">
        <w:trPr>
          <w:trHeight w:val="360"/>
        </w:trPr>
        <w:tc>
          <w:tcPr>
            <w:tcW w:w="3027" w:type="dxa"/>
            <w:shd w:val="clear" w:color="auto" w:fill="auto"/>
            <w:vAlign w:val="center"/>
            <w:hideMark/>
          </w:tcPr>
          <w:p w14:paraId="79734A1B" w14:textId="77777777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56EEEEFC" w14:textId="77777777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7531915" w14:textId="4527AC35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31.03.2019</w:t>
            </w:r>
          </w:p>
        </w:tc>
        <w:tc>
          <w:tcPr>
            <w:tcW w:w="1196" w:type="dxa"/>
            <w:shd w:val="clear" w:color="auto" w:fill="auto"/>
          </w:tcPr>
          <w:p w14:paraId="57DD05C7" w14:textId="77777777" w:rsidR="00F55185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 xml:space="preserve">2019 թ. </w:t>
            </w:r>
          </w:p>
          <w:p w14:paraId="39F604CF" w14:textId="1EAFC31E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1-ին եռամսյակ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E234C4C" w14:textId="77777777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B32C3F2" w14:textId="77777777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31.03.2020</w:t>
            </w:r>
          </w:p>
        </w:tc>
        <w:tc>
          <w:tcPr>
            <w:tcW w:w="1196" w:type="dxa"/>
            <w:shd w:val="clear" w:color="auto" w:fill="auto"/>
          </w:tcPr>
          <w:p w14:paraId="33B8EE80" w14:textId="77777777" w:rsidR="00F55185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 xml:space="preserve">2020 թ. </w:t>
            </w:r>
          </w:p>
          <w:p w14:paraId="0593E792" w14:textId="55337FC1" w:rsidR="0052331E" w:rsidRPr="009A6D1A" w:rsidRDefault="0052331E" w:rsidP="00F551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6D1A">
              <w:rPr>
                <w:b/>
                <w:bCs/>
                <w:sz w:val="20"/>
                <w:szCs w:val="20"/>
              </w:rPr>
              <w:t>1-ին եռամսյակ</w:t>
            </w:r>
          </w:p>
        </w:tc>
      </w:tr>
      <w:tr w:rsidR="0052331E" w:rsidRPr="00B660E0" w14:paraId="486F6887" w14:textId="77777777" w:rsidTr="00C97942">
        <w:trPr>
          <w:trHeight w:val="285"/>
        </w:trPr>
        <w:tc>
          <w:tcPr>
            <w:tcW w:w="3027" w:type="dxa"/>
            <w:shd w:val="clear" w:color="auto" w:fill="auto"/>
            <w:vAlign w:val="center"/>
            <w:hideMark/>
          </w:tcPr>
          <w:p w14:paraId="034868A8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ՀՀ պետական պարտք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BE3A7B0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3,348.8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7A4B65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3,372.8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4F35F2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24.0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795C03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3,513.4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6FB090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3,650.7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795C9E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137.3</w:t>
            </w:r>
          </w:p>
        </w:tc>
      </w:tr>
      <w:tr w:rsidR="0052331E" w:rsidRPr="00B660E0" w14:paraId="03F339F2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7509D323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 xml:space="preserve">            որից՝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4F5EC9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9820E8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D7461A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4D3333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561706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621A63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B660E0" w14:paraId="4B796C5D" w14:textId="77777777" w:rsidTr="00C97942">
        <w:trPr>
          <w:trHeight w:val="26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2502ACFE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ՀՀ կառավարության պարտք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B348F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3,082.7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3030A8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3,107.9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6B73B4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25.2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E68E32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3,278.7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8DF7EB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3,400.6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10D6F7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121.9</w:t>
            </w:r>
          </w:p>
        </w:tc>
      </w:tr>
      <w:tr w:rsidR="0052331E" w:rsidRPr="00B660E0" w14:paraId="1C0A11F7" w14:textId="77777777" w:rsidTr="00C97942">
        <w:trPr>
          <w:trHeight w:val="27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0C3F009C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 xml:space="preserve">                այդ թվում`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807057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06960D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5B45A2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42F2E8A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BD5074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684B46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B660E0" w14:paraId="5BF8DB36" w14:textId="77777777" w:rsidTr="00C97942">
        <w:trPr>
          <w:trHeight w:val="143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495FE0D6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արտաքին պարտք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E413CB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2,412.1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7C43E6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2,408.4</w:t>
            </w:r>
          </w:p>
        </w:tc>
        <w:tc>
          <w:tcPr>
            <w:tcW w:w="1196" w:type="dxa"/>
            <w:shd w:val="clear" w:color="auto" w:fill="auto"/>
          </w:tcPr>
          <w:p w14:paraId="2E9AFF8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-3.7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49155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2,541.5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DC5634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2,615.2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7E9A7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7.3</w:t>
            </w:r>
          </w:p>
        </w:tc>
      </w:tr>
      <w:tr w:rsidR="0052331E" w:rsidRPr="00B660E0" w14:paraId="5C9016C4" w14:textId="77777777" w:rsidTr="00C97942">
        <w:trPr>
          <w:trHeight w:val="27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74FE9CDA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 xml:space="preserve">                այդ թվում`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6D4492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9078E5F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31EDC29B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94F83F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A862B1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82EF59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B660E0" w14:paraId="59A4E774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1EC63B8A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արտաքին վարկեր և փոխառություններ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5E6EAE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2,002.6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6CEB4F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1,997.3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00B2FA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-5.3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CDF25D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2,067.3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7BAACA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2,128.8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7E418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61.5</w:t>
            </w:r>
          </w:p>
        </w:tc>
      </w:tr>
      <w:tr w:rsidR="0052331E" w:rsidRPr="00B660E0" w14:paraId="227D5639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26504075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ոչ ռեզիդենտների կողմից ձեռքբերված պետական գանձապետական պարտատոմսեր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FC590E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95419C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6D9B84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b/>
                <w:bCs/>
                <w:iCs/>
                <w:sz w:val="20"/>
                <w:szCs w:val="20"/>
              </w:rPr>
              <w:t>-</w:t>
            </w:r>
            <w:r w:rsidRPr="00B660E0">
              <w:rPr>
                <w:sz w:val="20"/>
                <w:szCs w:val="20"/>
              </w:rPr>
              <w:t>0.2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9F407F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3.3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1E1A57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8954B7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</w:tr>
      <w:tr w:rsidR="0052331E" w:rsidRPr="00B660E0" w14:paraId="343B11E2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3D619D74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ոչ ռեզիդենտների կողմից ձեռքբերված արտարժութային պետական պարտատոմսեր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4E22F5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402.1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43E683B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403.9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317A8B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1.76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A3721E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467.1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01C7B0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479.2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FA97D5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12.1</w:t>
            </w:r>
          </w:p>
        </w:tc>
      </w:tr>
      <w:tr w:rsidR="0052331E" w:rsidRPr="00B660E0" w14:paraId="1D085567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5929CE50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արտաքին երաշխիքներ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3DCAA4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37D501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9775F12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-0.1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3871D0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170F660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3.9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5A8852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0.1</w:t>
            </w:r>
          </w:p>
        </w:tc>
      </w:tr>
      <w:tr w:rsidR="0052331E" w:rsidRPr="00B660E0" w14:paraId="1AC6567C" w14:textId="77777777" w:rsidTr="00C97942">
        <w:trPr>
          <w:trHeight w:val="27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63C1010B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ներքին պարտք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E51FEC6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670.5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AA7F4D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699.5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8684F72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29.0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4BC878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737.2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FA7377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785.4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D0743F0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37.2</w:t>
            </w:r>
          </w:p>
        </w:tc>
      </w:tr>
      <w:tr w:rsidR="0052331E" w:rsidRPr="00B660E0" w14:paraId="74317A4B" w14:textId="77777777" w:rsidTr="00C97942">
        <w:trPr>
          <w:trHeight w:val="27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45F0961C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 xml:space="preserve">                այդ թվում`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BB797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82F235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36BB66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64108D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7FD43A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A1A0B5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B660E0" w14:paraId="57B4A323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292D74DA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ներքին վարկեր և փոխառություններ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FE88E5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7AA3DF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918A8DD" w14:textId="77777777" w:rsidR="0052331E" w:rsidRPr="00B660E0" w:rsidRDefault="0052331E" w:rsidP="00B660E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213089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F3D6EAF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2CC03A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</w:tr>
      <w:tr w:rsidR="0052331E" w:rsidRPr="00B660E0" w14:paraId="76890B90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47E35985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ռեզիդենտների կողմից ձեռքբերված պետական գանձապետական պարտատոմսեր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EE1B0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584.5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490DCD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612.5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474647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28.0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040077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677.7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36A79C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715.0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6CFA20F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37.3</w:t>
            </w:r>
          </w:p>
        </w:tc>
      </w:tr>
      <w:tr w:rsidR="0052331E" w:rsidRPr="00B660E0" w14:paraId="7EBFD9CB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028D85A8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lastRenderedPageBreak/>
              <w:t>ռեզիդենտների կողմից ձեռքբերված արտարժութային պետական պարտատոմսեր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0A4D38B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81.7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4F850D7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82.6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E63327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E92F2E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59.5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67CE67F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70.5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0A3960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11.0</w:t>
            </w:r>
          </w:p>
        </w:tc>
      </w:tr>
      <w:tr w:rsidR="0052331E" w:rsidRPr="00B660E0" w14:paraId="00E4F36A" w14:textId="77777777" w:rsidTr="00C97942">
        <w:trPr>
          <w:trHeight w:val="270"/>
        </w:trPr>
        <w:tc>
          <w:tcPr>
            <w:tcW w:w="3027" w:type="dxa"/>
            <w:shd w:val="clear" w:color="auto" w:fill="auto"/>
            <w:vAlign w:val="center"/>
            <w:hideMark/>
          </w:tcPr>
          <w:p w14:paraId="21132A9F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ներքին երաշխիքներ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56E28F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4.4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B3E8F1E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4.4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0565D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C1FB65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7A27F3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F764D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0.0</w:t>
            </w:r>
          </w:p>
        </w:tc>
      </w:tr>
      <w:tr w:rsidR="0052331E" w:rsidRPr="00B660E0" w14:paraId="30217D88" w14:textId="77777777" w:rsidTr="00C97942">
        <w:trPr>
          <w:trHeight w:val="285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6A5AD27E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ՀՀ կենտրոնական բանկի արտաքին պարտք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94A135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266.1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69D43D81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265.0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E485C5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-1.1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90B9E0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234.7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DBAF26D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250.2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F2FEB0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15.5</w:t>
            </w:r>
          </w:p>
        </w:tc>
      </w:tr>
      <w:tr w:rsidR="0052331E" w:rsidRPr="00B660E0" w14:paraId="21381AA5" w14:textId="77777777" w:rsidTr="00C97942">
        <w:trPr>
          <w:trHeight w:val="270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0FD98AD9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 xml:space="preserve">                որից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7B06267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4BBCC6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39D7418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A7B8D0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20DEAE0C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9C7CE0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B660E0" w14:paraId="663FB292" w14:textId="77777777" w:rsidTr="00C97942">
        <w:trPr>
          <w:trHeight w:val="395"/>
        </w:trPr>
        <w:tc>
          <w:tcPr>
            <w:tcW w:w="3027" w:type="dxa"/>
            <w:shd w:val="clear" w:color="auto" w:fill="auto"/>
            <w:noWrap/>
            <w:vAlign w:val="bottom"/>
            <w:hideMark/>
          </w:tcPr>
          <w:p w14:paraId="0062EA96" w14:textId="77777777" w:rsidR="0052331E" w:rsidRPr="00B660E0" w:rsidRDefault="0052331E" w:rsidP="00B660E0">
            <w:pPr>
              <w:jc w:val="lef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ՀՀ կառավարության երաշխիքով տրամադրված վարկեր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DCE2A45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68.9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19389899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68.1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B42ED4A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-0.1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1960334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61.9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305BB22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63.6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DE8C7A3" w14:textId="77777777" w:rsidR="0052331E" w:rsidRPr="00B660E0" w:rsidRDefault="0052331E" w:rsidP="00B660E0">
            <w:pPr>
              <w:jc w:val="right"/>
              <w:rPr>
                <w:sz w:val="20"/>
                <w:szCs w:val="20"/>
              </w:rPr>
            </w:pPr>
            <w:r w:rsidRPr="00B660E0">
              <w:rPr>
                <w:sz w:val="20"/>
                <w:szCs w:val="20"/>
              </w:rPr>
              <w:t>1.7</w:t>
            </w:r>
          </w:p>
        </w:tc>
      </w:tr>
    </w:tbl>
    <w:p w14:paraId="34B27CB5" w14:textId="77777777" w:rsidR="0052331E" w:rsidRPr="00B660E0" w:rsidRDefault="0052331E" w:rsidP="00B660E0">
      <w:pPr>
        <w:jc w:val="left"/>
        <w:rPr>
          <w:sz w:val="20"/>
          <w:szCs w:val="20"/>
        </w:rPr>
      </w:pPr>
    </w:p>
    <w:p w14:paraId="3E66F449" w14:textId="1917B5C1" w:rsidR="0052331E" w:rsidRPr="007E03FB" w:rsidRDefault="00322DC8" w:rsidP="00C60AA9">
      <w:r>
        <w:tab/>
      </w:r>
      <w:r w:rsidR="0052331E" w:rsidRPr="007E03FB">
        <w:t xml:space="preserve">Աղյուսակ </w:t>
      </w:r>
      <w:r w:rsidR="0052331E">
        <w:t>11</w:t>
      </w:r>
      <w:r w:rsidR="0052331E" w:rsidRPr="007E03FB">
        <w:t>-ից պարզ է դառնում, որ Կառավարության արտաքին պարտքը 2020 թվականի մարտի 31-ի դրությամբ կազմել է 2,615.2 մլրդ դրամ, որից 2,128.8 մլրդ դրամն արտաքին վարկեր և փոխառություններից, իսկ 479.2 մլրդ դրամը՝ ոչ ռեզիդենտների կողմից ձեռքբերված արտարժութային պետական պարտատոմսերից:</w:t>
      </w:r>
    </w:p>
    <w:p w14:paraId="0EB667C5" w14:textId="3DA46670" w:rsidR="0052331E" w:rsidRPr="007E03FB" w:rsidRDefault="00322DC8" w:rsidP="00C60AA9">
      <w:r>
        <w:tab/>
      </w:r>
      <w:r w:rsidR="0052331E" w:rsidRPr="007E03FB">
        <w:t xml:space="preserve">Հաշվեքննությամբ պարզ դարձավ, որ հաշվեքննությունն ընդգրկող ժամանակաշրջանում արտաքին վարկերի և փոխառությունների մասով կատարվել են հետևյալ մարումները/սպասարկումները (Աղյուսակ </w:t>
      </w:r>
      <w:r w:rsidR="0052331E">
        <w:t>12</w:t>
      </w:r>
      <w:r w:rsidR="0052331E" w:rsidRPr="007E03FB">
        <w:t>):</w:t>
      </w:r>
    </w:p>
    <w:p w14:paraId="06B79C7A" w14:textId="77777777" w:rsidR="0052331E" w:rsidRPr="007E03FB" w:rsidRDefault="0052331E" w:rsidP="00C60AA9"/>
    <w:p w14:paraId="4CFAB8BB" w14:textId="77777777" w:rsidR="0052331E" w:rsidRPr="00A457EF" w:rsidRDefault="0052331E" w:rsidP="00A457EF">
      <w:pPr>
        <w:spacing w:after="0"/>
        <w:jc w:val="right"/>
        <w:rPr>
          <w:sz w:val="20"/>
          <w:szCs w:val="20"/>
        </w:rPr>
      </w:pPr>
      <w:r w:rsidRPr="00A457EF">
        <w:rPr>
          <w:sz w:val="20"/>
          <w:szCs w:val="20"/>
        </w:rPr>
        <w:t>Աղյուսակ 12</w:t>
      </w:r>
    </w:p>
    <w:p w14:paraId="498DB18E" w14:textId="77777777" w:rsidR="0052331E" w:rsidRPr="00A457EF" w:rsidRDefault="0052331E" w:rsidP="00A457EF">
      <w:pPr>
        <w:spacing w:after="0"/>
        <w:jc w:val="right"/>
        <w:rPr>
          <w:sz w:val="20"/>
          <w:szCs w:val="20"/>
        </w:rPr>
      </w:pPr>
      <w:r w:rsidRPr="00A457EF">
        <w:rPr>
          <w:sz w:val="20"/>
          <w:szCs w:val="20"/>
        </w:rPr>
        <w:t>Հազ. դրամ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0"/>
        <w:gridCol w:w="2321"/>
        <w:gridCol w:w="2335"/>
      </w:tblGrid>
      <w:tr w:rsidR="0052331E" w:rsidRPr="00A457EF" w14:paraId="3DF3ADF2" w14:textId="77777777" w:rsidTr="000D1835">
        <w:tc>
          <w:tcPr>
            <w:tcW w:w="2562" w:type="dxa"/>
            <w:vAlign w:val="center"/>
          </w:tcPr>
          <w:p w14:paraId="5BE16356" w14:textId="77777777" w:rsidR="0052331E" w:rsidRPr="00BA1E24" w:rsidRDefault="0052331E" w:rsidP="00040C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Հաշվետու ամսում վճարված</w:t>
            </w:r>
          </w:p>
        </w:tc>
        <w:tc>
          <w:tcPr>
            <w:tcW w:w="2562" w:type="dxa"/>
            <w:vAlign w:val="center"/>
          </w:tcPr>
          <w:p w14:paraId="70ACB068" w14:textId="77777777" w:rsidR="0052331E" w:rsidRPr="00BA1E24" w:rsidRDefault="0052331E" w:rsidP="00040C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Հունվար</w:t>
            </w:r>
          </w:p>
        </w:tc>
        <w:tc>
          <w:tcPr>
            <w:tcW w:w="2563" w:type="dxa"/>
            <w:vAlign w:val="center"/>
          </w:tcPr>
          <w:p w14:paraId="2BF881A4" w14:textId="77777777" w:rsidR="0052331E" w:rsidRPr="00BA1E24" w:rsidRDefault="0052331E" w:rsidP="00040C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Փետրվար</w:t>
            </w:r>
          </w:p>
        </w:tc>
        <w:tc>
          <w:tcPr>
            <w:tcW w:w="2563" w:type="dxa"/>
            <w:vAlign w:val="center"/>
          </w:tcPr>
          <w:p w14:paraId="77922DCB" w14:textId="77777777" w:rsidR="0052331E" w:rsidRPr="00BA1E24" w:rsidRDefault="0052331E" w:rsidP="00040C8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Մարտ</w:t>
            </w:r>
          </w:p>
        </w:tc>
      </w:tr>
      <w:tr w:rsidR="0052331E" w:rsidRPr="00A457EF" w14:paraId="7A3381B0" w14:textId="77777777" w:rsidTr="000D1835">
        <w:tc>
          <w:tcPr>
            <w:tcW w:w="2562" w:type="dxa"/>
            <w:vAlign w:val="center"/>
          </w:tcPr>
          <w:p w14:paraId="4864F7A7" w14:textId="77777777" w:rsidR="0052331E" w:rsidRPr="00A457EF" w:rsidRDefault="0052331E" w:rsidP="00C60AA9">
            <w:pPr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Մարում</w:t>
            </w:r>
          </w:p>
        </w:tc>
        <w:tc>
          <w:tcPr>
            <w:tcW w:w="2562" w:type="dxa"/>
            <w:vAlign w:val="center"/>
          </w:tcPr>
          <w:p w14:paraId="647D9A3B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8,607,922.44</w:t>
            </w:r>
          </w:p>
        </w:tc>
        <w:tc>
          <w:tcPr>
            <w:tcW w:w="2563" w:type="dxa"/>
            <w:vAlign w:val="center"/>
          </w:tcPr>
          <w:p w14:paraId="4192BE19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8,398,129.28</w:t>
            </w:r>
          </w:p>
        </w:tc>
        <w:tc>
          <w:tcPr>
            <w:tcW w:w="2563" w:type="dxa"/>
            <w:vAlign w:val="center"/>
          </w:tcPr>
          <w:p w14:paraId="359397CE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 xml:space="preserve">  8,356,274.88</w:t>
            </w:r>
          </w:p>
        </w:tc>
      </w:tr>
      <w:tr w:rsidR="0052331E" w:rsidRPr="00A457EF" w14:paraId="52DE9F06" w14:textId="77777777" w:rsidTr="000D1835">
        <w:tc>
          <w:tcPr>
            <w:tcW w:w="2562" w:type="dxa"/>
            <w:vAlign w:val="center"/>
          </w:tcPr>
          <w:p w14:paraId="2503448F" w14:textId="77777777" w:rsidR="0052331E" w:rsidRPr="00A457EF" w:rsidRDefault="0052331E" w:rsidP="00C60AA9">
            <w:pPr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Սպասարկում (տոկոս)</w:t>
            </w:r>
          </w:p>
        </w:tc>
        <w:tc>
          <w:tcPr>
            <w:tcW w:w="2562" w:type="dxa"/>
            <w:vAlign w:val="center"/>
          </w:tcPr>
          <w:p w14:paraId="0969F31A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2,843,276.15</w:t>
            </w:r>
          </w:p>
        </w:tc>
        <w:tc>
          <w:tcPr>
            <w:tcW w:w="2563" w:type="dxa"/>
            <w:vAlign w:val="center"/>
          </w:tcPr>
          <w:p w14:paraId="409FD50F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 xml:space="preserve">3,812,195.23 </w:t>
            </w:r>
          </w:p>
        </w:tc>
        <w:tc>
          <w:tcPr>
            <w:tcW w:w="2563" w:type="dxa"/>
            <w:vAlign w:val="center"/>
          </w:tcPr>
          <w:p w14:paraId="4EBD6528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 xml:space="preserve">  2,619,576.55</w:t>
            </w:r>
          </w:p>
        </w:tc>
      </w:tr>
      <w:tr w:rsidR="0052331E" w:rsidRPr="00A457EF" w14:paraId="3B466DEA" w14:textId="77777777" w:rsidTr="000D1835">
        <w:trPr>
          <w:trHeight w:val="287"/>
        </w:trPr>
        <w:tc>
          <w:tcPr>
            <w:tcW w:w="2562" w:type="dxa"/>
            <w:vAlign w:val="center"/>
          </w:tcPr>
          <w:p w14:paraId="41878DCF" w14:textId="77777777" w:rsidR="0052331E" w:rsidRPr="00A457EF" w:rsidRDefault="0052331E" w:rsidP="00C60AA9">
            <w:pPr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Ընդամենը</w:t>
            </w:r>
          </w:p>
        </w:tc>
        <w:tc>
          <w:tcPr>
            <w:tcW w:w="2562" w:type="dxa"/>
            <w:vAlign w:val="center"/>
          </w:tcPr>
          <w:p w14:paraId="085815DE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>11,451,198.59</w:t>
            </w:r>
          </w:p>
        </w:tc>
        <w:tc>
          <w:tcPr>
            <w:tcW w:w="2563" w:type="dxa"/>
            <w:vAlign w:val="center"/>
          </w:tcPr>
          <w:p w14:paraId="364BAD0E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 xml:space="preserve">12,210,324.51    </w:t>
            </w:r>
          </w:p>
        </w:tc>
        <w:tc>
          <w:tcPr>
            <w:tcW w:w="2563" w:type="dxa"/>
            <w:vAlign w:val="center"/>
          </w:tcPr>
          <w:p w14:paraId="103ACFE6" w14:textId="77777777" w:rsidR="0052331E" w:rsidRPr="00A457EF" w:rsidRDefault="0052331E" w:rsidP="00040C84">
            <w:pPr>
              <w:jc w:val="right"/>
              <w:rPr>
                <w:sz w:val="20"/>
                <w:szCs w:val="20"/>
              </w:rPr>
            </w:pPr>
            <w:r w:rsidRPr="00A457EF">
              <w:rPr>
                <w:sz w:val="20"/>
                <w:szCs w:val="20"/>
              </w:rPr>
              <w:t xml:space="preserve">  10,975,851.43</w:t>
            </w:r>
          </w:p>
        </w:tc>
      </w:tr>
    </w:tbl>
    <w:p w14:paraId="17F38F2A" w14:textId="77777777" w:rsidR="0052331E" w:rsidRPr="007E03FB" w:rsidRDefault="0052331E" w:rsidP="00C60AA9">
      <w:r w:rsidRPr="007E03FB">
        <w:t xml:space="preserve"> </w:t>
      </w:r>
    </w:p>
    <w:p w14:paraId="75C7F9F9" w14:textId="01ED7DE5" w:rsidR="0052331E" w:rsidRDefault="00524A92" w:rsidP="00C60AA9">
      <w:r>
        <w:tab/>
      </w:r>
      <w:r w:rsidR="0052331E" w:rsidRPr="007E03FB">
        <w:t xml:space="preserve">2020 թվականի հունվար-մարտ ամիսների ընթացքում պետական արտարժութային պարտատոմսերի սպասարկման գծով կատարվել են հետևյալ վճարումները (Աղյուսակ </w:t>
      </w:r>
      <w:r w:rsidR="0052331E">
        <w:t>13</w:t>
      </w:r>
      <w:r w:rsidR="0052331E" w:rsidRPr="007E03FB">
        <w:t>):</w:t>
      </w:r>
    </w:p>
    <w:p w14:paraId="7913FE07" w14:textId="77777777" w:rsidR="004A7408" w:rsidRPr="007E03FB" w:rsidRDefault="004A7408" w:rsidP="00C60AA9"/>
    <w:p w14:paraId="5C2371F8" w14:textId="77777777" w:rsidR="00293FA3" w:rsidRDefault="00293FA3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CEA575" w14:textId="05099846" w:rsidR="0052331E" w:rsidRPr="008A07F4" w:rsidRDefault="0052331E" w:rsidP="00AA523B">
      <w:pPr>
        <w:jc w:val="right"/>
        <w:rPr>
          <w:sz w:val="20"/>
          <w:szCs w:val="20"/>
        </w:rPr>
      </w:pPr>
      <w:r w:rsidRPr="008A07F4">
        <w:rPr>
          <w:sz w:val="20"/>
          <w:szCs w:val="20"/>
        </w:rPr>
        <w:lastRenderedPageBreak/>
        <w:t>Աղյուսակ 13</w:t>
      </w:r>
    </w:p>
    <w:tbl>
      <w:tblPr>
        <w:tblW w:w="9308" w:type="dxa"/>
        <w:tblLook w:val="04A0" w:firstRow="1" w:lastRow="0" w:firstColumn="1" w:lastColumn="0" w:noHBand="0" w:noVBand="1"/>
      </w:tblPr>
      <w:tblGrid>
        <w:gridCol w:w="598"/>
        <w:gridCol w:w="4779"/>
        <w:gridCol w:w="1947"/>
        <w:gridCol w:w="1984"/>
      </w:tblGrid>
      <w:tr w:rsidR="0052331E" w:rsidRPr="008A07F4" w14:paraId="6A58F498" w14:textId="77777777" w:rsidTr="00840986">
        <w:trPr>
          <w:trHeight w:val="74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A93" w14:textId="77777777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4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7C5" w14:textId="77777777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Պետական արտարժութային պարտատոմսեր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8FC2" w14:textId="1FB7E186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Տոկոսավճար</w:t>
            </w:r>
          </w:p>
        </w:tc>
      </w:tr>
      <w:tr w:rsidR="0052331E" w:rsidRPr="008A07F4" w14:paraId="2F6BB22F" w14:textId="77777777" w:rsidTr="00840986">
        <w:trPr>
          <w:trHeight w:val="164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35E" w14:textId="77777777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96B" w14:textId="77777777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9D7" w14:textId="5DBD4375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ԱՄՆ դոլար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391" w14:textId="4A5E2404" w:rsidR="0052331E" w:rsidRPr="00BA1E24" w:rsidRDefault="0052331E" w:rsidP="00961B8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E24">
              <w:rPr>
                <w:b/>
                <w:bCs/>
                <w:sz w:val="20"/>
                <w:szCs w:val="20"/>
              </w:rPr>
              <w:t>հազ. դրամ</w:t>
            </w:r>
          </w:p>
        </w:tc>
      </w:tr>
      <w:tr w:rsidR="0052331E" w:rsidRPr="008A07F4" w14:paraId="1946D0C1" w14:textId="77777777" w:rsidTr="00A86E7B">
        <w:trPr>
          <w:trHeight w:val="6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8D1D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7BC8" w14:textId="77777777" w:rsidR="0052331E" w:rsidRPr="008A07F4" w:rsidRDefault="0052331E" w:rsidP="00961B8D">
            <w:pPr>
              <w:spacing w:after="0"/>
              <w:jc w:val="left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2020թ. մարման ենթակա պետական արտարժութային պարտատոմսեր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73A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$    2,929,710.00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162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     1,395,889.63 </w:t>
            </w:r>
          </w:p>
        </w:tc>
      </w:tr>
      <w:tr w:rsidR="0052331E" w:rsidRPr="008A07F4" w14:paraId="51EC818C" w14:textId="77777777" w:rsidTr="00A86E7B">
        <w:trPr>
          <w:trHeight w:val="6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3FC6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997" w14:textId="77777777" w:rsidR="0052331E" w:rsidRPr="008A07F4" w:rsidRDefault="0052331E" w:rsidP="00961B8D">
            <w:pPr>
              <w:spacing w:after="0"/>
              <w:jc w:val="left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2025թ. մարման ենթակա պետական արտարժութային պարտատոմսեր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DD1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$  17,875,000.00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D6B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      8,516,722.50 </w:t>
            </w:r>
          </w:p>
        </w:tc>
      </w:tr>
      <w:tr w:rsidR="0052331E" w:rsidRPr="008A07F4" w14:paraId="02815409" w14:textId="77777777" w:rsidTr="00A86E7B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57A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F8F" w14:textId="77777777" w:rsidR="0052331E" w:rsidRPr="008A07F4" w:rsidRDefault="0052331E" w:rsidP="00961B8D">
            <w:pPr>
              <w:spacing w:after="0"/>
              <w:jc w:val="left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2029թ. մարման ենթակա պետական արտարժութային պարտատոմսեր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CB4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$   9,875,000.00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15F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      4,705,042.50 </w:t>
            </w:r>
          </w:p>
        </w:tc>
      </w:tr>
      <w:tr w:rsidR="0052331E" w:rsidRPr="008A07F4" w14:paraId="7A7F813A" w14:textId="77777777" w:rsidTr="00961B8D">
        <w:trPr>
          <w:trHeight w:val="57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B6D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>Ընդամենը՝ 2020թ. առաջին եռամսյակ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A3F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$   30,679,710.00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E9A" w14:textId="77777777" w:rsidR="0052331E" w:rsidRPr="008A07F4" w:rsidRDefault="0052331E" w:rsidP="00961B8D">
            <w:pPr>
              <w:spacing w:after="0"/>
              <w:rPr>
                <w:sz w:val="20"/>
                <w:szCs w:val="20"/>
              </w:rPr>
            </w:pPr>
            <w:r w:rsidRPr="008A07F4">
              <w:rPr>
                <w:sz w:val="20"/>
                <w:szCs w:val="20"/>
              </w:rPr>
              <w:t xml:space="preserve">      14,617,654.63 </w:t>
            </w:r>
          </w:p>
        </w:tc>
      </w:tr>
    </w:tbl>
    <w:p w14:paraId="088D94DF" w14:textId="77777777" w:rsidR="0052331E" w:rsidRPr="007E03FB" w:rsidRDefault="0052331E" w:rsidP="00C60AA9"/>
    <w:p w14:paraId="3A94D9CC" w14:textId="3A9A3308" w:rsidR="0052331E" w:rsidRPr="007E03FB" w:rsidRDefault="00D12D86" w:rsidP="00C60AA9">
      <w:r>
        <w:tab/>
      </w:r>
      <w:r w:rsidR="0052331E" w:rsidRPr="007E03FB">
        <w:t>Հարկ է նշել, որ պետական արտարժութային պարտատոմսերի մասով մարումներ կամ հետգնումներ նշված ժամանակահատվածում չեն իրականացվել:</w:t>
      </w:r>
    </w:p>
    <w:p w14:paraId="7B743615" w14:textId="48A49C96" w:rsidR="0052331E" w:rsidRPr="007E03FB" w:rsidRDefault="00D12D86" w:rsidP="00C60AA9">
      <w:r>
        <w:tab/>
      </w:r>
      <w:r w:rsidR="0052331E" w:rsidRPr="007E03FB">
        <w:t>Կառավարության ներքին պարտքը 2020 թվականի մարտի 31-ի դրությամբ կազմել է 785.4 մլրդ դրամ, ինչը ձևավորվել է ռեզիդենտների և ոչ ռեզիդենտների կողմից պետական գանձապետական պարտատոմսերի ձեռքբերումից:</w:t>
      </w:r>
    </w:p>
    <w:p w14:paraId="344BAEB4" w14:textId="6E1808CC" w:rsidR="0052331E" w:rsidRPr="00D6074A" w:rsidRDefault="00D12D86" w:rsidP="00C60AA9">
      <w:r>
        <w:tab/>
      </w:r>
      <w:r w:rsidR="0052331E" w:rsidRPr="007E03FB">
        <w:t xml:space="preserve">2020 թվականի հունվար-մարտ ամիսների ընթացքում պետական գանձապետական պարտատոմսերի գծով իրականացված գործառնությունները արտացոլված են Աղյուսակ </w:t>
      </w:r>
      <w:r w:rsidR="0052331E">
        <w:t>14</w:t>
      </w:r>
      <w:r w:rsidR="0052331E" w:rsidRPr="007E03FB">
        <w:t>-ում</w:t>
      </w:r>
      <w:r w:rsidR="0052331E">
        <w:t>։</w:t>
      </w:r>
    </w:p>
    <w:p w14:paraId="5679F898" w14:textId="6BD23362" w:rsidR="0052331E" w:rsidRDefault="0052331E" w:rsidP="00A86E7B">
      <w:pPr>
        <w:spacing w:after="0"/>
      </w:pPr>
    </w:p>
    <w:p w14:paraId="2042CAD1" w14:textId="77777777" w:rsidR="0052331E" w:rsidRPr="00D12D86" w:rsidRDefault="0052331E" w:rsidP="00A86E7B">
      <w:pPr>
        <w:spacing w:after="0"/>
        <w:jc w:val="right"/>
        <w:rPr>
          <w:sz w:val="20"/>
          <w:szCs w:val="20"/>
        </w:rPr>
      </w:pPr>
      <w:r w:rsidRPr="00D12D86">
        <w:rPr>
          <w:sz w:val="20"/>
          <w:szCs w:val="20"/>
        </w:rPr>
        <w:t>Աղյուսակ 14</w:t>
      </w:r>
    </w:p>
    <w:p w14:paraId="3D6B8779" w14:textId="77777777" w:rsidR="0052331E" w:rsidRPr="00D12D86" w:rsidRDefault="0052331E" w:rsidP="00A86E7B">
      <w:pPr>
        <w:spacing w:after="0"/>
        <w:jc w:val="right"/>
        <w:rPr>
          <w:sz w:val="20"/>
          <w:szCs w:val="20"/>
        </w:rPr>
      </w:pPr>
      <w:r w:rsidRPr="00D12D86">
        <w:rPr>
          <w:sz w:val="20"/>
          <w:szCs w:val="20"/>
        </w:rPr>
        <w:t>մլն դրամ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725"/>
        <w:gridCol w:w="1426"/>
        <w:gridCol w:w="1481"/>
        <w:gridCol w:w="1461"/>
        <w:gridCol w:w="1267"/>
      </w:tblGrid>
      <w:tr w:rsidR="0052331E" w:rsidRPr="00D12D86" w14:paraId="0288136A" w14:textId="77777777" w:rsidTr="00A86E7B">
        <w:trPr>
          <w:trHeight w:val="3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4BD" w14:textId="1D707C9E" w:rsidR="0052331E" w:rsidRPr="003B6010" w:rsidRDefault="0052331E" w:rsidP="003B60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0F2" w14:textId="77777777" w:rsidR="0052331E" w:rsidRPr="003B6010" w:rsidRDefault="0052331E" w:rsidP="003B6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B6010">
              <w:rPr>
                <w:b/>
                <w:bCs/>
                <w:sz w:val="20"/>
                <w:szCs w:val="20"/>
              </w:rPr>
              <w:t>31.01.2020թ. դրությամբ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F66" w14:textId="77777777" w:rsidR="0052331E" w:rsidRPr="003B6010" w:rsidRDefault="0052331E" w:rsidP="003B6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B6010">
              <w:rPr>
                <w:b/>
                <w:bCs/>
                <w:sz w:val="20"/>
                <w:szCs w:val="20"/>
              </w:rPr>
              <w:t>29.02.2020թ. դրությամբ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CB7" w14:textId="77777777" w:rsidR="0052331E" w:rsidRPr="003B6010" w:rsidRDefault="0052331E" w:rsidP="003B6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B6010">
              <w:rPr>
                <w:b/>
                <w:bCs/>
                <w:sz w:val="20"/>
                <w:szCs w:val="20"/>
              </w:rPr>
              <w:t>31.03.2020թ. դրությամբ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F52" w14:textId="77777777" w:rsidR="0052331E" w:rsidRPr="003B6010" w:rsidRDefault="0052331E" w:rsidP="003B6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B6010">
              <w:rPr>
                <w:b/>
                <w:bCs/>
                <w:sz w:val="20"/>
                <w:szCs w:val="20"/>
              </w:rPr>
              <w:t>Ընդամենը</w:t>
            </w:r>
          </w:p>
        </w:tc>
      </w:tr>
      <w:tr w:rsidR="0052331E" w:rsidRPr="00D12D86" w14:paraId="4193939F" w14:textId="77777777" w:rsidTr="00A86E7B">
        <w:trPr>
          <w:trHeight w:val="4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CF2" w14:textId="77777777" w:rsidR="0052331E" w:rsidRPr="00D12D86" w:rsidRDefault="0052331E" w:rsidP="00C60AA9">
            <w:pPr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ՊԳՊ ընդ. շրջանառության ծավալ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5AC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704,134.83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C72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716,222.45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003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718,228.50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A77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</w:p>
        </w:tc>
      </w:tr>
      <w:tr w:rsidR="0052331E" w:rsidRPr="00D12D86" w14:paraId="769CF64C" w14:textId="77777777" w:rsidTr="00A86E7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409" w14:textId="77777777" w:rsidR="0052331E" w:rsidRPr="00D12D86" w:rsidRDefault="0052331E" w:rsidP="00C60AA9">
            <w:pPr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Տեղաբաշխում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EFB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26,813.47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144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17,446.58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C61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12,259.57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470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56,519.62</w:t>
            </w:r>
          </w:p>
        </w:tc>
      </w:tr>
      <w:tr w:rsidR="0052331E" w:rsidRPr="00D12D86" w14:paraId="0A46B28B" w14:textId="77777777" w:rsidTr="00A86E7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B19" w14:textId="77777777" w:rsidR="0052331E" w:rsidRPr="00D12D86" w:rsidRDefault="0052331E" w:rsidP="00C60AA9">
            <w:pPr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Տեղաբաշխումից մուտք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A46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28,746.99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393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18,396.17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A791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12,606.76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55C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59,749.91</w:t>
            </w:r>
          </w:p>
        </w:tc>
      </w:tr>
      <w:tr w:rsidR="0052331E" w:rsidRPr="00D12D86" w14:paraId="09693921" w14:textId="77777777" w:rsidTr="00A86E7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2FC" w14:textId="77777777" w:rsidR="0052331E" w:rsidRPr="00D12D86" w:rsidRDefault="0052331E" w:rsidP="00C60AA9">
            <w:pPr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Մարում/հետգնում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8FE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3,635.14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43F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5,236.75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4FC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10,023.93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80E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18,895.82</w:t>
            </w:r>
          </w:p>
        </w:tc>
      </w:tr>
      <w:tr w:rsidR="0052331E" w:rsidRPr="00D12D86" w14:paraId="062955B0" w14:textId="77777777" w:rsidTr="00A86E7B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AE0" w14:textId="77777777" w:rsidR="0052331E" w:rsidRPr="00D12D86" w:rsidRDefault="0052331E" w:rsidP="00C60AA9">
            <w:pPr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Սպասարկում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C95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203.26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55E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4,764.25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455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8,936.12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8A9" w14:textId="77777777" w:rsidR="0052331E" w:rsidRPr="00D12D86" w:rsidRDefault="0052331E" w:rsidP="00A86E7B">
            <w:pPr>
              <w:jc w:val="right"/>
              <w:rPr>
                <w:sz w:val="20"/>
                <w:szCs w:val="20"/>
              </w:rPr>
            </w:pPr>
            <w:r w:rsidRPr="00D12D86">
              <w:rPr>
                <w:sz w:val="20"/>
                <w:szCs w:val="20"/>
              </w:rPr>
              <w:t>13,903.63</w:t>
            </w:r>
          </w:p>
        </w:tc>
      </w:tr>
    </w:tbl>
    <w:p w14:paraId="7AC8EFB1" w14:textId="77777777" w:rsidR="0052331E" w:rsidRPr="007E03FB" w:rsidRDefault="0052331E" w:rsidP="00C60AA9"/>
    <w:p w14:paraId="09A04055" w14:textId="77777777" w:rsidR="0052331E" w:rsidRPr="007E03FB" w:rsidRDefault="0052331E" w:rsidP="00C60AA9"/>
    <w:p w14:paraId="685E0A7D" w14:textId="77777777" w:rsidR="00A153B8" w:rsidRDefault="00A153B8">
      <w:pPr>
        <w:spacing w:line="259" w:lineRule="auto"/>
        <w:jc w:val="left"/>
        <w:rPr>
          <w:rFonts w:eastAsiaTheme="majorEastAsia" w:cstheme="majorBidi"/>
          <w:b/>
          <w:bCs/>
          <w:color w:val="002060"/>
          <w:sz w:val="28"/>
          <w:szCs w:val="28"/>
        </w:rPr>
      </w:pPr>
      <w:r>
        <w:br w:type="page"/>
      </w:r>
    </w:p>
    <w:p w14:paraId="63D0A710" w14:textId="12A1E86B" w:rsidR="0052331E" w:rsidRPr="007E03FB" w:rsidRDefault="0052331E" w:rsidP="004F4A47">
      <w:pPr>
        <w:pStyle w:val="Heading3"/>
        <w:numPr>
          <w:ilvl w:val="0"/>
          <w:numId w:val="16"/>
        </w:numPr>
      </w:pPr>
      <w:bookmarkStart w:id="9" w:name="_Toc47020599"/>
      <w:r w:rsidRPr="007E03FB">
        <w:lastRenderedPageBreak/>
        <w:t>ՄՈՒՐՀԱԿՆԵՐԻ ՍՊԱՍԱՐԿՈՒՄ</w:t>
      </w:r>
      <w:bookmarkEnd w:id="9"/>
    </w:p>
    <w:p w14:paraId="56A5F4C4" w14:textId="77777777" w:rsidR="0052331E" w:rsidRPr="007E03FB" w:rsidRDefault="0052331E" w:rsidP="00C60AA9"/>
    <w:p w14:paraId="37ABE8E2" w14:textId="77777777" w:rsidR="0052331E" w:rsidRPr="007E03FB" w:rsidRDefault="0052331E" w:rsidP="00C60AA9">
      <w:r w:rsidRPr="007E03FB">
        <w:rPr>
          <w:rFonts w:cs="Sylfaen"/>
        </w:rPr>
        <w:tab/>
        <w:t>«</w:t>
      </w:r>
      <w:r w:rsidRPr="007E03FB">
        <w:t>Մուրհակների սպասարկում» ծրագրի շրջանակներում 2020թ. տարեկան ծախսերի համար 2020թ. պետական բյուջեով նախատեսվել է 93,232.0 հազ.դրամ գումար, 2020թ. առաջին եռամսյակի պլանը կազմել է 23,603.0 հազ.դրամ, նույնքան էլ ճշտված պլանը, դրամարկղի ծախսը՝ 23,543.01 հազ.դրամ, ճշտված պլանի և դրամարկղի ծախսի տարբերությունը՝ 59.99 հազ.դրամ:</w:t>
      </w:r>
    </w:p>
    <w:p w14:paraId="5911EC3C" w14:textId="38807578" w:rsidR="0052331E" w:rsidRDefault="0052331E" w:rsidP="00C60AA9">
      <w:r w:rsidRPr="007E03FB">
        <w:tab/>
        <w:t>Թերակատարումը, ֆինանսների նախարարության հիմնավորմամբ, կապված է 1-ին եռամսյակում մարման ենթակա մուրհակների մուրհակատերերի կողմից թվով 4 մուրհակների վճարման հայտերի չներկայացմամբ։</w:t>
      </w:r>
    </w:p>
    <w:p w14:paraId="3327462D" w14:textId="77777777" w:rsidR="00FF22CD" w:rsidRPr="007E03FB" w:rsidRDefault="00FF22CD" w:rsidP="00C60AA9"/>
    <w:p w14:paraId="6E63A4D9" w14:textId="209CA0B3" w:rsidR="0052331E" w:rsidRPr="007E03FB" w:rsidRDefault="0052331E" w:rsidP="009935B3">
      <w:pPr>
        <w:pStyle w:val="Heading3"/>
        <w:numPr>
          <w:ilvl w:val="0"/>
          <w:numId w:val="16"/>
        </w:numPr>
        <w:jc w:val="left"/>
      </w:pPr>
      <w:bookmarkStart w:id="10" w:name="_Toc47020600"/>
      <w:r w:rsidRPr="007E03FB">
        <w:t xml:space="preserve">ԴՈՏԱՑԻԱՆԵՐԻ ՏՐԱՄԱԴՐՈՒՄ </w:t>
      </w:r>
      <w:r w:rsidR="00F453BC">
        <w:t>ԵՎ</w:t>
      </w:r>
      <w:r w:rsidRPr="007E03FB">
        <w:t xml:space="preserve"> ՀԱՄԱՅՆՔՆԵՐԻ ԲՅՈՒՋԵՆԵՐԻ ԵԿԱՄՈՒՏՆԵՐԻ ԿՈՐՈՒՍՏՆԵՐԻ ՓՈԽՀԱՏՈՒՑՈՒՄ</w:t>
      </w:r>
      <w:bookmarkEnd w:id="10"/>
    </w:p>
    <w:p w14:paraId="7FB81DFA" w14:textId="77777777" w:rsidR="0052331E" w:rsidRPr="007E03FB" w:rsidRDefault="0052331E" w:rsidP="00C60AA9"/>
    <w:p w14:paraId="5562F77B" w14:textId="77777777" w:rsidR="0052331E" w:rsidRPr="007E03FB" w:rsidRDefault="0052331E" w:rsidP="00C60AA9">
      <w:r w:rsidRPr="007E03FB">
        <w:tab/>
        <w:t>«Համայնքների բյուջեներին ֆինանսական համահարթեցման սկզբունքով դոտացիաների տրամադրում և Ազգային Ժողովի ընդունած օրենքների կիրարկման արդյունքում համայնքների բյուջեների եկամուտների կորուստների փոխհատուցում» ծրագրի շրջանակներում 2020թ. տարեկան ծախսերի համար 2020թ. պետական բյուջեով նախատեսվել է 55,378,535.0 հազ.դրամ գումար, 2020թ. առաջին եռամսյակի պլանը կազմել է 13,844,642.1 հազ.դրամ, նույնքան էլ ճշտված պլանը, դրամարկղի ծախսը՝ 13,844,642.1 հազ. դրամ:</w:t>
      </w:r>
    </w:p>
    <w:p w14:paraId="50BD06AB" w14:textId="77777777" w:rsidR="0052331E" w:rsidRPr="007E03FB" w:rsidRDefault="0052331E" w:rsidP="00C60AA9">
      <w:r w:rsidRPr="007E03FB">
        <w:tab/>
        <w:t>Նշված ծրագրի շրջանակներում ծախսերը ունեն հետևյալ կատարողականները.</w:t>
      </w:r>
    </w:p>
    <w:p w14:paraId="3B047141" w14:textId="77777777" w:rsidR="00805D2F" w:rsidRDefault="00805D2F" w:rsidP="00B21C3F">
      <w:pPr>
        <w:pStyle w:val="ListParagraph"/>
        <w:jc w:val="right"/>
        <w:rPr>
          <w:sz w:val="20"/>
          <w:szCs w:val="20"/>
        </w:rPr>
      </w:pPr>
    </w:p>
    <w:p w14:paraId="1C5D9E7F" w14:textId="2E6D87EE" w:rsidR="0052331E" w:rsidRPr="00B21C3F" w:rsidRDefault="0052331E" w:rsidP="00B21C3F">
      <w:pPr>
        <w:pStyle w:val="ListParagraph"/>
        <w:jc w:val="right"/>
        <w:rPr>
          <w:sz w:val="20"/>
          <w:szCs w:val="20"/>
        </w:rPr>
      </w:pPr>
      <w:r w:rsidRPr="00B21C3F">
        <w:rPr>
          <w:sz w:val="20"/>
          <w:szCs w:val="20"/>
        </w:rPr>
        <w:t>(Աղյուսակ 15)</w:t>
      </w:r>
    </w:p>
    <w:p w14:paraId="4E9625CF" w14:textId="77777777" w:rsidR="0052331E" w:rsidRPr="00B21C3F" w:rsidRDefault="0052331E" w:rsidP="00B21C3F">
      <w:pPr>
        <w:pStyle w:val="ListParagraph"/>
        <w:jc w:val="right"/>
        <w:rPr>
          <w:sz w:val="20"/>
          <w:szCs w:val="20"/>
        </w:rPr>
      </w:pPr>
      <w:r w:rsidRPr="00B21C3F">
        <w:rPr>
          <w:sz w:val="20"/>
          <w:szCs w:val="20"/>
        </w:rPr>
        <w:t>Հազ. դրամ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59"/>
        <w:gridCol w:w="1559"/>
        <w:gridCol w:w="1418"/>
        <w:gridCol w:w="1134"/>
      </w:tblGrid>
      <w:tr w:rsidR="0052331E" w:rsidRPr="00B17713" w14:paraId="062F0D5A" w14:textId="77777777" w:rsidTr="00826298">
        <w:trPr>
          <w:trHeight w:val="10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E76" w14:textId="47257304" w:rsidR="0052331E" w:rsidRPr="006F3F87" w:rsidRDefault="0052331E" w:rsidP="00826298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 xml:space="preserve">Ծրագիր </w:t>
            </w:r>
            <w:r w:rsidRPr="006F3F87">
              <w:rPr>
                <w:b/>
                <w:bCs/>
                <w:sz w:val="20"/>
                <w:szCs w:val="20"/>
                <w:lang w:eastAsia="ru-RU"/>
              </w:rPr>
              <w:t>(հ</w:t>
            </w: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ոդված</w:t>
            </w:r>
            <w:r w:rsidRPr="006F3F87">
              <w:rPr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406" w14:textId="02BA3DE5" w:rsidR="0052331E" w:rsidRPr="006F3F87" w:rsidRDefault="0052331E" w:rsidP="00826298">
            <w:pPr>
              <w:spacing w:after="0"/>
              <w:ind w:left="-107"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2020թ. առաջին եռամսյակի ճշտված պլան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718" w14:textId="77777777" w:rsidR="0052331E" w:rsidRPr="006F3F87" w:rsidRDefault="0052331E" w:rsidP="00826298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Ֆինանսավորում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768" w14:textId="77777777" w:rsidR="0052331E" w:rsidRPr="006F3F87" w:rsidRDefault="0052331E" w:rsidP="00826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F3F87">
              <w:rPr>
                <w:b/>
                <w:bCs/>
                <w:sz w:val="20"/>
                <w:szCs w:val="20"/>
                <w:lang w:eastAsia="ru-RU"/>
              </w:rPr>
              <w:t>Դրամարկղային ծախս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C01" w14:textId="3DE51AB6" w:rsidR="0052331E" w:rsidRPr="006F3F87" w:rsidRDefault="0052331E" w:rsidP="00826298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Փաստացի ծախս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396E" w14:textId="0F7B17CE" w:rsidR="0052331E" w:rsidRPr="006F3F87" w:rsidRDefault="0052331E" w:rsidP="00826298">
            <w:pPr>
              <w:spacing w:after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 xml:space="preserve">Կատարման %-ը </w:t>
            </w: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br/>
              <w:t>6=4/2 x100%</w:t>
            </w:r>
          </w:p>
        </w:tc>
      </w:tr>
      <w:tr w:rsidR="0052331E" w:rsidRPr="00B17713" w14:paraId="13B64A9C" w14:textId="77777777" w:rsidTr="0088352D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7BF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11E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080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359B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39C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B84" w14:textId="77777777" w:rsidR="0052331E" w:rsidRPr="006F3F87" w:rsidRDefault="0052331E" w:rsidP="00B177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3F87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52331E" w:rsidRPr="00B17713" w14:paraId="076A7FDC" w14:textId="77777777" w:rsidTr="00A153B8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0C7A" w14:textId="77777777" w:rsidR="0052331E" w:rsidRPr="00B17713" w:rsidRDefault="0052331E" w:rsidP="00C60AA9">
            <w:pPr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7AF1" w14:textId="77777777" w:rsidR="0052331E" w:rsidRPr="00B17713" w:rsidRDefault="0052331E" w:rsidP="00FC2A75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</w:rPr>
              <w:t>13,844,642.1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2221" w14:textId="77777777" w:rsidR="0052331E" w:rsidRPr="00B17713" w:rsidRDefault="0052331E" w:rsidP="00FC2A75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</w:rPr>
              <w:t>13,844,642.1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16C3" w14:textId="77777777" w:rsidR="0052331E" w:rsidRPr="00B17713" w:rsidRDefault="0052331E" w:rsidP="00FC2A75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</w:rPr>
              <w:t>13,844,642.1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41AF" w14:textId="77777777" w:rsidR="0052331E" w:rsidRPr="00B17713" w:rsidRDefault="0052331E" w:rsidP="00FC2A75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</w:rPr>
              <w:t>13,844,642.1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A062" w14:textId="77777777" w:rsidR="0052331E" w:rsidRPr="00B17713" w:rsidRDefault="0052331E" w:rsidP="00FC2A75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</w:rPr>
              <w:t>100.0</w:t>
            </w:r>
          </w:p>
        </w:tc>
      </w:tr>
      <w:tr w:rsidR="0052331E" w:rsidRPr="00B17713" w14:paraId="79CA5EA1" w14:textId="77777777" w:rsidTr="00A153B8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CD80" w14:textId="77777777" w:rsidR="0052331E" w:rsidRPr="00B17713" w:rsidRDefault="0052331E" w:rsidP="007D4358">
            <w:pPr>
              <w:jc w:val="left"/>
              <w:rPr>
                <w:sz w:val="20"/>
                <w:szCs w:val="20"/>
                <w:lang w:eastAsia="ru-RU"/>
              </w:rPr>
            </w:pPr>
            <w:r w:rsidRPr="00B17713">
              <w:rPr>
                <w:sz w:val="20"/>
                <w:szCs w:val="20"/>
                <w:lang w:eastAsia="ru-RU"/>
              </w:rPr>
              <w:lastRenderedPageBreak/>
              <w:t>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7247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13,828,071.7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246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13,828,071.7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313C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13,828,071.7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169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13,828,071.7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3873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100.0</w:t>
            </w:r>
          </w:p>
        </w:tc>
      </w:tr>
      <w:tr w:rsidR="0052331E" w:rsidRPr="00B17713" w14:paraId="58EC7190" w14:textId="77777777" w:rsidTr="0088352D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31EF" w14:textId="77777777" w:rsidR="0052331E" w:rsidRPr="00B17713" w:rsidRDefault="0052331E" w:rsidP="007D4358">
            <w:pPr>
              <w:jc w:val="left"/>
              <w:rPr>
                <w:sz w:val="20"/>
                <w:szCs w:val="20"/>
                <w:lang w:eastAsia="ru-RU"/>
              </w:rPr>
            </w:pPr>
            <w:r w:rsidRPr="00B17713">
              <w:rPr>
                <w:sz w:val="20"/>
                <w:szCs w:val="20"/>
                <w:lang w:eastAsia="ru-RU"/>
              </w:rPr>
              <w:t>Օրենքների կիրարկման արդյունքում համայնքների բյուջեների կորուստների փոխհատուցում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89F3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16,570.4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6E1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16,570.4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0AD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16,570.4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365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16,570.4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AC86" w14:textId="77777777" w:rsidR="0052331E" w:rsidRPr="00B17713" w:rsidRDefault="0052331E" w:rsidP="00FC2A7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17713">
              <w:rPr>
                <w:sz w:val="20"/>
                <w:szCs w:val="20"/>
                <w:lang w:val="ru-RU" w:eastAsia="ru-RU"/>
              </w:rPr>
              <w:t>100.0</w:t>
            </w:r>
          </w:p>
        </w:tc>
      </w:tr>
    </w:tbl>
    <w:p w14:paraId="13C6C532" w14:textId="1DA27789" w:rsidR="00C31E76" w:rsidRPr="007E03FB" w:rsidRDefault="00C31E76" w:rsidP="00C60AA9"/>
    <w:p w14:paraId="5261F3F8" w14:textId="3FBC6A08" w:rsidR="0052331E" w:rsidRPr="007E03FB" w:rsidRDefault="0052331E" w:rsidP="004F4A47">
      <w:pPr>
        <w:pStyle w:val="Heading3"/>
        <w:numPr>
          <w:ilvl w:val="0"/>
          <w:numId w:val="16"/>
        </w:numPr>
      </w:pPr>
      <w:bookmarkStart w:id="11" w:name="_Toc47020601"/>
      <w:r w:rsidRPr="007E03FB">
        <w:t>ՌԴ ԿՈՂՄԻՑ ՀՀ-ԻՆ ԱՆՀԱՏՈՒՅՑ ՖԻՆԱՆՍԱԿԱՆ ՕԳՆՈՒԹՅԱՆ ԴՐԱՄԱՇՆՈՐՀԱՅԻՆ ԾՐԱԳԻՐ</w:t>
      </w:r>
      <w:bookmarkEnd w:id="11"/>
    </w:p>
    <w:p w14:paraId="12D947A4" w14:textId="77777777" w:rsidR="0052331E" w:rsidRPr="007E03FB" w:rsidRDefault="0052331E" w:rsidP="00C60AA9"/>
    <w:p w14:paraId="349E0A30" w14:textId="47C757A8" w:rsidR="0052331E" w:rsidRPr="007E03FB" w:rsidRDefault="00BA5262" w:rsidP="00C60AA9">
      <w:r>
        <w:tab/>
      </w:r>
      <w:r w:rsidR="00451746">
        <w:t>«</w:t>
      </w:r>
      <w:r w:rsidR="00451746" w:rsidRPr="000A0A36">
        <w:rPr>
          <w:rFonts w:cs="Sylfaen"/>
        </w:rPr>
        <w:t xml:space="preserve">Ռուսաստանի Դաշնության կողմից Հայաստանի Հանրապետությանն անհատույց ֆինանսական օգնության դրամաշնորհային ծրագրի շրջանակներում </w:t>
      </w:r>
      <w:r w:rsidR="005E13B1" w:rsidRPr="005E13B1">
        <w:rPr>
          <w:rFonts w:cs="Sylfaen"/>
        </w:rPr>
        <w:t>Կառավարության ֆինանսական կառավարման տեղեկատվական համակարգերի ներդրում</w:t>
      </w:r>
      <w:r w:rsidR="0052331E" w:rsidRPr="007E03FB">
        <w:rPr>
          <w:rFonts w:cs="Courier New"/>
        </w:rPr>
        <w:t>»</w:t>
      </w:r>
      <w:r w:rsidR="0052331E" w:rsidRPr="007E03FB">
        <w:t xml:space="preserve"> ծրագրի շրջանակներում 2020թ. տարեկան ծախսերի համար 2020թ. պետական բյուջեով նախատեսվել է 1,820,363.1 հազ.դրամ գումար, 2020թ. առաջին եռամսյակի պլանը կազմել է 455,090.8 հազ.դրամ, նույնքան էլ ճշտված պլանը։ Ծրագրի շրջանակներում դրամարկղի ծախսը կազմել է 0 դրամ, իսկ ճշտված պլանի և դրամարկղի ծախսի տարբերությունը՝ 455,090.8 հազ.դրամ։</w:t>
      </w:r>
    </w:p>
    <w:p w14:paraId="5968CD4A" w14:textId="5030CCF1" w:rsidR="00AE42F9" w:rsidRDefault="00BA5262" w:rsidP="002D4FB5">
      <w:r>
        <w:tab/>
      </w:r>
      <w:r w:rsidR="0052331E" w:rsidRPr="007E03FB">
        <w:t>Ծրագիրը չի իրականացվել, ինչի կապակցությամբ ֆինանսների նախարարությունը ներկայացրել է հիմնավորում, մասնավորապես՝ մրցութային փաստաթղթերի մշակման և ավարտական տեսքի բերելու համար ներգրավելիք միջազգային խորհրդատուի հետ պայմանագրի կնքելու գործընթացի երկարաձգմամբ պայմանավորված, մրցույթային փաստաթղթերը դեռ չեն ներկայացվել, մրցույթները չեն անցկացվել և համապատասխան միջոցառումներ չեն իրականացվել</w:t>
      </w:r>
      <w:r w:rsidR="0052331E">
        <w:t>։</w:t>
      </w:r>
    </w:p>
    <w:p w14:paraId="7B330A05" w14:textId="7014652A" w:rsidR="000D497F" w:rsidRDefault="000D497F">
      <w:pPr>
        <w:spacing w:line="259" w:lineRule="auto"/>
        <w:jc w:val="left"/>
      </w:pPr>
      <w:r>
        <w:br w:type="page"/>
      </w:r>
    </w:p>
    <w:p w14:paraId="082FD9A5" w14:textId="0C9E6EAB" w:rsidR="00165F7A" w:rsidRDefault="00165F7A" w:rsidP="00165F7A">
      <w:pPr>
        <w:pStyle w:val="VP1"/>
      </w:pPr>
      <w:bookmarkStart w:id="12" w:name="_Toc47020602"/>
      <w:r w:rsidRPr="00165F7A">
        <w:lastRenderedPageBreak/>
        <w:t>ԽԵՂԱԹՅՈՒՐՈՒՄՆԵՐԻ ՎԵՐԱԲԵՐՅԱԼ ԳՐԱՌՈՒՄՆԵՐ</w:t>
      </w:r>
      <w:bookmarkEnd w:id="12"/>
    </w:p>
    <w:p w14:paraId="3117ECB3" w14:textId="77777777" w:rsidR="00C31E76" w:rsidRDefault="00153005" w:rsidP="00153005">
      <w:r>
        <w:tab/>
      </w:r>
    </w:p>
    <w:p w14:paraId="35086000" w14:textId="61922319" w:rsidR="00165F7A" w:rsidRDefault="00C442BC" w:rsidP="00153005">
      <w:r>
        <w:tab/>
      </w:r>
      <w:r w:rsidR="00153005">
        <w:t xml:space="preserve">Հաշվեքննության իրակնացման համար </w:t>
      </w:r>
      <w:r w:rsidR="009754F0">
        <w:t>ստացվել է բավարար տեղեկատվություն։</w:t>
      </w:r>
    </w:p>
    <w:p w14:paraId="6D9422D8" w14:textId="43565577" w:rsidR="0040660A" w:rsidRDefault="00803A27" w:rsidP="005678A6">
      <w:r>
        <w:tab/>
        <w:t>Հաշվեքննության ընթացքում էական խեղաթյուրումներ չեն հայտնաբերվել։</w:t>
      </w:r>
    </w:p>
    <w:p w14:paraId="6219885A" w14:textId="0890C189" w:rsidR="005678A6" w:rsidRDefault="005678A6" w:rsidP="005678A6"/>
    <w:p w14:paraId="345D5A45" w14:textId="77777777" w:rsidR="005678A6" w:rsidRPr="009754F0" w:rsidRDefault="005678A6" w:rsidP="005678A6"/>
    <w:p w14:paraId="5979E621" w14:textId="6B3D36FC" w:rsidR="000D497F" w:rsidRPr="00EF3119" w:rsidRDefault="000D497F" w:rsidP="000D497F">
      <w:pPr>
        <w:pStyle w:val="VP1"/>
      </w:pPr>
      <w:bookmarkStart w:id="13" w:name="_Toc47020603"/>
      <w:r>
        <w:rPr>
          <w:lang w:val="hy-AM"/>
        </w:rPr>
        <w:t>ԱՌԱՋԱՐԿՈՒԹՅՈՒՆՆԵՐ</w:t>
      </w:r>
      <w:bookmarkEnd w:id="13"/>
    </w:p>
    <w:p w14:paraId="0371CF9E" w14:textId="680DFC30" w:rsidR="00EF3119" w:rsidRDefault="00EF3119" w:rsidP="007D3751"/>
    <w:p w14:paraId="7B90BED6" w14:textId="2D42D403" w:rsidR="007D3751" w:rsidRPr="00FD4B12" w:rsidRDefault="00455822" w:rsidP="00DD6426">
      <w:pPr>
        <w:pStyle w:val="ListParagraph"/>
        <w:numPr>
          <w:ilvl w:val="0"/>
          <w:numId w:val="19"/>
        </w:numPr>
        <w:ind w:left="426" w:hanging="426"/>
      </w:pPr>
      <w:r>
        <w:t xml:space="preserve">Առաջարկում ենք </w:t>
      </w:r>
      <w:r w:rsidR="00D66E75">
        <w:t xml:space="preserve">ուղղել </w:t>
      </w:r>
      <w:r w:rsidR="0045137B">
        <w:t xml:space="preserve">ՀՀ </w:t>
      </w:r>
      <w:r w:rsidR="00714CA7">
        <w:rPr>
          <w:rFonts w:cs="Sylfaen"/>
        </w:rPr>
        <w:t xml:space="preserve">ֆինանսների նախարարության պաշտոնական կայքում հրապարակված </w:t>
      </w:r>
      <w:hyperlink r:id="rId11" w:history="1">
        <w:r w:rsidR="00714CA7" w:rsidRPr="00C56D23">
          <w:rPr>
            <w:rStyle w:val="Hyperlink"/>
            <w:rFonts w:cs="Sylfaen"/>
          </w:rPr>
          <w:t>«Պետական բյուջեի կատարման վերաբերյալ ամսական տեղեկատվությունը»</w:t>
        </w:r>
      </w:hyperlink>
      <w:r w:rsidR="0014467B">
        <w:t xml:space="preserve"> հաշվետվությունը, որտեղ </w:t>
      </w:r>
      <w:r w:rsidR="00185F07" w:rsidRPr="00A07E03">
        <w:rPr>
          <w:rFonts w:cs="Sylfaen"/>
        </w:rPr>
        <w:t xml:space="preserve">հարկային օրենսդրության խախտման համար սահմանված </w:t>
      </w:r>
      <w:r w:rsidR="006551CD" w:rsidRPr="00A07E03">
        <w:rPr>
          <w:rFonts w:cs="Sylfaen"/>
        </w:rPr>
        <w:t xml:space="preserve">տուգանքները </w:t>
      </w:r>
      <w:r w:rsidR="00C3668E">
        <w:rPr>
          <w:rFonts w:cs="Sylfaen"/>
        </w:rPr>
        <w:t xml:space="preserve">հրապարակված են </w:t>
      </w:r>
      <w:r w:rsidR="00185F07" w:rsidRPr="00A07E03">
        <w:rPr>
          <w:rFonts w:cs="Sylfaen"/>
        </w:rPr>
        <w:t>594.2 մլն դրամ</w:t>
      </w:r>
      <w:r w:rsidR="00C3668E">
        <w:rPr>
          <w:rFonts w:cs="Sylfaen"/>
        </w:rPr>
        <w:t xml:space="preserve">ի չափով, սակայն </w:t>
      </w:r>
      <w:r w:rsidR="00111D09">
        <w:rPr>
          <w:rFonts w:cs="Sylfaen"/>
        </w:rPr>
        <w:t xml:space="preserve">պետք է </w:t>
      </w:r>
      <w:r w:rsidR="006A475A">
        <w:rPr>
          <w:rFonts w:cs="Sylfaen"/>
        </w:rPr>
        <w:t xml:space="preserve">նշված գումարի </w:t>
      </w:r>
      <w:r w:rsidR="00094759">
        <w:rPr>
          <w:rFonts w:cs="Sylfaen"/>
        </w:rPr>
        <w:t xml:space="preserve">իրական չափը կազմում է </w:t>
      </w:r>
      <w:r w:rsidR="00094759" w:rsidRPr="00A07E03">
        <w:rPr>
          <w:rFonts w:cs="Sylfaen"/>
        </w:rPr>
        <w:t>794.9 մլն դրամ</w:t>
      </w:r>
      <w:r w:rsidR="0042543F">
        <w:rPr>
          <w:rFonts w:cs="Sylfaen"/>
        </w:rPr>
        <w:t>։</w:t>
      </w:r>
    </w:p>
    <w:p w14:paraId="77CC3940" w14:textId="78BDCD49" w:rsidR="00FD4B12" w:rsidRDefault="00FD4B12" w:rsidP="00FD4B12"/>
    <w:p w14:paraId="2479750A" w14:textId="628BBC80" w:rsidR="00FD4B12" w:rsidRDefault="00FD4B12" w:rsidP="00FD4B12"/>
    <w:p w14:paraId="25CB595C" w14:textId="052FF69E" w:rsidR="00FD4B12" w:rsidRDefault="00FD4B12" w:rsidP="00FD4B12"/>
    <w:p w14:paraId="1C14B6DC" w14:textId="61B7D6E2" w:rsidR="00FD4B12" w:rsidRDefault="00FD4B12" w:rsidP="00FD4B12"/>
    <w:p w14:paraId="64BB8872" w14:textId="096E7048" w:rsidR="00FD4B12" w:rsidRDefault="00FD4B12" w:rsidP="00FD4B12"/>
    <w:p w14:paraId="6CD63F16" w14:textId="723F3363" w:rsidR="00FD4B12" w:rsidRDefault="00FD4B12" w:rsidP="00FD4B12">
      <w:bookmarkStart w:id="14" w:name="_GoBack"/>
      <w:bookmarkEnd w:id="14"/>
    </w:p>
    <w:sectPr w:rsidR="00FD4B12" w:rsidSect="00316F20">
      <w:headerReference w:type="default" r:id="rId12"/>
      <w:pgSz w:w="11906" w:h="16838" w:code="9"/>
      <w:pgMar w:top="1564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BF4E" w14:textId="77777777" w:rsidR="00347AB5" w:rsidRDefault="00347AB5" w:rsidP="00C60AA9">
      <w:r>
        <w:separator/>
      </w:r>
    </w:p>
    <w:p w14:paraId="409801B5" w14:textId="77777777" w:rsidR="00347AB5" w:rsidRDefault="00347AB5" w:rsidP="00C60AA9"/>
  </w:endnote>
  <w:endnote w:type="continuationSeparator" w:id="0">
    <w:p w14:paraId="14285440" w14:textId="77777777" w:rsidR="00347AB5" w:rsidRDefault="00347AB5" w:rsidP="00C60AA9">
      <w:r>
        <w:continuationSeparator/>
      </w:r>
    </w:p>
    <w:p w14:paraId="6A34DD09" w14:textId="77777777" w:rsidR="00347AB5" w:rsidRDefault="00347AB5" w:rsidP="00C60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C5D8" w14:textId="77777777" w:rsidR="00347AB5" w:rsidRDefault="00347AB5" w:rsidP="00C60AA9">
      <w:r>
        <w:separator/>
      </w:r>
    </w:p>
    <w:p w14:paraId="59FFD931" w14:textId="77777777" w:rsidR="00347AB5" w:rsidRDefault="00347AB5" w:rsidP="00C60AA9"/>
  </w:footnote>
  <w:footnote w:type="continuationSeparator" w:id="0">
    <w:p w14:paraId="66899FB8" w14:textId="77777777" w:rsidR="00347AB5" w:rsidRDefault="00347AB5" w:rsidP="00C60AA9">
      <w:r>
        <w:continuationSeparator/>
      </w:r>
    </w:p>
    <w:p w14:paraId="48C14D21" w14:textId="77777777" w:rsidR="00347AB5" w:rsidRDefault="00347AB5" w:rsidP="00C60A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E402" w14:textId="6FA5089A" w:rsidR="0023103B" w:rsidRDefault="002310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47E18D" wp14:editId="37C18F52">
              <wp:simplePos x="0" y="0"/>
              <wp:positionH relativeFrom="rightMargin">
                <wp:posOffset>-257175</wp:posOffset>
              </wp:positionH>
              <wp:positionV relativeFrom="page">
                <wp:posOffset>333375</wp:posOffset>
              </wp:positionV>
              <wp:extent cx="432000" cy="720000"/>
              <wp:effectExtent l="0" t="0" r="6350" b="4445"/>
              <wp:wrapTight wrapText="bothSides">
                <wp:wrapPolygon edited="0">
                  <wp:start x="0" y="0"/>
                  <wp:lineTo x="0" y="21162"/>
                  <wp:lineTo x="20965" y="21162"/>
                  <wp:lineTo x="20965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72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6FF0" w14:textId="7FFE6377" w:rsidR="0023103B" w:rsidRPr="00E45F04" w:rsidRDefault="0023103B" w:rsidP="0023440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45F04">
                            <w:fldChar w:fldCharType="begin"/>
                          </w:r>
                          <w:r w:rsidRPr="00E45F04">
                            <w:instrText xml:space="preserve"> PAGE    \* MERGEFORMAT </w:instrText>
                          </w:r>
                          <w:r w:rsidRPr="00E45F04">
                            <w:fldChar w:fldCharType="separate"/>
                          </w:r>
                          <w:r w:rsidR="00053DD3" w:rsidRPr="00053DD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20</w:t>
                          </w:r>
                          <w:r w:rsidRPr="00E45F0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3092B14" w14:textId="77777777" w:rsidR="0023103B" w:rsidRDefault="0023103B" w:rsidP="00CA4B1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7E1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0.25pt;margin-top:26.25pt;width:34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" fillcolor="#1f4d78 [1604]" stroked="f">
              <v:textbox inset="0,0,0,0">
                <w:txbxContent>
                  <w:p w14:paraId="31FA6FF0" w14:textId="7FFE6377" w:rsidR="0023103B" w:rsidRPr="00E45F04" w:rsidRDefault="0023103B" w:rsidP="0023440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E45F04">
                      <w:fldChar w:fldCharType="begin"/>
                    </w:r>
                    <w:r w:rsidRPr="00E45F04">
                      <w:instrText xml:space="preserve"> PAGE    \* MERGEFORMAT </w:instrText>
                    </w:r>
                    <w:r w:rsidRPr="00E45F04">
                      <w:fldChar w:fldCharType="separate"/>
                    </w:r>
                    <w:r w:rsidR="00053DD3" w:rsidRPr="00053DD3">
                      <w:rPr>
                        <w:b/>
                        <w:bCs/>
                        <w:noProof/>
                        <w:color w:val="FFFFFF" w:themeColor="background1"/>
                      </w:rPr>
                      <w:t>20</w:t>
                    </w:r>
                    <w:r w:rsidRPr="00E45F04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13092B14" w14:textId="77777777" w:rsidR="0023103B" w:rsidRDefault="0023103B" w:rsidP="00CA4B11">
                    <w:pPr>
                      <w:jc w:val="right"/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3D4D" w14:textId="18035810" w:rsidR="0023103B" w:rsidRPr="003949BD" w:rsidRDefault="0023103B" w:rsidP="0039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2FD"/>
    <w:multiLevelType w:val="hybridMultilevel"/>
    <w:tmpl w:val="1F100326"/>
    <w:lvl w:ilvl="0" w:tplc="18A01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41CBB"/>
    <w:multiLevelType w:val="hybridMultilevel"/>
    <w:tmpl w:val="9CB08388"/>
    <w:lvl w:ilvl="0" w:tplc="6FE41D48">
      <w:start w:val="1"/>
      <w:numFmt w:val="upperRoman"/>
      <w:pStyle w:val="VP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4F18"/>
    <w:multiLevelType w:val="hybridMultilevel"/>
    <w:tmpl w:val="575A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FD4"/>
    <w:multiLevelType w:val="hybridMultilevel"/>
    <w:tmpl w:val="A90A80DA"/>
    <w:lvl w:ilvl="0" w:tplc="CB96E1AA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498"/>
    <w:multiLevelType w:val="hybridMultilevel"/>
    <w:tmpl w:val="4AFCF94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AC20BFA"/>
    <w:multiLevelType w:val="hybridMultilevel"/>
    <w:tmpl w:val="72243588"/>
    <w:lvl w:ilvl="0" w:tplc="BD9C9E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4110"/>
    <w:multiLevelType w:val="hybridMultilevel"/>
    <w:tmpl w:val="CECA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2091"/>
    <w:multiLevelType w:val="hybridMultilevel"/>
    <w:tmpl w:val="CECA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1183"/>
    <w:multiLevelType w:val="hybridMultilevel"/>
    <w:tmpl w:val="FFC8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70483"/>
    <w:multiLevelType w:val="hybridMultilevel"/>
    <w:tmpl w:val="72243588"/>
    <w:lvl w:ilvl="0" w:tplc="BD9C9E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1D9F"/>
    <w:multiLevelType w:val="hybridMultilevel"/>
    <w:tmpl w:val="BF24723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3FA349B"/>
    <w:multiLevelType w:val="hybridMultilevel"/>
    <w:tmpl w:val="5EAA34D2"/>
    <w:lvl w:ilvl="0" w:tplc="D4A686FE">
      <w:start w:val="2020"/>
      <w:numFmt w:val="bullet"/>
      <w:lvlText w:val="-"/>
      <w:lvlJc w:val="left"/>
      <w:pPr>
        <w:ind w:left="117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BB3995"/>
    <w:multiLevelType w:val="hybridMultilevel"/>
    <w:tmpl w:val="CECA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873D0"/>
    <w:multiLevelType w:val="hybridMultilevel"/>
    <w:tmpl w:val="F9E8EA06"/>
    <w:lvl w:ilvl="0" w:tplc="70D637A2">
      <w:start w:val="1"/>
      <w:numFmt w:val="decimal"/>
      <w:pStyle w:val="Heading3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5B0"/>
    <w:multiLevelType w:val="hybridMultilevel"/>
    <w:tmpl w:val="A1C8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3C6D"/>
    <w:multiLevelType w:val="hybridMultilevel"/>
    <w:tmpl w:val="570A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3"/>
    <w:rsid w:val="000069C5"/>
    <w:rsid w:val="000133A6"/>
    <w:rsid w:val="000240B0"/>
    <w:rsid w:val="00033F36"/>
    <w:rsid w:val="00037790"/>
    <w:rsid w:val="00040C84"/>
    <w:rsid w:val="00053DD3"/>
    <w:rsid w:val="00060B13"/>
    <w:rsid w:val="00065F6B"/>
    <w:rsid w:val="000922FF"/>
    <w:rsid w:val="00094759"/>
    <w:rsid w:val="00094E28"/>
    <w:rsid w:val="00095928"/>
    <w:rsid w:val="000A0A36"/>
    <w:rsid w:val="000A2E1F"/>
    <w:rsid w:val="000A5844"/>
    <w:rsid w:val="000A5A6A"/>
    <w:rsid w:val="000B2DD3"/>
    <w:rsid w:val="000C00F7"/>
    <w:rsid w:val="000D0670"/>
    <w:rsid w:val="000D1835"/>
    <w:rsid w:val="000D497F"/>
    <w:rsid w:val="000D57D8"/>
    <w:rsid w:val="000E0C8C"/>
    <w:rsid w:val="000E11E4"/>
    <w:rsid w:val="000E23F9"/>
    <w:rsid w:val="000E2699"/>
    <w:rsid w:val="000E3149"/>
    <w:rsid w:val="000F0FCA"/>
    <w:rsid w:val="000F3D40"/>
    <w:rsid w:val="000F5EFE"/>
    <w:rsid w:val="001062F9"/>
    <w:rsid w:val="00111CAA"/>
    <w:rsid w:val="00111D09"/>
    <w:rsid w:val="00114C55"/>
    <w:rsid w:val="00116B3E"/>
    <w:rsid w:val="00117EA4"/>
    <w:rsid w:val="001232A9"/>
    <w:rsid w:val="001240F0"/>
    <w:rsid w:val="00124752"/>
    <w:rsid w:val="00131000"/>
    <w:rsid w:val="00136A4C"/>
    <w:rsid w:val="001426C7"/>
    <w:rsid w:val="0014467B"/>
    <w:rsid w:val="00146E91"/>
    <w:rsid w:val="00153005"/>
    <w:rsid w:val="0015668C"/>
    <w:rsid w:val="00165671"/>
    <w:rsid w:val="00165F7A"/>
    <w:rsid w:val="00170F47"/>
    <w:rsid w:val="001770EE"/>
    <w:rsid w:val="00177F7D"/>
    <w:rsid w:val="00184193"/>
    <w:rsid w:val="00184C97"/>
    <w:rsid w:val="001855FB"/>
    <w:rsid w:val="00185F07"/>
    <w:rsid w:val="00187EBB"/>
    <w:rsid w:val="00195B8B"/>
    <w:rsid w:val="001965B7"/>
    <w:rsid w:val="00196822"/>
    <w:rsid w:val="00197555"/>
    <w:rsid w:val="001B36C5"/>
    <w:rsid w:val="001B38D6"/>
    <w:rsid w:val="001B6BD3"/>
    <w:rsid w:val="001B7EC8"/>
    <w:rsid w:val="001C03A1"/>
    <w:rsid w:val="001C03CD"/>
    <w:rsid w:val="001C056B"/>
    <w:rsid w:val="001C216F"/>
    <w:rsid w:val="001C3535"/>
    <w:rsid w:val="001C6F69"/>
    <w:rsid w:val="001D63CD"/>
    <w:rsid w:val="001F0111"/>
    <w:rsid w:val="001F0B15"/>
    <w:rsid w:val="001F3088"/>
    <w:rsid w:val="001F32A9"/>
    <w:rsid w:val="001F35E0"/>
    <w:rsid w:val="001F69C2"/>
    <w:rsid w:val="0020534D"/>
    <w:rsid w:val="002072E9"/>
    <w:rsid w:val="00220E21"/>
    <w:rsid w:val="00221BFB"/>
    <w:rsid w:val="00221E48"/>
    <w:rsid w:val="0023103B"/>
    <w:rsid w:val="00234406"/>
    <w:rsid w:val="00236DF2"/>
    <w:rsid w:val="00243660"/>
    <w:rsid w:val="002473B1"/>
    <w:rsid w:val="00250539"/>
    <w:rsid w:val="00260875"/>
    <w:rsid w:val="00260CB0"/>
    <w:rsid w:val="00266AB0"/>
    <w:rsid w:val="00270BFD"/>
    <w:rsid w:val="00271C6A"/>
    <w:rsid w:val="002737D1"/>
    <w:rsid w:val="00285779"/>
    <w:rsid w:val="00290F02"/>
    <w:rsid w:val="0029324C"/>
    <w:rsid w:val="002935FD"/>
    <w:rsid w:val="00293FA3"/>
    <w:rsid w:val="002955BE"/>
    <w:rsid w:val="00295D71"/>
    <w:rsid w:val="00297744"/>
    <w:rsid w:val="002A4946"/>
    <w:rsid w:val="002A5BA1"/>
    <w:rsid w:val="002B1CF4"/>
    <w:rsid w:val="002B503E"/>
    <w:rsid w:val="002C3561"/>
    <w:rsid w:val="002C43A2"/>
    <w:rsid w:val="002D4FB5"/>
    <w:rsid w:val="002D7B0A"/>
    <w:rsid w:val="002E5235"/>
    <w:rsid w:val="002F288E"/>
    <w:rsid w:val="002F35C0"/>
    <w:rsid w:val="002F7260"/>
    <w:rsid w:val="0030097F"/>
    <w:rsid w:val="00302263"/>
    <w:rsid w:val="00316427"/>
    <w:rsid w:val="00316F20"/>
    <w:rsid w:val="00316FC9"/>
    <w:rsid w:val="00317930"/>
    <w:rsid w:val="00321BD3"/>
    <w:rsid w:val="00322DC8"/>
    <w:rsid w:val="00323333"/>
    <w:rsid w:val="0032687A"/>
    <w:rsid w:val="0033301F"/>
    <w:rsid w:val="003351F4"/>
    <w:rsid w:val="00340B60"/>
    <w:rsid w:val="00342405"/>
    <w:rsid w:val="00342580"/>
    <w:rsid w:val="003434A5"/>
    <w:rsid w:val="00347AB5"/>
    <w:rsid w:val="00352EE0"/>
    <w:rsid w:val="0035346F"/>
    <w:rsid w:val="0035351C"/>
    <w:rsid w:val="00354524"/>
    <w:rsid w:val="00360EA0"/>
    <w:rsid w:val="00361FAA"/>
    <w:rsid w:val="00362796"/>
    <w:rsid w:val="003671C3"/>
    <w:rsid w:val="0037165F"/>
    <w:rsid w:val="00374A5B"/>
    <w:rsid w:val="00375088"/>
    <w:rsid w:val="00375F7D"/>
    <w:rsid w:val="003869A3"/>
    <w:rsid w:val="003905D8"/>
    <w:rsid w:val="003949BD"/>
    <w:rsid w:val="003963FF"/>
    <w:rsid w:val="003A0BF3"/>
    <w:rsid w:val="003B6010"/>
    <w:rsid w:val="003C0C27"/>
    <w:rsid w:val="003C13FE"/>
    <w:rsid w:val="003C6302"/>
    <w:rsid w:val="003C743C"/>
    <w:rsid w:val="003C7586"/>
    <w:rsid w:val="003D04E2"/>
    <w:rsid w:val="003D0E62"/>
    <w:rsid w:val="003E43D7"/>
    <w:rsid w:val="00402894"/>
    <w:rsid w:val="0040660A"/>
    <w:rsid w:val="00407B4B"/>
    <w:rsid w:val="00413089"/>
    <w:rsid w:val="00416F6B"/>
    <w:rsid w:val="004175FB"/>
    <w:rsid w:val="0042543F"/>
    <w:rsid w:val="00431CC9"/>
    <w:rsid w:val="00432640"/>
    <w:rsid w:val="004333F6"/>
    <w:rsid w:val="004367A9"/>
    <w:rsid w:val="00440758"/>
    <w:rsid w:val="00440A4E"/>
    <w:rsid w:val="00441BAE"/>
    <w:rsid w:val="004450DF"/>
    <w:rsid w:val="00447750"/>
    <w:rsid w:val="0045137B"/>
    <w:rsid w:val="00451746"/>
    <w:rsid w:val="00454FCD"/>
    <w:rsid w:val="00455822"/>
    <w:rsid w:val="00460331"/>
    <w:rsid w:val="00462566"/>
    <w:rsid w:val="00472CCB"/>
    <w:rsid w:val="004903B3"/>
    <w:rsid w:val="00491D12"/>
    <w:rsid w:val="0049337E"/>
    <w:rsid w:val="004948F0"/>
    <w:rsid w:val="004A578F"/>
    <w:rsid w:val="004A7335"/>
    <w:rsid w:val="004A7408"/>
    <w:rsid w:val="004B47FC"/>
    <w:rsid w:val="004B6557"/>
    <w:rsid w:val="004C169B"/>
    <w:rsid w:val="004C2294"/>
    <w:rsid w:val="004C3DC8"/>
    <w:rsid w:val="004C537F"/>
    <w:rsid w:val="004C7F10"/>
    <w:rsid w:val="004C7F77"/>
    <w:rsid w:val="004D0BE8"/>
    <w:rsid w:val="004D2FE4"/>
    <w:rsid w:val="004D4FDA"/>
    <w:rsid w:val="004D5659"/>
    <w:rsid w:val="004D5688"/>
    <w:rsid w:val="004D6A69"/>
    <w:rsid w:val="004D7B2B"/>
    <w:rsid w:val="004E034D"/>
    <w:rsid w:val="004E2A48"/>
    <w:rsid w:val="004E498A"/>
    <w:rsid w:val="004F0F37"/>
    <w:rsid w:val="004F1033"/>
    <w:rsid w:val="004F2B69"/>
    <w:rsid w:val="004F4A47"/>
    <w:rsid w:val="004F4B2C"/>
    <w:rsid w:val="005034A9"/>
    <w:rsid w:val="00510832"/>
    <w:rsid w:val="00510870"/>
    <w:rsid w:val="00517214"/>
    <w:rsid w:val="0052331E"/>
    <w:rsid w:val="00524A92"/>
    <w:rsid w:val="00546736"/>
    <w:rsid w:val="00546EA1"/>
    <w:rsid w:val="00547A20"/>
    <w:rsid w:val="00555A08"/>
    <w:rsid w:val="00560D90"/>
    <w:rsid w:val="0056259D"/>
    <w:rsid w:val="00562E6F"/>
    <w:rsid w:val="00565A19"/>
    <w:rsid w:val="00565F5E"/>
    <w:rsid w:val="00566EB4"/>
    <w:rsid w:val="005678A6"/>
    <w:rsid w:val="00567D85"/>
    <w:rsid w:val="00577D1D"/>
    <w:rsid w:val="00580DAC"/>
    <w:rsid w:val="00581229"/>
    <w:rsid w:val="00581E41"/>
    <w:rsid w:val="00592DF6"/>
    <w:rsid w:val="00593C68"/>
    <w:rsid w:val="00597883"/>
    <w:rsid w:val="005A09E7"/>
    <w:rsid w:val="005A17E3"/>
    <w:rsid w:val="005A34CE"/>
    <w:rsid w:val="005A59BE"/>
    <w:rsid w:val="005B0566"/>
    <w:rsid w:val="005B1A24"/>
    <w:rsid w:val="005B1DF7"/>
    <w:rsid w:val="005B24F2"/>
    <w:rsid w:val="005C2E51"/>
    <w:rsid w:val="005D3F30"/>
    <w:rsid w:val="005E13B1"/>
    <w:rsid w:val="005E1F10"/>
    <w:rsid w:val="005E682A"/>
    <w:rsid w:val="00603E7A"/>
    <w:rsid w:val="00603F6C"/>
    <w:rsid w:val="00606A9D"/>
    <w:rsid w:val="00607500"/>
    <w:rsid w:val="00612260"/>
    <w:rsid w:val="0062759F"/>
    <w:rsid w:val="00630086"/>
    <w:rsid w:val="0064288D"/>
    <w:rsid w:val="00651E34"/>
    <w:rsid w:val="006525CB"/>
    <w:rsid w:val="00653096"/>
    <w:rsid w:val="006551CD"/>
    <w:rsid w:val="0065523F"/>
    <w:rsid w:val="00661434"/>
    <w:rsid w:val="006715DC"/>
    <w:rsid w:val="00672B70"/>
    <w:rsid w:val="00675BE5"/>
    <w:rsid w:val="00680614"/>
    <w:rsid w:val="00680C17"/>
    <w:rsid w:val="006829E3"/>
    <w:rsid w:val="00684F2E"/>
    <w:rsid w:val="00686BBC"/>
    <w:rsid w:val="00687901"/>
    <w:rsid w:val="0069133F"/>
    <w:rsid w:val="006927CF"/>
    <w:rsid w:val="006A2E6A"/>
    <w:rsid w:val="006A40D3"/>
    <w:rsid w:val="006A475A"/>
    <w:rsid w:val="006A7B93"/>
    <w:rsid w:val="006B5BBD"/>
    <w:rsid w:val="006B6D5F"/>
    <w:rsid w:val="006C001C"/>
    <w:rsid w:val="006C1FAF"/>
    <w:rsid w:val="006C2D70"/>
    <w:rsid w:val="006C41C4"/>
    <w:rsid w:val="006C5A68"/>
    <w:rsid w:val="006D065E"/>
    <w:rsid w:val="006D1082"/>
    <w:rsid w:val="006D3E34"/>
    <w:rsid w:val="006E16D2"/>
    <w:rsid w:val="006E510B"/>
    <w:rsid w:val="006F0409"/>
    <w:rsid w:val="006F1845"/>
    <w:rsid w:val="006F3F87"/>
    <w:rsid w:val="0070140D"/>
    <w:rsid w:val="00703CA6"/>
    <w:rsid w:val="007057F6"/>
    <w:rsid w:val="00707859"/>
    <w:rsid w:val="00714CA7"/>
    <w:rsid w:val="00723A96"/>
    <w:rsid w:val="00731735"/>
    <w:rsid w:val="007320A9"/>
    <w:rsid w:val="0074045F"/>
    <w:rsid w:val="00740754"/>
    <w:rsid w:val="0075451B"/>
    <w:rsid w:val="00755974"/>
    <w:rsid w:val="00763D34"/>
    <w:rsid w:val="00772766"/>
    <w:rsid w:val="0077678F"/>
    <w:rsid w:val="00777E1D"/>
    <w:rsid w:val="00781EA7"/>
    <w:rsid w:val="00782935"/>
    <w:rsid w:val="00785950"/>
    <w:rsid w:val="00791D9E"/>
    <w:rsid w:val="007A36E7"/>
    <w:rsid w:val="007B7879"/>
    <w:rsid w:val="007C0136"/>
    <w:rsid w:val="007C2A5E"/>
    <w:rsid w:val="007C34AC"/>
    <w:rsid w:val="007D13DD"/>
    <w:rsid w:val="007D3751"/>
    <w:rsid w:val="007D4358"/>
    <w:rsid w:val="007E0A98"/>
    <w:rsid w:val="007E1986"/>
    <w:rsid w:val="007F3AA7"/>
    <w:rsid w:val="007F71CA"/>
    <w:rsid w:val="007F79E2"/>
    <w:rsid w:val="00800342"/>
    <w:rsid w:val="008006C5"/>
    <w:rsid w:val="00801B8B"/>
    <w:rsid w:val="00803A27"/>
    <w:rsid w:val="00804104"/>
    <w:rsid w:val="00805D2F"/>
    <w:rsid w:val="00806025"/>
    <w:rsid w:val="0080739D"/>
    <w:rsid w:val="0081111F"/>
    <w:rsid w:val="0081693F"/>
    <w:rsid w:val="00820B84"/>
    <w:rsid w:val="00822F52"/>
    <w:rsid w:val="00823613"/>
    <w:rsid w:val="00823A3D"/>
    <w:rsid w:val="0082538E"/>
    <w:rsid w:val="00826298"/>
    <w:rsid w:val="00826CF7"/>
    <w:rsid w:val="00840986"/>
    <w:rsid w:val="00842FE5"/>
    <w:rsid w:val="008441BD"/>
    <w:rsid w:val="008463CD"/>
    <w:rsid w:val="0084696F"/>
    <w:rsid w:val="00850354"/>
    <w:rsid w:val="00860022"/>
    <w:rsid w:val="008632C3"/>
    <w:rsid w:val="00866F0D"/>
    <w:rsid w:val="00874879"/>
    <w:rsid w:val="0088259C"/>
    <w:rsid w:val="0088352D"/>
    <w:rsid w:val="00886E84"/>
    <w:rsid w:val="00890773"/>
    <w:rsid w:val="0089083E"/>
    <w:rsid w:val="00891401"/>
    <w:rsid w:val="008945C8"/>
    <w:rsid w:val="00894D1A"/>
    <w:rsid w:val="008954AA"/>
    <w:rsid w:val="00897802"/>
    <w:rsid w:val="008A07F4"/>
    <w:rsid w:val="008A16BE"/>
    <w:rsid w:val="008A6520"/>
    <w:rsid w:val="008A716A"/>
    <w:rsid w:val="008B3684"/>
    <w:rsid w:val="008B3F2C"/>
    <w:rsid w:val="008C07D2"/>
    <w:rsid w:val="008C08B3"/>
    <w:rsid w:val="008C55FE"/>
    <w:rsid w:val="008D60FE"/>
    <w:rsid w:val="008E4833"/>
    <w:rsid w:val="008E497F"/>
    <w:rsid w:val="008F52B1"/>
    <w:rsid w:val="008F5570"/>
    <w:rsid w:val="008F5ED8"/>
    <w:rsid w:val="008F721C"/>
    <w:rsid w:val="008F7246"/>
    <w:rsid w:val="008F7648"/>
    <w:rsid w:val="008F7ACD"/>
    <w:rsid w:val="009052A8"/>
    <w:rsid w:val="00912085"/>
    <w:rsid w:val="00913F57"/>
    <w:rsid w:val="00915002"/>
    <w:rsid w:val="009173E2"/>
    <w:rsid w:val="00925044"/>
    <w:rsid w:val="00927387"/>
    <w:rsid w:val="00933D49"/>
    <w:rsid w:val="00934E25"/>
    <w:rsid w:val="00935451"/>
    <w:rsid w:val="00937C97"/>
    <w:rsid w:val="00940541"/>
    <w:rsid w:val="009415B7"/>
    <w:rsid w:val="0094240D"/>
    <w:rsid w:val="00944CE6"/>
    <w:rsid w:val="009511D1"/>
    <w:rsid w:val="0095233D"/>
    <w:rsid w:val="00957472"/>
    <w:rsid w:val="009612C9"/>
    <w:rsid w:val="00961B8D"/>
    <w:rsid w:val="00961C02"/>
    <w:rsid w:val="00972055"/>
    <w:rsid w:val="00972187"/>
    <w:rsid w:val="009754F0"/>
    <w:rsid w:val="00981348"/>
    <w:rsid w:val="00985FAD"/>
    <w:rsid w:val="00990A78"/>
    <w:rsid w:val="009935B3"/>
    <w:rsid w:val="009966F0"/>
    <w:rsid w:val="009A5F43"/>
    <w:rsid w:val="009A6D1A"/>
    <w:rsid w:val="009C0030"/>
    <w:rsid w:val="009C5563"/>
    <w:rsid w:val="009C6E12"/>
    <w:rsid w:val="009D4685"/>
    <w:rsid w:val="009D4841"/>
    <w:rsid w:val="009D6A75"/>
    <w:rsid w:val="009E02DB"/>
    <w:rsid w:val="009E0B55"/>
    <w:rsid w:val="009E5D35"/>
    <w:rsid w:val="009E6872"/>
    <w:rsid w:val="009E6E97"/>
    <w:rsid w:val="009E7941"/>
    <w:rsid w:val="009E7B56"/>
    <w:rsid w:val="009F2C28"/>
    <w:rsid w:val="009F41BB"/>
    <w:rsid w:val="009F5985"/>
    <w:rsid w:val="00A0738E"/>
    <w:rsid w:val="00A079CE"/>
    <w:rsid w:val="00A07E03"/>
    <w:rsid w:val="00A11EF9"/>
    <w:rsid w:val="00A153B8"/>
    <w:rsid w:val="00A31C0E"/>
    <w:rsid w:val="00A34990"/>
    <w:rsid w:val="00A35B9E"/>
    <w:rsid w:val="00A361DD"/>
    <w:rsid w:val="00A36901"/>
    <w:rsid w:val="00A40792"/>
    <w:rsid w:val="00A45713"/>
    <w:rsid w:val="00A457EF"/>
    <w:rsid w:val="00A45878"/>
    <w:rsid w:val="00A458E5"/>
    <w:rsid w:val="00A46CA5"/>
    <w:rsid w:val="00A47FEE"/>
    <w:rsid w:val="00A54030"/>
    <w:rsid w:val="00A55A3E"/>
    <w:rsid w:val="00A5684F"/>
    <w:rsid w:val="00A56B37"/>
    <w:rsid w:val="00A57922"/>
    <w:rsid w:val="00A60BE8"/>
    <w:rsid w:val="00A62BFB"/>
    <w:rsid w:val="00A6378D"/>
    <w:rsid w:val="00A707BB"/>
    <w:rsid w:val="00A72741"/>
    <w:rsid w:val="00A736E5"/>
    <w:rsid w:val="00A7451E"/>
    <w:rsid w:val="00A81E01"/>
    <w:rsid w:val="00A82C60"/>
    <w:rsid w:val="00A864F2"/>
    <w:rsid w:val="00A86E7B"/>
    <w:rsid w:val="00A86E96"/>
    <w:rsid w:val="00A9254C"/>
    <w:rsid w:val="00A97749"/>
    <w:rsid w:val="00AA3136"/>
    <w:rsid w:val="00AA523B"/>
    <w:rsid w:val="00AA7123"/>
    <w:rsid w:val="00AB0022"/>
    <w:rsid w:val="00AB1D19"/>
    <w:rsid w:val="00AB41C4"/>
    <w:rsid w:val="00AB4724"/>
    <w:rsid w:val="00AC0D70"/>
    <w:rsid w:val="00AC5191"/>
    <w:rsid w:val="00AD0D2B"/>
    <w:rsid w:val="00AD1D00"/>
    <w:rsid w:val="00AD2E02"/>
    <w:rsid w:val="00AE42F9"/>
    <w:rsid w:val="00AE59F4"/>
    <w:rsid w:val="00AE7D02"/>
    <w:rsid w:val="00AF0811"/>
    <w:rsid w:val="00AF0DAC"/>
    <w:rsid w:val="00AF4C3A"/>
    <w:rsid w:val="00B03737"/>
    <w:rsid w:val="00B118BD"/>
    <w:rsid w:val="00B17713"/>
    <w:rsid w:val="00B17C95"/>
    <w:rsid w:val="00B2053A"/>
    <w:rsid w:val="00B21C3F"/>
    <w:rsid w:val="00B22315"/>
    <w:rsid w:val="00B30A38"/>
    <w:rsid w:val="00B30C32"/>
    <w:rsid w:val="00B40D20"/>
    <w:rsid w:val="00B44C69"/>
    <w:rsid w:val="00B46B17"/>
    <w:rsid w:val="00B60C3E"/>
    <w:rsid w:val="00B6113B"/>
    <w:rsid w:val="00B660E0"/>
    <w:rsid w:val="00B70D08"/>
    <w:rsid w:val="00B76BA7"/>
    <w:rsid w:val="00B82153"/>
    <w:rsid w:val="00B8308D"/>
    <w:rsid w:val="00B84B10"/>
    <w:rsid w:val="00B84D66"/>
    <w:rsid w:val="00B940C8"/>
    <w:rsid w:val="00BA02C2"/>
    <w:rsid w:val="00BA1E24"/>
    <w:rsid w:val="00BA5262"/>
    <w:rsid w:val="00BA63F4"/>
    <w:rsid w:val="00BB025E"/>
    <w:rsid w:val="00BB3B60"/>
    <w:rsid w:val="00BB7112"/>
    <w:rsid w:val="00BC0EBF"/>
    <w:rsid w:val="00BC0F95"/>
    <w:rsid w:val="00BC5BC7"/>
    <w:rsid w:val="00BC6FB3"/>
    <w:rsid w:val="00BD5E4E"/>
    <w:rsid w:val="00BE6310"/>
    <w:rsid w:val="00BE6842"/>
    <w:rsid w:val="00BF177A"/>
    <w:rsid w:val="00BF17BC"/>
    <w:rsid w:val="00BF3406"/>
    <w:rsid w:val="00BF35AF"/>
    <w:rsid w:val="00BF462B"/>
    <w:rsid w:val="00BF4C11"/>
    <w:rsid w:val="00BF5B31"/>
    <w:rsid w:val="00BF739C"/>
    <w:rsid w:val="00C01D7E"/>
    <w:rsid w:val="00C023AA"/>
    <w:rsid w:val="00C02794"/>
    <w:rsid w:val="00C04B76"/>
    <w:rsid w:val="00C05498"/>
    <w:rsid w:val="00C115D1"/>
    <w:rsid w:val="00C15C70"/>
    <w:rsid w:val="00C205C9"/>
    <w:rsid w:val="00C248DD"/>
    <w:rsid w:val="00C31E76"/>
    <w:rsid w:val="00C3668E"/>
    <w:rsid w:val="00C378B4"/>
    <w:rsid w:val="00C42ECC"/>
    <w:rsid w:val="00C442BC"/>
    <w:rsid w:val="00C54D70"/>
    <w:rsid w:val="00C557BC"/>
    <w:rsid w:val="00C56D23"/>
    <w:rsid w:val="00C57A74"/>
    <w:rsid w:val="00C60AA9"/>
    <w:rsid w:val="00C65564"/>
    <w:rsid w:val="00C723F1"/>
    <w:rsid w:val="00C80A40"/>
    <w:rsid w:val="00C83A35"/>
    <w:rsid w:val="00C83D95"/>
    <w:rsid w:val="00C96B6D"/>
    <w:rsid w:val="00C97942"/>
    <w:rsid w:val="00C97A27"/>
    <w:rsid w:val="00CA4B11"/>
    <w:rsid w:val="00CA76F7"/>
    <w:rsid w:val="00CC252C"/>
    <w:rsid w:val="00CC4EC9"/>
    <w:rsid w:val="00CE47EC"/>
    <w:rsid w:val="00CE6886"/>
    <w:rsid w:val="00CF11C8"/>
    <w:rsid w:val="00CF6BB5"/>
    <w:rsid w:val="00D1156D"/>
    <w:rsid w:val="00D12C7C"/>
    <w:rsid w:val="00D12D86"/>
    <w:rsid w:val="00D13A1B"/>
    <w:rsid w:val="00D24A52"/>
    <w:rsid w:val="00D25611"/>
    <w:rsid w:val="00D27644"/>
    <w:rsid w:val="00D300A4"/>
    <w:rsid w:val="00D318D2"/>
    <w:rsid w:val="00D3377B"/>
    <w:rsid w:val="00D40702"/>
    <w:rsid w:val="00D43F2A"/>
    <w:rsid w:val="00D468A6"/>
    <w:rsid w:val="00D50FD1"/>
    <w:rsid w:val="00D517FF"/>
    <w:rsid w:val="00D57A73"/>
    <w:rsid w:val="00D57E12"/>
    <w:rsid w:val="00D6363C"/>
    <w:rsid w:val="00D66348"/>
    <w:rsid w:val="00D66E75"/>
    <w:rsid w:val="00D70036"/>
    <w:rsid w:val="00D73833"/>
    <w:rsid w:val="00D80F6F"/>
    <w:rsid w:val="00D83184"/>
    <w:rsid w:val="00D876E1"/>
    <w:rsid w:val="00D900E5"/>
    <w:rsid w:val="00D90645"/>
    <w:rsid w:val="00D93C12"/>
    <w:rsid w:val="00D97CF2"/>
    <w:rsid w:val="00DA443C"/>
    <w:rsid w:val="00DA5E89"/>
    <w:rsid w:val="00DB0C8F"/>
    <w:rsid w:val="00DB3E57"/>
    <w:rsid w:val="00DB48CC"/>
    <w:rsid w:val="00DB6FD3"/>
    <w:rsid w:val="00DC0A27"/>
    <w:rsid w:val="00DC4941"/>
    <w:rsid w:val="00DC49AA"/>
    <w:rsid w:val="00DC5FAF"/>
    <w:rsid w:val="00DC7476"/>
    <w:rsid w:val="00DD4E6E"/>
    <w:rsid w:val="00DD6426"/>
    <w:rsid w:val="00DE2396"/>
    <w:rsid w:val="00DE2858"/>
    <w:rsid w:val="00DF0792"/>
    <w:rsid w:val="00DF230B"/>
    <w:rsid w:val="00DF2668"/>
    <w:rsid w:val="00E06E63"/>
    <w:rsid w:val="00E22805"/>
    <w:rsid w:val="00E234A2"/>
    <w:rsid w:val="00E31084"/>
    <w:rsid w:val="00E32293"/>
    <w:rsid w:val="00E3572C"/>
    <w:rsid w:val="00E45768"/>
    <w:rsid w:val="00E45F04"/>
    <w:rsid w:val="00E51231"/>
    <w:rsid w:val="00E57F2B"/>
    <w:rsid w:val="00E65495"/>
    <w:rsid w:val="00E65EFF"/>
    <w:rsid w:val="00E7275D"/>
    <w:rsid w:val="00E8188A"/>
    <w:rsid w:val="00E83FF2"/>
    <w:rsid w:val="00E85F89"/>
    <w:rsid w:val="00E94823"/>
    <w:rsid w:val="00EA008C"/>
    <w:rsid w:val="00EA2875"/>
    <w:rsid w:val="00EA508F"/>
    <w:rsid w:val="00EA56AE"/>
    <w:rsid w:val="00EB1BD7"/>
    <w:rsid w:val="00EC263F"/>
    <w:rsid w:val="00EC365D"/>
    <w:rsid w:val="00ED15AD"/>
    <w:rsid w:val="00ED441F"/>
    <w:rsid w:val="00ED662A"/>
    <w:rsid w:val="00ED72F9"/>
    <w:rsid w:val="00ED76AC"/>
    <w:rsid w:val="00ED7950"/>
    <w:rsid w:val="00EE11D9"/>
    <w:rsid w:val="00EE4AAC"/>
    <w:rsid w:val="00EE5FCC"/>
    <w:rsid w:val="00EF3119"/>
    <w:rsid w:val="00F05B20"/>
    <w:rsid w:val="00F12F51"/>
    <w:rsid w:val="00F13D4C"/>
    <w:rsid w:val="00F1484B"/>
    <w:rsid w:val="00F22ACA"/>
    <w:rsid w:val="00F25E40"/>
    <w:rsid w:val="00F2675D"/>
    <w:rsid w:val="00F26EBD"/>
    <w:rsid w:val="00F30F40"/>
    <w:rsid w:val="00F34BE4"/>
    <w:rsid w:val="00F34C63"/>
    <w:rsid w:val="00F41968"/>
    <w:rsid w:val="00F453BC"/>
    <w:rsid w:val="00F46744"/>
    <w:rsid w:val="00F55185"/>
    <w:rsid w:val="00F61C5B"/>
    <w:rsid w:val="00F623D7"/>
    <w:rsid w:val="00F624A1"/>
    <w:rsid w:val="00F634F8"/>
    <w:rsid w:val="00F637F9"/>
    <w:rsid w:val="00F66750"/>
    <w:rsid w:val="00F77134"/>
    <w:rsid w:val="00F77B07"/>
    <w:rsid w:val="00F87570"/>
    <w:rsid w:val="00F91BFC"/>
    <w:rsid w:val="00F9483B"/>
    <w:rsid w:val="00FA2AAF"/>
    <w:rsid w:val="00FA598D"/>
    <w:rsid w:val="00FA5E3C"/>
    <w:rsid w:val="00FB1BC5"/>
    <w:rsid w:val="00FB2CBC"/>
    <w:rsid w:val="00FB42C5"/>
    <w:rsid w:val="00FB4852"/>
    <w:rsid w:val="00FB5F76"/>
    <w:rsid w:val="00FC2A75"/>
    <w:rsid w:val="00FC3F9F"/>
    <w:rsid w:val="00FD054F"/>
    <w:rsid w:val="00FD41BB"/>
    <w:rsid w:val="00FD4B12"/>
    <w:rsid w:val="00FD527C"/>
    <w:rsid w:val="00FE6D9E"/>
    <w:rsid w:val="00FF11A0"/>
    <w:rsid w:val="00FF22CD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ADED"/>
  <w15:chartTrackingRefBased/>
  <w15:docId w15:val="{56FB0A75-26E7-45DF-937E-87989D3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22"/>
    <w:pPr>
      <w:spacing w:line="276" w:lineRule="auto"/>
      <w:jc w:val="both"/>
    </w:pPr>
    <w:rPr>
      <w:rFonts w:ascii="GHEA Grapalat" w:hAnsi="GHEA Grapalat"/>
      <w:sz w:val="24"/>
      <w:szCs w:val="24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C3E"/>
    <w:pPr>
      <w:keepNext/>
      <w:keepLines/>
      <w:spacing w:before="240" w:after="0"/>
      <w:ind w:left="284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FC9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C3E"/>
    <w:pPr>
      <w:keepNext/>
      <w:keepLines/>
      <w:numPr>
        <w:numId w:val="13"/>
      </w:numPr>
      <w:spacing w:before="40" w:after="0" w:line="240" w:lineRule="auto"/>
      <w:outlineLvl w:val="2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5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3E"/>
    <w:rPr>
      <w:rFonts w:ascii="GHEA Grapalat" w:eastAsiaTheme="majorEastAsia" w:hAnsi="GHEA Grapalat" w:cstheme="majorBidi"/>
      <w:b/>
      <w:bCs/>
      <w:color w:val="002060"/>
      <w:sz w:val="28"/>
      <w:szCs w:val="28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316FC9"/>
    <w:rPr>
      <w:rFonts w:ascii="GHEA Grapalat" w:eastAsiaTheme="majorEastAsia" w:hAnsi="GHEA Grapalat" w:cstheme="majorBidi"/>
      <w:color w:val="2E74B5" w:themeColor="accent1" w:themeShade="BF"/>
      <w:sz w:val="28"/>
      <w:szCs w:val="28"/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rsid w:val="00B60C3E"/>
    <w:rPr>
      <w:rFonts w:ascii="GHEA Grapalat" w:eastAsiaTheme="majorEastAsia" w:hAnsi="GHEA Grapalat" w:cstheme="majorBidi"/>
      <w:b/>
      <w:bCs/>
      <w:color w:val="002060"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5A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3"/>
  </w:style>
  <w:style w:type="paragraph" w:styleId="Footer">
    <w:name w:val="footer"/>
    <w:basedOn w:val="Normal"/>
    <w:link w:val="FooterChar"/>
    <w:uiPriority w:val="99"/>
    <w:unhideWhenUsed/>
    <w:rsid w:val="008C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B3"/>
  </w:style>
  <w:style w:type="paragraph" w:styleId="TOCHeading">
    <w:name w:val="TOC Heading"/>
    <w:basedOn w:val="Heading1"/>
    <w:next w:val="Normal"/>
    <w:uiPriority w:val="39"/>
    <w:unhideWhenUsed/>
    <w:qFormat/>
    <w:rsid w:val="008F5570"/>
    <w:pPr>
      <w:outlineLvl w:val="9"/>
    </w:pPr>
  </w:style>
  <w:style w:type="table" w:styleId="TableGrid">
    <w:name w:val="Table Grid"/>
    <w:basedOn w:val="TableNormal"/>
    <w:uiPriority w:val="39"/>
    <w:rsid w:val="00B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0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73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03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73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D57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D57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378D"/>
    <w:pPr>
      <w:spacing w:after="0" w:line="240" w:lineRule="auto"/>
    </w:pPr>
    <w:rPr>
      <w:rFonts w:ascii="GHEA Grapalat" w:hAnsi="GHEA Grapalat"/>
      <w:sz w:val="24"/>
      <w:szCs w:val="24"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8463CD"/>
    <w:pPr>
      <w:tabs>
        <w:tab w:val="left" w:pos="880"/>
        <w:tab w:val="left" w:pos="990"/>
        <w:tab w:val="right" w:leader="dot" w:pos="9304"/>
      </w:tabs>
      <w:spacing w:after="100"/>
      <w:ind w:left="240"/>
    </w:pPr>
  </w:style>
  <w:style w:type="paragraph" w:styleId="BodyText2">
    <w:name w:val="Body Text 2"/>
    <w:aliases w:val="1Text"/>
    <w:basedOn w:val="Normal"/>
    <w:link w:val="BodyText2Char"/>
    <w:autoRedefine/>
    <w:rsid w:val="00A736E5"/>
    <w:pPr>
      <w:spacing w:after="0"/>
      <w:ind w:left="2" w:hanging="2"/>
      <w:contextualSpacing/>
    </w:pPr>
    <w:rPr>
      <w:rFonts w:eastAsia="Calibri" w:cs="Times New Roman"/>
      <w:sz w:val="20"/>
      <w:szCs w:val="20"/>
    </w:rPr>
  </w:style>
  <w:style w:type="character" w:customStyle="1" w:styleId="BodyText2Char">
    <w:name w:val="Body Text 2 Char"/>
    <w:aliases w:val="1Text Char"/>
    <w:basedOn w:val="DefaultParagraphFont"/>
    <w:link w:val="BodyText2"/>
    <w:rsid w:val="00A736E5"/>
    <w:rPr>
      <w:rFonts w:ascii="GHEA Grapalat" w:eastAsia="Calibri" w:hAnsi="GHEA Grapalat" w:cs="Times New Roman"/>
      <w:sz w:val="20"/>
      <w:szCs w:val="20"/>
      <w:lang w:val="hy-AM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0F5E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F35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5A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5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5A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5AF"/>
    <w:rPr>
      <w:rFonts w:asciiTheme="majorHAnsi" w:eastAsiaTheme="majorEastAsia" w:hAnsiTheme="majorHAnsi" w:cstheme="majorBidi"/>
      <w:color w:val="385623" w:themeColor="accent6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F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AF"/>
    <w:pPr>
      <w:spacing w:after="0" w:line="259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AF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AF"/>
    <w:pPr>
      <w:spacing w:line="259" w:lineRule="auto"/>
    </w:pPr>
    <w:rPr>
      <w:rFonts w:asciiTheme="minorHAnsi" w:eastAsiaTheme="minorEastAsia" w:hAnsiTheme="minorHAnsi"/>
      <w:b/>
      <w:bCs/>
      <w:lang w:val="en-US"/>
    </w:rPr>
  </w:style>
  <w:style w:type="paragraph" w:styleId="BlockText">
    <w:name w:val="Block Text"/>
    <w:basedOn w:val="Normal"/>
    <w:rsid w:val="00BF35AF"/>
    <w:pPr>
      <w:spacing w:after="0" w:line="259" w:lineRule="auto"/>
      <w:ind w:left="209" w:right="-108" w:hanging="209"/>
    </w:pPr>
    <w:rPr>
      <w:rFonts w:ascii="Arial Armenian" w:eastAsia="Times New Roman" w:hAnsi="Arial Armenian" w:cs="Times New Roman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5AF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35AF"/>
    <w:pPr>
      <w:spacing w:after="0" w:line="259" w:lineRule="auto"/>
    </w:pPr>
    <w:rPr>
      <w:rFonts w:asciiTheme="minorHAnsi" w:eastAsiaTheme="minorEastAsia" w:hAnsiTheme="minorHAnsi"/>
      <w:sz w:val="20"/>
      <w:szCs w:val="20"/>
      <w:lang w:val="en-US"/>
    </w:rPr>
  </w:style>
  <w:style w:type="paragraph" w:customStyle="1" w:styleId="IASBTitle">
    <w:name w:val="IASB Title"/>
    <w:basedOn w:val="Normal"/>
    <w:rsid w:val="00BF35AF"/>
    <w:pPr>
      <w:keepNext/>
      <w:keepLines/>
      <w:spacing w:before="300" w:after="400" w:line="259" w:lineRule="auto"/>
    </w:pPr>
    <w:rPr>
      <w:rFonts w:ascii="Arial" w:eastAsia="Times New Roman" w:hAnsi="Arial" w:cs="Arial"/>
      <w:b/>
      <w:sz w:val="3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F35A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F35AF"/>
    <w:rPr>
      <w:b/>
      <w:bCs/>
    </w:rPr>
  </w:style>
  <w:style w:type="paragraph" w:customStyle="1" w:styleId="Heading11">
    <w:name w:val="Heading 11"/>
    <w:basedOn w:val="ListParagraph"/>
    <w:next w:val="Normal"/>
    <w:autoRedefine/>
    <w:uiPriority w:val="9"/>
    <w:rsid w:val="00BF35AF"/>
    <w:pPr>
      <w:pageBreakBefore/>
      <w:tabs>
        <w:tab w:val="left" w:pos="90"/>
        <w:tab w:val="num" w:pos="360"/>
      </w:tabs>
      <w:spacing w:after="0" w:line="259" w:lineRule="auto"/>
      <w:outlineLvl w:val="0"/>
    </w:pPr>
    <w:rPr>
      <w:rFonts w:asciiTheme="minorHAnsi" w:eastAsia="Times New Roman" w:hAnsiTheme="minorHAnsi" w:cs="Sylfaen"/>
      <w:b/>
      <w:sz w:val="28"/>
      <w:szCs w:val="22"/>
      <w:lang w:val="en-US"/>
    </w:rPr>
  </w:style>
  <w:style w:type="paragraph" w:customStyle="1" w:styleId="mechtex">
    <w:name w:val="mechtex"/>
    <w:basedOn w:val="Normal"/>
    <w:link w:val="mechtexChar"/>
    <w:rsid w:val="00BF35AF"/>
    <w:pPr>
      <w:spacing w:after="0" w:line="259" w:lineRule="auto"/>
      <w:jc w:val="center"/>
    </w:pPr>
    <w:rPr>
      <w:rFonts w:ascii="Arial Armenian" w:eastAsia="Times New Roman" w:hAnsi="Arial Armenian" w:cs="Times New Roman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BF35AF"/>
    <w:rPr>
      <w:rFonts w:ascii="Arial Armenian" w:eastAsia="Times New Roman" w:hAnsi="Arial Armeni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5AF"/>
    <w:pPr>
      <w:spacing w:line="259" w:lineRule="auto"/>
      <w:ind w:left="283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5A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F35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F35A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5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F35AF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F35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F35AF"/>
    <w:pPr>
      <w:spacing w:before="120" w:line="259" w:lineRule="auto"/>
      <w:ind w:left="720" w:right="720"/>
      <w:jc w:val="center"/>
    </w:pPr>
    <w:rPr>
      <w:rFonts w:asciiTheme="minorHAnsi" w:eastAsiaTheme="minorEastAsia" w:hAnsiTheme="minorHAns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F35AF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5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5A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35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35A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35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35A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35AF"/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D1D00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52331E"/>
    <w:rPr>
      <w:sz w:val="16"/>
      <w:szCs w:val="16"/>
    </w:rPr>
  </w:style>
  <w:style w:type="paragraph" w:styleId="Revision">
    <w:name w:val="Revision"/>
    <w:hidden/>
    <w:uiPriority w:val="99"/>
    <w:semiHidden/>
    <w:rsid w:val="0052331E"/>
    <w:pPr>
      <w:spacing w:after="0" w:line="240" w:lineRule="auto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331E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2331E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31E"/>
    <w:pPr>
      <w:spacing w:line="240" w:lineRule="auto"/>
    </w:pPr>
    <w:rPr>
      <w:rFonts w:asciiTheme="minorHAnsi" w:eastAsiaTheme="minorEastAsia" w:hAnsiTheme="minorHAnsi"/>
      <w:b/>
      <w:bCs/>
      <w:smallCaps/>
      <w:color w:val="5B9BD5" w:themeColor="accent1"/>
      <w:spacing w:val="6"/>
      <w:sz w:val="22"/>
      <w:szCs w:val="22"/>
      <w:lang w:val="en-US"/>
    </w:rPr>
  </w:style>
  <w:style w:type="paragraph" w:customStyle="1" w:styleId="VP1">
    <w:name w:val="VP 1"/>
    <w:basedOn w:val="Heading1"/>
    <w:link w:val="VP1Char"/>
    <w:qFormat/>
    <w:rsid w:val="00593C68"/>
    <w:pPr>
      <w:numPr>
        <w:numId w:val="8"/>
      </w:numPr>
      <w:spacing w:before="320" w:line="240" w:lineRule="auto"/>
    </w:pPr>
    <w:rPr>
      <w:bCs w:val="0"/>
      <w:noProof/>
      <w:szCs w:val="30"/>
      <w:lang w:val="en-US"/>
    </w:rPr>
  </w:style>
  <w:style w:type="paragraph" w:customStyle="1" w:styleId="VP2">
    <w:name w:val="VP 2"/>
    <w:basedOn w:val="Heading2"/>
    <w:next w:val="VP1"/>
    <w:link w:val="VP2Char"/>
    <w:qFormat/>
    <w:rsid w:val="0052331E"/>
    <w:pPr>
      <w:numPr>
        <w:numId w:val="0"/>
      </w:numPr>
      <w:spacing w:line="240" w:lineRule="auto"/>
    </w:pPr>
    <w:rPr>
      <w:b/>
      <w:sz w:val="24"/>
    </w:rPr>
  </w:style>
  <w:style w:type="character" w:customStyle="1" w:styleId="VP1Char">
    <w:name w:val="VP 1 Char"/>
    <w:basedOn w:val="Heading1Char"/>
    <w:link w:val="VP1"/>
    <w:rsid w:val="00593C68"/>
    <w:rPr>
      <w:rFonts w:ascii="GHEA Grapalat" w:eastAsiaTheme="majorEastAsia" w:hAnsi="GHEA Grapalat" w:cstheme="majorBidi"/>
      <w:b/>
      <w:bCs w:val="0"/>
      <w:noProof/>
      <w:color w:val="002060"/>
      <w:sz w:val="28"/>
      <w:szCs w:val="30"/>
      <w:lang w:val="hy-AM"/>
    </w:rPr>
  </w:style>
  <w:style w:type="character" w:customStyle="1" w:styleId="VP2Char">
    <w:name w:val="VP 2 Char"/>
    <w:basedOn w:val="Heading2Char"/>
    <w:link w:val="VP2"/>
    <w:rsid w:val="0052331E"/>
    <w:rPr>
      <w:rFonts w:ascii="GHEA Grapalat" w:eastAsiaTheme="majorEastAsia" w:hAnsi="GHEA Grapalat" w:cstheme="majorBidi"/>
      <w:b/>
      <w:color w:val="2E74B5" w:themeColor="accent1" w:themeShade="BF"/>
      <w:sz w:val="24"/>
      <w:szCs w:val="28"/>
      <w:lang w:val="hy-AM"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B6557"/>
    <w:rPr>
      <w:rFonts w:ascii="GHEA Grapalat" w:hAnsi="GHEA Grapalat"/>
      <w:sz w:val="24"/>
      <w:szCs w:val="24"/>
      <w:lang w:val="hy-AM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am/hy/page/_amsakan_teghekatvutyun_2020t_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am/hy/page/_amsakan_teghekatvutyun_2020t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B102-1B20-424D-91B9-FF982F3F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NARA</cp:lastModifiedBy>
  <cp:revision>8</cp:revision>
  <cp:lastPrinted>2020-07-24T09:06:00Z</cp:lastPrinted>
  <dcterms:created xsi:type="dcterms:W3CDTF">2020-07-30T13:32:00Z</dcterms:created>
  <dcterms:modified xsi:type="dcterms:W3CDTF">2020-07-31T08:40:00Z</dcterms:modified>
</cp:coreProperties>
</file>