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6" w:rsidRDefault="00170716" w:rsidP="00170716">
      <w:pPr>
        <w:pStyle w:val="Bodytext3"/>
        <w:shd w:val="clear" w:color="auto" w:fill="auto"/>
        <w:spacing w:line="240" w:lineRule="auto"/>
        <w:ind w:left="5954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bookmarkStart w:id="0" w:name="_GoBack"/>
      <w:bookmarkEnd w:id="0"/>
      <w:r>
        <w:rPr>
          <w:rFonts w:ascii="GHEA Grapalat" w:hAnsi="GHEA Grapalat"/>
          <w:b w:val="0"/>
          <w:sz w:val="16"/>
          <w:szCs w:val="16"/>
          <w:lang w:val="hy-AM"/>
        </w:rPr>
        <w:t>Հավելված N 29</w:t>
      </w:r>
    </w:p>
    <w:p w:rsidR="00170716" w:rsidRDefault="00170716" w:rsidP="00170716">
      <w:pPr>
        <w:pStyle w:val="Bodytext3"/>
        <w:shd w:val="clear" w:color="auto" w:fill="auto"/>
        <w:spacing w:line="240" w:lineRule="auto"/>
        <w:ind w:left="5954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r>
        <w:rPr>
          <w:rFonts w:ascii="GHEA Grapalat" w:hAnsi="GHEA Grapalat"/>
          <w:b w:val="0"/>
          <w:sz w:val="16"/>
          <w:szCs w:val="16"/>
          <w:lang w:val="hy-AM"/>
        </w:rPr>
        <w:t>ՀՀ բարձր տեխնոլոգիական արդյունաբերության</w:t>
      </w:r>
    </w:p>
    <w:p w:rsidR="00170716" w:rsidRDefault="00170716" w:rsidP="00170716">
      <w:pPr>
        <w:pStyle w:val="Bodytext3"/>
        <w:shd w:val="clear" w:color="auto" w:fill="auto"/>
        <w:spacing w:line="240" w:lineRule="auto"/>
        <w:ind w:left="5954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r>
        <w:rPr>
          <w:rFonts w:ascii="GHEA Grapalat" w:hAnsi="GHEA Grapalat"/>
          <w:b w:val="0"/>
          <w:sz w:val="16"/>
          <w:szCs w:val="16"/>
          <w:lang w:val="hy-AM"/>
        </w:rPr>
        <w:t>նախարարության գլխավոր քարտուղարի</w:t>
      </w:r>
    </w:p>
    <w:p w:rsidR="00170716" w:rsidRDefault="00170716" w:rsidP="00170716">
      <w:pPr>
        <w:pStyle w:val="Bodytext3"/>
        <w:shd w:val="clear" w:color="auto" w:fill="auto"/>
        <w:spacing w:line="240" w:lineRule="auto"/>
        <w:ind w:left="5954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r>
        <w:rPr>
          <w:rFonts w:ascii="GHEA Grapalat" w:hAnsi="GHEA Grapalat"/>
          <w:b w:val="0"/>
          <w:sz w:val="16"/>
          <w:szCs w:val="16"/>
          <w:lang w:val="hy-AM"/>
        </w:rPr>
        <w:t>2019  թվականի հուլիսի 25 -ի  N285 -Ա հրամանի</w:t>
      </w:r>
    </w:p>
    <w:p w:rsidR="002A6515" w:rsidRPr="000003B9" w:rsidRDefault="002A6515" w:rsidP="002A6515">
      <w:pPr>
        <w:spacing w:after="0" w:line="240" w:lineRule="auto"/>
        <w:contextualSpacing/>
        <w:jc w:val="right"/>
        <w:rPr>
          <w:rFonts w:ascii="GHEA Grapalat" w:eastAsia="MS Mincho" w:hAnsi="GHEA Grapalat" w:cs="Sylfaen"/>
          <w:lang w:val="hy-AM"/>
        </w:rPr>
      </w:pPr>
    </w:p>
    <w:p w:rsidR="00A1011B" w:rsidRPr="000003B9" w:rsidRDefault="00A1011B" w:rsidP="008F1647">
      <w:pPr>
        <w:pStyle w:val="Bodytext3"/>
        <w:shd w:val="clear" w:color="auto" w:fill="auto"/>
        <w:spacing w:afterLines="60" w:after="144" w:line="240" w:lineRule="auto"/>
        <w:ind w:hanging="360"/>
        <w:jc w:val="center"/>
        <w:rPr>
          <w:rFonts w:ascii="GHEA Grapalat" w:hAnsi="GHEA Grapalat"/>
          <w:sz w:val="22"/>
          <w:szCs w:val="22"/>
          <w:lang w:val="hy-AM"/>
        </w:rPr>
      </w:pPr>
      <w:r w:rsidRPr="000003B9">
        <w:rPr>
          <w:rFonts w:ascii="GHEA Grapalat" w:hAnsi="GHEA Grapalat"/>
          <w:sz w:val="22"/>
          <w:szCs w:val="22"/>
          <w:lang w:val="hy-AM"/>
        </w:rPr>
        <w:t>ՔԱՂԱՔԱՑԻԱԿԱՆ ԾԱՌԱՅՈՒԹՅԱՆ ՊԱՇՏՈՆԻ ԱՆՁՆԱԳԻՐ</w:t>
      </w:r>
    </w:p>
    <w:p w:rsidR="00864523" w:rsidRPr="000003B9" w:rsidRDefault="00A1011B" w:rsidP="008F1647">
      <w:pPr>
        <w:pStyle w:val="Bodytext3"/>
        <w:shd w:val="clear" w:color="auto" w:fill="auto"/>
        <w:spacing w:afterLines="60" w:after="144" w:line="240" w:lineRule="auto"/>
        <w:ind w:hanging="360"/>
        <w:jc w:val="center"/>
        <w:rPr>
          <w:rFonts w:ascii="GHEA Grapalat" w:hAnsi="GHEA Grapalat"/>
          <w:sz w:val="22"/>
          <w:szCs w:val="22"/>
          <w:lang w:val="hy-AM"/>
        </w:rPr>
      </w:pPr>
      <w:r w:rsidRPr="000003B9">
        <w:rPr>
          <w:rFonts w:ascii="GHEA Grapalat" w:hAnsi="GHEA Grapalat"/>
          <w:sz w:val="22"/>
          <w:szCs w:val="22"/>
          <w:lang w:val="hy-AM"/>
        </w:rPr>
        <w:t xml:space="preserve">ԲԱՐՁՐ ՏԵԽՆՈԼՈԳԻԱԿԱՆ ԱՐԴՅՈՒՆԱԲԵՐՈՒԹՅԱՆ ՆԱԽԱՐԱՐՈՒԹՅԱՆ </w:t>
      </w:r>
      <w:r w:rsidR="004A264E" w:rsidRPr="000003B9">
        <w:rPr>
          <w:rFonts w:ascii="GHEA Grapalat" w:hAnsi="GHEA Grapalat"/>
          <w:sz w:val="22"/>
          <w:szCs w:val="22"/>
          <w:lang w:val="hy-AM"/>
        </w:rPr>
        <w:t>ԲԱՐՁՐ ՏԵԽՆՈԼՈԳԻԱՆԵՐԻ ՎԱՐՉՈՒԹՅԱՆ</w:t>
      </w:r>
      <w:r w:rsidR="002F7F59" w:rsidRPr="000003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7F59" w:rsidRPr="000003B9">
        <w:rPr>
          <w:rFonts w:ascii="GHEA Grapalat" w:hAnsi="GHEA Grapalat"/>
          <w:sz w:val="22"/>
          <w:szCs w:val="22"/>
          <w:lang w:val="hy-AM"/>
        </w:rPr>
        <w:t xml:space="preserve">ԷԿՈՀԱՄԱԿԱՐԳԻ ԶԱՐԳԱՑՄԱՆ </w:t>
      </w:r>
      <w:r w:rsidR="00D8732C" w:rsidRPr="000003B9">
        <w:rPr>
          <w:rFonts w:ascii="GHEA Grapalat" w:hAnsi="GHEA Grapalat"/>
          <w:sz w:val="22"/>
          <w:szCs w:val="22"/>
          <w:lang w:val="hy-AM"/>
        </w:rPr>
        <w:t>ԲԱԺՆԻ ԳԼԽԱՎՈՐ ՄԱՍՆԱԳԵՏ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0"/>
      </w:tblGrid>
      <w:tr w:rsidR="00C95C1B" w:rsidRPr="000003B9" w:rsidTr="00574D5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B" w:rsidRPr="000003B9" w:rsidRDefault="00C95C1B" w:rsidP="007B010A">
            <w:pPr>
              <w:pStyle w:val="Bodytext3"/>
              <w:shd w:val="clear" w:color="auto" w:fill="auto"/>
              <w:spacing w:afterLines="60" w:after="144"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Ընդհանուր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դրույթներ</w:t>
            </w:r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1" w:name="bookmark5"/>
            <w:proofErr w:type="spellStart"/>
            <w:r w:rsidRPr="000003B9">
              <w:rPr>
                <w:rFonts w:ascii="GHEA Grapalat" w:hAnsi="GHEA Grapalat"/>
              </w:rPr>
              <w:t>Պաշտոնի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անվանումը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ծածկագիրը</w:t>
            </w:r>
            <w:bookmarkEnd w:id="1"/>
            <w:proofErr w:type="spellEnd"/>
          </w:p>
        </w:tc>
      </w:tr>
      <w:tr w:rsidR="00C95C1B" w:rsidRPr="00974E5C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Default="00C95C1B" w:rsidP="00767540">
            <w:pPr>
              <w:pStyle w:val="Default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արդյունաբերության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նախարարության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այսուհետ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)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տեխնոլոգիաների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վարչության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այսուհետ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Վարչություն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) 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այսուհետ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Բաժին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)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գլխավոր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z w:val="22"/>
                <w:szCs w:val="22"/>
              </w:rPr>
              <w:t>մասնագետ</w:t>
            </w:r>
            <w:proofErr w:type="spellEnd"/>
            <w:r w:rsidRPr="000003B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B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(ծածկագիր՝  </w:t>
            </w:r>
            <w:r w:rsidRPr="000003B9">
              <w:rPr>
                <w:rFonts w:ascii="GHEA Grapalat" w:hAnsi="GHEA Grapalat"/>
                <w:bCs/>
                <w:sz w:val="22"/>
                <w:szCs w:val="22"/>
              </w:rPr>
              <w:t>24</w:t>
            </w:r>
            <w:r w:rsidRPr="000003B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-</w:t>
            </w:r>
            <w:r w:rsidRPr="000003B9">
              <w:rPr>
                <w:rFonts w:ascii="GHEA Grapalat" w:hAnsi="GHEA Grapalat"/>
                <w:bCs/>
                <w:sz w:val="22"/>
                <w:szCs w:val="22"/>
              </w:rPr>
              <w:t>32.</w:t>
            </w:r>
            <w:r w:rsidR="00767540" w:rsidRPr="000003B9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Pr="000003B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-</w:t>
            </w:r>
            <w:r w:rsidRPr="000003B9">
              <w:rPr>
                <w:rFonts w:ascii="GHEA Grapalat" w:hAnsi="GHEA Grapalat"/>
                <w:bCs/>
                <w:sz w:val="22"/>
                <w:szCs w:val="22"/>
              </w:rPr>
              <w:t>Մ2</w:t>
            </w:r>
            <w:r w:rsidRPr="000003B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-</w:t>
            </w:r>
            <w:r w:rsidRPr="000003B9">
              <w:rPr>
                <w:rFonts w:ascii="GHEA Grapalat" w:hAnsi="GHEA Grapalat"/>
                <w:bCs/>
                <w:sz w:val="22"/>
                <w:szCs w:val="22"/>
              </w:rPr>
              <w:t>1</w:t>
            </w:r>
            <w:r w:rsidRPr="000003B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)</w:t>
            </w:r>
          </w:p>
          <w:p w:rsidR="00974E5C" w:rsidRDefault="00974E5C" w:rsidP="00974E5C">
            <w:pPr>
              <w:ind w:left="247" w:right="9"/>
              <w:jc w:val="both"/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1.1.-</w:t>
            </w:r>
            <w:r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րդ կետը փոփ. 16.03.20 գլխավոր քարտուղարի հր. 191-Ա)</w:t>
            </w:r>
          </w:p>
          <w:p w:rsidR="00974E5C" w:rsidRPr="00974E5C" w:rsidRDefault="00974E5C" w:rsidP="00767540">
            <w:pPr>
              <w:pStyle w:val="Default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2" w:name="bookmark6"/>
            <w:proofErr w:type="spellStart"/>
            <w:r w:rsidRPr="000003B9">
              <w:rPr>
                <w:rFonts w:ascii="GHEA Grapalat" w:hAnsi="GHEA Grapalat"/>
              </w:rPr>
              <w:t>Ենթակա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հաշվետու</w:t>
            </w:r>
            <w:proofErr w:type="spellEnd"/>
            <w:r w:rsidRPr="000003B9">
              <w:rPr>
                <w:rFonts w:ascii="GHEA Grapalat" w:hAnsi="GHEA Grapalat"/>
              </w:rPr>
              <w:t xml:space="preserve"> է</w:t>
            </w:r>
            <w:bookmarkEnd w:id="2"/>
            <w:r w:rsidRPr="000003B9">
              <w:rPr>
                <w:rFonts w:ascii="GHEA Grapalat" w:hAnsi="GHEA Grapalat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hAnsi="GHEA Grapalat"/>
              </w:rPr>
            </w:pPr>
            <w:r w:rsidRPr="000003B9">
              <w:rPr>
                <w:rFonts w:ascii="GHEA Grapalat" w:hAnsi="GHEA Grapalat"/>
                <w:lang w:val="en-US"/>
              </w:rPr>
              <w:t xml:space="preserve"> Գ</w:t>
            </w:r>
            <w:proofErr w:type="spellStart"/>
            <w:r w:rsidRPr="000003B9">
              <w:rPr>
                <w:rFonts w:ascii="GHEA Grapalat" w:hAnsi="GHEA Grapalat"/>
              </w:rPr>
              <w:t>լխավոր</w:t>
            </w:r>
            <w:proofErr w:type="spellEnd"/>
            <w:r w:rsidRPr="000003B9">
              <w:rPr>
                <w:rFonts w:ascii="GHEA Grapalat" w:hAnsi="GHEA Grapalat"/>
                <w:lang w:val="en-US"/>
              </w:rPr>
              <w:t xml:space="preserve"> մ</w:t>
            </w:r>
            <w:proofErr w:type="spellStart"/>
            <w:r w:rsidRPr="000003B9">
              <w:rPr>
                <w:rFonts w:ascii="GHEA Grapalat" w:hAnsi="GHEA Grapalat"/>
              </w:rPr>
              <w:t>ասնագետն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անմիջականորեն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ենթակա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հաշվետու</w:t>
            </w:r>
            <w:proofErr w:type="spellEnd"/>
            <w:r w:rsidRPr="000003B9">
              <w:rPr>
                <w:rFonts w:ascii="GHEA Grapalat" w:hAnsi="GHEA Grapalat"/>
              </w:rPr>
              <w:t xml:space="preserve"> է </w:t>
            </w:r>
            <w:proofErr w:type="spellStart"/>
            <w:r w:rsidRPr="000003B9">
              <w:rPr>
                <w:rFonts w:ascii="GHEA Grapalat" w:hAnsi="GHEA Grapalat"/>
              </w:rPr>
              <w:t>բաժնի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պետին</w:t>
            </w:r>
            <w:proofErr w:type="spellEnd"/>
            <w:r w:rsidRPr="000003B9">
              <w:rPr>
                <w:rFonts w:ascii="GHEA Grapalat" w:hAnsi="GHEA Grapalat"/>
              </w:rPr>
              <w:t>: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3" w:name="bookmark8"/>
            <w:proofErr w:type="spellStart"/>
            <w:r w:rsidRPr="000003B9">
              <w:rPr>
                <w:rFonts w:ascii="GHEA Grapalat" w:hAnsi="GHEA Grapalat"/>
              </w:rPr>
              <w:t>Փոխարինող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պաշտոնի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կամ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պաշտոնների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անվանումները</w:t>
            </w:r>
            <w:bookmarkStart w:id="4" w:name="bookmark9"/>
            <w:bookmarkEnd w:id="3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698" w:rsidRPr="00E52698" w:rsidRDefault="00E52698" w:rsidP="00E52698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E52698">
              <w:rPr>
                <w:rFonts w:ascii="GHEA Grapalat" w:eastAsia="Times New Roman" w:hAnsi="GHEA Grapalat" w:cs="Arial"/>
                <w:lang w:val="hy-AM" w:eastAsia="ru-RU"/>
              </w:rPr>
              <w:t>Գլխավոր մասնագետի բացակայության դեպքում նրան փոխարինում է Բաժնի</w:t>
            </w:r>
            <w:r w:rsidRPr="00E52698">
              <w:rPr>
                <w:rFonts w:ascii="GHEA Grapalat" w:hAnsi="GHEA Grapalat" w:cs="Sylfaen"/>
                <w:lang w:val="hy-AM"/>
              </w:rPr>
              <w:t xml:space="preserve"> պետը  կամ բաժնի գլխավոր մասնագետներից մեկը</w:t>
            </w:r>
            <w:r w:rsidRPr="00E52698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C95C1B" w:rsidRPr="00E52698" w:rsidRDefault="00C95C1B" w:rsidP="000C55EF">
            <w:pPr>
              <w:pStyle w:val="Heading1"/>
              <w:keepNext/>
              <w:keepLines/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  <w:b w:val="0"/>
                <w:lang w:val="hy-AM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t>Աշխատավայրը</w:t>
            </w:r>
            <w:bookmarkEnd w:id="4"/>
            <w:proofErr w:type="spellEnd"/>
          </w:p>
        </w:tc>
      </w:tr>
      <w:tr w:rsidR="00C95C1B" w:rsidRPr="000003B9" w:rsidTr="00574D5A">
        <w:trPr>
          <w:trHeight w:val="450"/>
        </w:trPr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6270A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</w:rPr>
            </w:pP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Հայաստան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, ք.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Երևան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Կենտրոն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վարչական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շրջան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Վազգեն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Style w:val="Bodytext2Exact"/>
                <w:rFonts w:ascii="GHEA Grapalat" w:hAnsi="GHEA Grapalat"/>
              </w:rPr>
              <w:t>Սարգսյան</w:t>
            </w:r>
            <w:proofErr w:type="spellEnd"/>
            <w:r w:rsidRPr="000003B9">
              <w:rPr>
                <w:rStyle w:val="Bodytext2Exact"/>
                <w:rFonts w:ascii="GHEA Grapalat" w:hAnsi="GHEA Grapalat"/>
              </w:rPr>
              <w:t xml:space="preserve"> 3/3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4E02CD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center"/>
              <w:rPr>
                <w:rFonts w:ascii="GHEA Grapalat" w:hAnsi="GHEA Grapalat"/>
              </w:rPr>
            </w:pPr>
            <w:bookmarkStart w:id="5" w:name="bookmark10"/>
            <w:r w:rsidRPr="000003B9">
              <w:rPr>
                <w:rFonts w:ascii="GHEA Grapalat" w:hAnsi="GHEA Grapalat"/>
              </w:rPr>
              <w:t xml:space="preserve">2. </w:t>
            </w:r>
            <w:proofErr w:type="spellStart"/>
            <w:r w:rsidRPr="000003B9">
              <w:rPr>
                <w:rFonts w:ascii="GHEA Grapalat" w:hAnsi="GHEA Grapalat"/>
              </w:rPr>
              <w:t>Պաշտոնի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բնութագիրը</w:t>
            </w:r>
            <w:bookmarkEnd w:id="5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bookmarkStart w:id="6" w:name="bookmark11"/>
            <w:r w:rsidRPr="000003B9">
              <w:rPr>
                <w:rFonts w:ascii="GHEA Grapalat" w:hAnsi="GHEA Grapalat"/>
              </w:rPr>
              <w:t xml:space="preserve">2.1. </w:t>
            </w:r>
            <w:proofErr w:type="spellStart"/>
            <w:r w:rsidRPr="000003B9">
              <w:rPr>
                <w:rFonts w:ascii="GHEA Grapalat" w:hAnsi="GHEA Grapalat"/>
              </w:rPr>
              <w:t>Աշխատանքի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բնույթը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իրավունքները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պարտականությունները</w:t>
            </w:r>
            <w:bookmarkEnd w:id="6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Bodytext4"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t>Գործառույթները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25" w:hanging="360"/>
              <w:jc w:val="both"/>
              <w:rPr>
                <w:rFonts w:ascii="GHEA Grapalat" w:eastAsiaTheme="minorHAnsi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է</w:t>
            </w:r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Հայաստանի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գործունեություն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իրականացնող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միությունների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ասոցիացիաների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ընկերությունների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միջև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փոխգործելիության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մակարդակի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արդյունավետ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համագործակցության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նպատակով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տարբեր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միջոցառումների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է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տվյալների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կառավարման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համապարփակ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քաղաքականության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՝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ներառելով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այնպիսի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խնդիրների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կանոնակարգումը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ինչպիսիք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են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՝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վարչական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ռեգիստրի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վարման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տրամադրվող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հավաստագրերի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տեղեկատվական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բազայի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ստեղծման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տվյալների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պահպանման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վիճակագրական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տեղեկատվության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հավաքագրման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ձևաչափերի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Վիճակարգրական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կոմիտե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հավաքագրված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տվյալների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ներկայացման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.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է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զարգացմանն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ուղղված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ծրագրերի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արդյունքների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ազդեցության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մոնիթորինգի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գնահատման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իրականացումը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է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կարգավորող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նորմատիվ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ստանդարտների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բարեփոխման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lastRenderedPageBreak/>
              <w:t>արդյունավետության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բարձրացմանն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ուղղված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25" w:hanging="360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lastRenderedPageBreak/>
              <w:t>իրականացնում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է</w:t>
            </w:r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ստարտափների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գաղափարների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գիտահետազոտական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արդյունքների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առևտրայնացման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փորձակոնստրուկտորական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արտադրական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ենթակառուցվածքների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ստեղծման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շղթայի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ամբողջականությանն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ուղղված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B7CE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25" w:hanging="360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proofErr w:type="gramEnd"/>
            <w:r w:rsidRPr="000003B9">
              <w:rPr>
                <w:rFonts w:ascii="GHEA Grapalat" w:hAnsi="GHEA Grapalat"/>
              </w:rPr>
              <w:t xml:space="preserve"> է </w:t>
            </w:r>
            <w:proofErr w:type="spellStart"/>
            <w:r w:rsidRPr="000003B9">
              <w:rPr>
                <w:rFonts w:ascii="GHEA Grapalat" w:hAnsi="GHEA Grapalat"/>
              </w:rPr>
              <w:t>հայկական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արտերկրյա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աքսելերատորների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միջև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կապերի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խթանման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մեխանիզմների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ստեղծման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</w:tc>
      </w:tr>
      <w:tr w:rsidR="00C95C1B" w:rsidRPr="00974E5C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E9" w:rsidRPr="000003B9" w:rsidRDefault="00C95C1B" w:rsidP="00CB7C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0003B9">
              <w:rPr>
                <w:rFonts w:ascii="GHEA Grapalat" w:hAnsi="GHEA Grapalat" w:cs="Arial"/>
              </w:rPr>
              <w:t>իրականացնում</w:t>
            </w:r>
            <w:proofErr w:type="spellEnd"/>
            <w:r w:rsidRPr="000003B9">
              <w:rPr>
                <w:rFonts w:ascii="GHEA Grapalat" w:hAnsi="GHEA Grapalat" w:cs="Arial"/>
                <w:lang w:val="hy-AM"/>
              </w:rPr>
              <w:t xml:space="preserve"> է</w:t>
            </w:r>
            <w:r w:rsidRPr="000003B9">
              <w:rPr>
                <w:rFonts w:ascii="GHEA Grapalat" w:hAnsi="GHEA Grapalat"/>
                <w:color w:val="000000"/>
                <w:lang w:val="hy-AM"/>
              </w:rPr>
              <w:t xml:space="preserve"> ՀՀ բարձր տեխնոլոգիական ոլորտին վերաբերող սոցիալ-տնտեսական ծրագրերի մշակման աշխատանքները</w:t>
            </w:r>
            <w:r w:rsidRPr="000003B9">
              <w:rPr>
                <w:rFonts w:ascii="GHEA Grapalat" w:hAnsi="GHEA Grapalat"/>
                <w:color w:val="000000"/>
              </w:rPr>
              <w:t>:</w:t>
            </w:r>
          </w:p>
          <w:p w:rsidR="009B0FE9" w:rsidRPr="000003B9" w:rsidRDefault="009B0FE9" w:rsidP="00CB7C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 xml:space="preserve"> </w:t>
            </w:r>
            <w:r w:rsidR="000003B9" w:rsidRPr="000003B9">
              <w:rPr>
                <w:rFonts w:ascii="GHEA Grapalat" w:hAnsi="GHEA Grapalat"/>
                <w:lang w:val="hy-AM"/>
              </w:rPr>
              <w:t>իրականացնում</w:t>
            </w:r>
            <w:r w:rsidRPr="000003B9">
              <w:rPr>
                <w:rFonts w:ascii="GHEA Grapalat" w:hAnsi="GHEA Grapalat"/>
                <w:lang w:val="hy-AM"/>
              </w:rPr>
              <w:t xml:space="preserve"> է Հայաստանի բարձր տեխնոլոգիական ոլորտում օտարերկրյա ներդրումների ներգրավման մեխանիզմների մշակման աշխատանքների իրականացումը.</w:t>
            </w:r>
          </w:p>
          <w:p w:rsidR="009B0FE9" w:rsidRPr="000003B9" w:rsidRDefault="000003B9" w:rsidP="00CB7C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725" w:hanging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9B0FE9" w:rsidRPr="000003B9">
              <w:rPr>
                <w:rFonts w:ascii="GHEA Grapalat" w:hAnsi="GHEA Grapalat"/>
                <w:lang w:val="hy-AM"/>
              </w:rPr>
              <w:t>համաշխարհային տեխնոլոգիական զարգացման միտումները, մոնիթորինգը և նոր տեխնոլոգիաների դեպի հայկական տեխնոլոգիական ոլորտ ներգրավման, ինչպես նաև  օրենսդրական և իրավական դաշտերի համահունչ զարգացման աշխատանքները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D5A" w:rsidRPr="000003B9" w:rsidRDefault="00574D5A" w:rsidP="00A57CA7">
            <w:pPr>
              <w:pStyle w:val="Bodytext4"/>
              <w:shd w:val="clear" w:color="auto" w:fill="auto"/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B0FE9" w:rsidRPr="000003B9" w:rsidRDefault="009B0FE9" w:rsidP="00A57CA7">
            <w:pPr>
              <w:pStyle w:val="Bodytext4"/>
              <w:shd w:val="clear" w:color="auto" w:fill="auto"/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C95C1B" w:rsidRPr="000003B9" w:rsidRDefault="00C95C1B" w:rsidP="00A57CA7">
            <w:pPr>
              <w:pStyle w:val="Bodytext4"/>
              <w:shd w:val="clear" w:color="auto" w:fill="auto"/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t>Իրավունքները</w:t>
            </w:r>
            <w:proofErr w:type="spellEnd"/>
            <w:r w:rsidRPr="000003B9">
              <w:rPr>
                <w:rFonts w:ascii="GHEA Grapalat" w:hAnsi="GHEA Grapalat"/>
              </w:rPr>
              <w:t>՝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ստանալ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ՀՀ </w:t>
            </w:r>
            <w:proofErr w:type="spellStart"/>
            <w:r w:rsidRPr="000003B9">
              <w:rPr>
                <w:rFonts w:ascii="GHEA Grapalat" w:hAnsi="GHEA Grapalat" w:cs="Arial"/>
              </w:rPr>
              <w:t>բարձր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տեխնոլոգիական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ոլորտում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գործունեություն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իրականացնող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միությունների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0003B9">
              <w:rPr>
                <w:rFonts w:ascii="GHEA Grapalat" w:hAnsi="GHEA Grapalat" w:cs="Arial"/>
              </w:rPr>
              <w:t>ասոցիացիաների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և </w:t>
            </w:r>
            <w:proofErr w:type="spellStart"/>
            <w:r w:rsidRPr="000003B9">
              <w:rPr>
                <w:rFonts w:ascii="GHEA Grapalat" w:hAnsi="GHEA Grapalat" w:cs="Arial"/>
              </w:rPr>
              <w:t>ընկերություններից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 w:cs="Arial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5"/>
              <w:jc w:val="both"/>
              <w:rPr>
                <w:rFonts w:ascii="GHEA Grapalat" w:hAnsi="GHEA Grapalat" w:cs="Arial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տեղեկատվական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տեխնոլոգիաների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ոլորտում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հավաստագրված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կազմակերպություններից</w:t>
            </w:r>
            <w:proofErr w:type="spellEnd"/>
            <w:r w:rsidR="00ED0977" w:rsidRPr="000003B9">
              <w:rPr>
                <w:rFonts w:ascii="GHEA Grapalat" w:hAnsi="GHEA Grapalat" w:cs="Arial"/>
                <w:lang w:val="hy-AM"/>
              </w:rPr>
              <w:t xml:space="preserve"> պահանջել և</w:t>
            </w:r>
            <w:r w:rsidR="00ED0977"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="00ED0977" w:rsidRPr="000003B9">
              <w:rPr>
                <w:rFonts w:ascii="GHEA Grapalat" w:hAnsi="GHEA Grapalat" w:cs="Arial"/>
              </w:rPr>
              <w:t>ստանալ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տեղեկատվական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բազայում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ներառվող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տվյալների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վերաբերյալ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 w:cs="Arial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ստանալ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</w:rPr>
              <w:t xml:space="preserve">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ներդրման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նորարարությունների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գիտատեխնիկական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առաջընթացի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խթանման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քաղաքականության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նպատակով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ստանալ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կարգավորող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նորմատիվ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ստանդարտների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ուսումնասիրել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կարգավորող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նորմատիվ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ստանդարտները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. 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ուսումնասիրել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խթանող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միջազգային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փորձը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</w:tc>
      </w:tr>
      <w:tr w:rsidR="00C95C1B" w:rsidRPr="000003B9" w:rsidTr="00574D5A">
        <w:trPr>
          <w:trHeight w:val="1755"/>
        </w:trPr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 w:cs="Arial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բարձր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տեխնոլոգիաների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ոլորտին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առնչվող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կազմակերպություններից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ստանալ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նորարական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գաղափարների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գեներացման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0003B9">
              <w:rPr>
                <w:rFonts w:ascii="GHEA Grapalat" w:hAnsi="GHEA Grapalat" w:cs="Arial"/>
              </w:rPr>
              <w:t>ստարտափերի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ձևավորման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և </w:t>
            </w:r>
            <w:proofErr w:type="spellStart"/>
            <w:r w:rsidRPr="000003B9">
              <w:rPr>
                <w:rFonts w:ascii="GHEA Grapalat" w:hAnsi="GHEA Grapalat" w:cs="Arial"/>
              </w:rPr>
              <w:t>զարգացման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էկոհամարգի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ստեղծման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ծրագրերի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մշակման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և </w:t>
            </w:r>
            <w:proofErr w:type="spellStart"/>
            <w:r w:rsidRPr="000003B9">
              <w:rPr>
                <w:rFonts w:ascii="GHEA Grapalat" w:hAnsi="GHEA Grapalat" w:cs="Arial"/>
              </w:rPr>
              <w:t>վերջինիս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իրականացման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համար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անհրաժեշտ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տեղեկատվությունը</w:t>
            </w:r>
            <w:proofErr w:type="spellEnd"/>
            <w:r w:rsidRPr="000003B9">
              <w:rPr>
                <w:rFonts w:ascii="GHEA Grapalat" w:hAnsi="GHEA Grapalat" w:cs="Arial"/>
              </w:rPr>
              <w:t>.</w:t>
            </w:r>
          </w:p>
          <w:p w:rsidR="001902CF" w:rsidRPr="000003B9" w:rsidRDefault="001902CF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725" w:right="95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տանալ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անհրաժեշտ</w:t>
            </w:r>
            <w:proofErr w:type="spell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Arial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ստարտափների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գաղափարների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գիտահետազոտական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արդյունքների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առևտրայնացման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իրականացվող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փորձակոնստրուկտորական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մասին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ամբողջական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տեղեկատվություն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 w:cs="Arial"/>
              </w:rPr>
              <w:t>ուսումնասիրել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r w:rsidRPr="000003B9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</w:t>
            </w:r>
            <w:proofErr w:type="spellStart"/>
            <w:r w:rsidRPr="000003B9">
              <w:rPr>
                <w:rFonts w:ascii="GHEA Grapalat" w:hAnsi="GHEA Grapalat"/>
                <w:color w:val="000000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color w:val="000000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color w:val="000000"/>
              </w:rPr>
              <w:t>ոլորտի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color w:val="000000"/>
              </w:rPr>
              <w:t>զարգացմանն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color w:val="000000"/>
              </w:rPr>
              <w:t>ուղղված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պետական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ծրագրերը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դրանց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իրագործման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մոնիթորինգի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0003B9">
              <w:rPr>
                <w:rFonts w:ascii="GHEA Grapalat" w:hAnsi="GHEA Grapalat"/>
                <w:color w:val="000000"/>
              </w:rPr>
              <w:t>:</w:t>
            </w:r>
          </w:p>
          <w:p w:rsidR="009B0FE9" w:rsidRPr="000003B9" w:rsidRDefault="009B0FE9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</w:rPr>
            </w:pPr>
            <w:r w:rsidRPr="000003B9">
              <w:rPr>
                <w:rFonts w:ascii="GHEA Grapalat" w:hAnsi="GHEA Grapalat"/>
                <w:shd w:val="clear" w:color="auto" w:fill="FFFFFF"/>
              </w:rPr>
              <w:t xml:space="preserve">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կարգավորող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նորմատիվ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ստանդարտների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բարեփոխման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արդյունավետության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նպատակով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ուսումնասիրել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առկա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միջազգային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փորձը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գործող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lastRenderedPageBreak/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դաշտը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  <w:p w:rsidR="009B0FE9" w:rsidRPr="000003B9" w:rsidRDefault="009B0FE9" w:rsidP="00C47C6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ուսումնասիրել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համաշխարհային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միտումները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դեպի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հայկական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ոլորտ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ներգրավման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հնարավորությունները</w:t>
            </w:r>
            <w:proofErr w:type="spellEnd"/>
          </w:p>
          <w:p w:rsidR="001902CF" w:rsidRPr="000003B9" w:rsidRDefault="001902CF" w:rsidP="00C47C6A">
            <w:pPr>
              <w:pStyle w:val="ListParagraph"/>
              <w:shd w:val="clear" w:color="auto" w:fill="FFFFFF"/>
              <w:spacing w:line="240" w:lineRule="auto"/>
              <w:ind w:left="725" w:hanging="360"/>
              <w:jc w:val="both"/>
              <w:rPr>
                <w:rFonts w:ascii="GHEA Grapalat" w:hAnsi="GHEA Grapalat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lastRenderedPageBreak/>
              <w:t>Պարտականությունները</w:t>
            </w:r>
            <w:proofErr w:type="spellEnd"/>
          </w:p>
        </w:tc>
      </w:tr>
      <w:tr w:rsidR="007A2CE1" w:rsidRPr="00974E5C" w:rsidTr="001C2AD4">
        <w:trPr>
          <w:trHeight w:val="2430"/>
        </w:trPr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1" w:rsidRPr="000003B9" w:rsidRDefault="007A2CE1" w:rsidP="00C47C6A">
            <w:pPr>
              <w:numPr>
                <w:ilvl w:val="0"/>
                <w:numId w:val="17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bookmarkStart w:id="7" w:name="bookmark13"/>
            <w:proofErr w:type="spellStart"/>
            <w:proofErr w:type="gramStart"/>
            <w:r w:rsidRPr="000003B9">
              <w:rPr>
                <w:rFonts w:ascii="GHEA Grapalat" w:hAnsi="GHEA Grapalat"/>
                <w:shd w:val="clear" w:color="auto" w:fill="FFFFFF"/>
              </w:rPr>
              <w:t>ներկայացնել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վարչական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ռեգիստրի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վարման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տրամադրվող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հավաստագրերի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տեղեկատվական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բազայի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ստեղծման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վարման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առաջարկություններ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  <w:p w:rsidR="007A2CE1" w:rsidRPr="000003B9" w:rsidRDefault="007A2CE1" w:rsidP="00C47C6A">
            <w:pPr>
              <w:numPr>
                <w:ilvl w:val="0"/>
                <w:numId w:val="17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/>
                <w:shd w:val="clear" w:color="auto" w:fill="FFFFFF"/>
              </w:rPr>
              <w:t>ներկայացնել</w:t>
            </w:r>
            <w:proofErr w:type="spellEnd"/>
            <w:proofErr w:type="gramEnd"/>
            <w:r w:rsidRPr="000003B9">
              <w:rPr>
                <w:rFonts w:ascii="GHEA Grapalat" w:hAnsi="GHEA Grapalat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</w:rPr>
              <w:t xml:space="preserve">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ձևավորմանն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ուղղված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ծրագրերի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առաջարկություններ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  <w:p w:rsidR="007A2CE1" w:rsidRPr="000003B9" w:rsidRDefault="007A2CE1" w:rsidP="00C47C6A">
            <w:pPr>
              <w:numPr>
                <w:ilvl w:val="0"/>
                <w:numId w:val="17"/>
              </w:numPr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proofErr w:type="gramStart"/>
            <w:r w:rsidRPr="000003B9">
              <w:rPr>
                <w:rFonts w:ascii="GHEA Grapalat" w:hAnsi="GHEA Grapalat"/>
                <w:shd w:val="clear" w:color="auto" w:fill="FFFFFF"/>
              </w:rPr>
              <w:t>ներկայացնել</w:t>
            </w:r>
            <w:proofErr w:type="spellEnd"/>
            <w:proofErr w:type="gramEnd"/>
            <w:r w:rsidRPr="000003B9">
              <w:rPr>
                <w:rFonts w:ascii="GHEA Grapalat" w:hAnsi="GHEA Grapalat"/>
                <w:shd w:val="clear" w:color="auto" w:fill="FFFFFF"/>
              </w:rPr>
              <w:t xml:space="preserve"> ՀՀ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կարգավորող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իրավական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նորմատիվ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տեխնիկական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ակտերի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ստանդարտների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բարեփոխման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արդյունավետության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բարձրացման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ուղղությամբ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առաջարկություններ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>.</w:t>
            </w:r>
          </w:p>
          <w:p w:rsidR="007A2CE1" w:rsidRPr="000003B9" w:rsidRDefault="007A2CE1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0003B9">
              <w:rPr>
                <w:rFonts w:ascii="GHEA Grapalat" w:hAnsi="GHEA Grapalat"/>
              </w:rPr>
              <w:t>մշակել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բարձր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տեխնոլոգիական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ոլորտը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խթանող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էկոհամակարգի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զարգացման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վերաբերյալ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առաջարկություններ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  <w:p w:rsidR="007A2CE1" w:rsidRPr="000003B9" w:rsidRDefault="007A2CE1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proofErr w:type="gramStart"/>
            <w:r w:rsidRPr="000003B9">
              <w:rPr>
                <w:rFonts w:ascii="GHEA Grapalat" w:hAnsi="GHEA Grapalat" w:cs="Arial"/>
              </w:rPr>
              <w:t>մշակել</w:t>
            </w:r>
            <w:proofErr w:type="spellEnd"/>
            <w:proofErr w:type="gramEnd"/>
            <w:r w:rsidRPr="000003B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ստարտափ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գաղափարների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գիտահետազոտական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արդյունքների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առևտրայնացման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փորձակոնստրուկտորական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աշխատանքների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և </w:t>
            </w:r>
            <w:proofErr w:type="spellStart"/>
            <w:r w:rsidRPr="000003B9">
              <w:rPr>
                <w:rFonts w:ascii="GHEA Grapalat" w:hAnsi="GHEA Grapalat"/>
              </w:rPr>
              <w:t>արտադրական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ենթակառուցվածքների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ստեղծման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շղթայի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ապահովման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մեխանիզմներ</w:t>
            </w:r>
            <w:proofErr w:type="spellEnd"/>
            <w:r w:rsidRPr="000003B9">
              <w:rPr>
                <w:rFonts w:ascii="GHEA Grapalat" w:hAnsi="GHEA Grapalat"/>
              </w:rPr>
              <w:t>.</w:t>
            </w:r>
          </w:p>
          <w:p w:rsidR="007A2CE1" w:rsidRPr="000003B9" w:rsidRDefault="007A2CE1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003B9">
              <w:rPr>
                <w:rFonts w:ascii="GHEA Grapalat" w:hAnsi="GHEA Grapalat" w:cs="Arial"/>
                <w:lang w:val="hy-AM"/>
              </w:rPr>
              <w:t>Ներկայացնել առաջարկություն</w:t>
            </w:r>
            <w:r w:rsidRPr="000003B9">
              <w:rPr>
                <w:rFonts w:ascii="GHEA Grapalat" w:hAnsi="GHEA Grapalat"/>
                <w:lang w:val="hy-AM"/>
              </w:rPr>
              <w:t xml:space="preserve"> հայկական և արտերկրյա աքսելերատորների միջև կապերի զարգացման խթանման մեխանիզմների ստեղծման վերաբերյալ.</w:t>
            </w:r>
          </w:p>
          <w:p w:rsidR="007A2CE1" w:rsidRPr="000003B9" w:rsidRDefault="007A2CE1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003B9">
              <w:rPr>
                <w:rFonts w:ascii="GHEA Grapalat" w:hAnsi="GHEA Grapalat" w:cs="Arial"/>
                <w:lang w:val="hy-AM"/>
              </w:rPr>
              <w:t xml:space="preserve">ներկայացնել </w:t>
            </w:r>
            <w:r w:rsidRPr="000003B9">
              <w:rPr>
                <w:rFonts w:ascii="GHEA Grapalat" w:hAnsi="GHEA Grapalat"/>
                <w:color w:val="000000"/>
                <w:lang w:val="hy-AM"/>
              </w:rPr>
              <w:t>ՀՀ բարձր տեխնոլոգիական ոլորտին վերաբերող սոցիալ-տնտեսական ծրագրերի մշակման վերաբերյալ առաջարկություններ.</w:t>
            </w:r>
          </w:p>
          <w:p w:rsidR="001C2AD4" w:rsidRPr="000003B9" w:rsidRDefault="001C2AD4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0003B9">
              <w:rPr>
                <w:rFonts w:ascii="GHEA Grapalat" w:hAnsi="GHEA Grapalat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lang w:val="hy-AM"/>
              </w:rPr>
              <w:t>Հայաստանի բարձր տեխնոլոգիական ոլորտում օտարերկրյա ներդրումների ներգրավման մեխանիզմների</w:t>
            </w:r>
            <w:r w:rsidRPr="000003B9">
              <w:rPr>
                <w:rFonts w:ascii="GHEA Grapalat" w:hAnsi="GHEA Grapalat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lang w:val="hy-AM"/>
              </w:rPr>
              <w:t>մշակման</w:t>
            </w:r>
            <w:r w:rsidRPr="000003B9">
              <w:rPr>
                <w:rFonts w:ascii="GHEA Grapalat" w:hAnsi="GHEA Grapalat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lang w:val="hy-AM"/>
              </w:rPr>
              <w:t>վերաբերյալ</w:t>
            </w:r>
            <w:r w:rsidRPr="000003B9">
              <w:rPr>
                <w:rFonts w:ascii="GHEA Grapalat" w:hAnsi="GHEA Grapalat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lang w:val="hy-AM"/>
              </w:rPr>
              <w:t>առաջարկություններ</w:t>
            </w:r>
          </w:p>
          <w:p w:rsidR="001C2AD4" w:rsidRPr="000003B9" w:rsidRDefault="001C2AD4" w:rsidP="00C47C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725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ՀՀ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բարձր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տեխնոլոգիական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ոլորտը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կարգավորող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իրավական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ակտերի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նորմատիվ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տեխնիկական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ակտերի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ստանդարտների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բարեփոխման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արդյունավետության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բարձրացման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ուղղությամբ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0003B9">
              <w:rPr>
                <w:rFonts w:ascii="GHEA Grapalat" w:hAnsi="GHEA Grapalat"/>
                <w:shd w:val="clear" w:color="auto" w:fill="FFFFFF"/>
                <w:lang w:val="hy-AM"/>
              </w:rPr>
              <w:t>առաջարկություններ</w:t>
            </w:r>
            <w:r w:rsidRPr="000003B9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B" w:rsidRPr="000003B9" w:rsidRDefault="00C95C1B" w:rsidP="00D31E3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center"/>
              <w:rPr>
                <w:rFonts w:ascii="GHEA Grapalat" w:hAnsi="GHEA Grapalat"/>
              </w:rPr>
            </w:pPr>
            <w:r w:rsidRPr="000003B9">
              <w:rPr>
                <w:rFonts w:ascii="GHEA Grapalat" w:hAnsi="GHEA Grapalat"/>
              </w:rPr>
              <w:t xml:space="preserve">3. </w:t>
            </w:r>
            <w:proofErr w:type="spellStart"/>
            <w:r w:rsidRPr="000003B9">
              <w:rPr>
                <w:rFonts w:ascii="GHEA Grapalat" w:hAnsi="GHEA Grapalat"/>
              </w:rPr>
              <w:t>Պաշտոնին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ներկայացվող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պահանջները</w:t>
            </w:r>
            <w:bookmarkEnd w:id="7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30BF4">
            <w:pPr>
              <w:pStyle w:val="Heading1"/>
              <w:keepNext/>
              <w:keepLines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8" w:name="bookmark14"/>
            <w:proofErr w:type="spellStart"/>
            <w:r w:rsidRPr="000003B9">
              <w:rPr>
                <w:rFonts w:ascii="GHEA Grapalat" w:hAnsi="GHEA Grapalat"/>
              </w:rPr>
              <w:t>Կրթություն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որակավորման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աստիճանը</w:t>
            </w:r>
            <w:bookmarkEnd w:id="8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5F351B" w:rsidP="005F351B">
            <w:pPr>
              <w:pStyle w:val="Heading1"/>
              <w:keepNext/>
              <w:keepLines/>
              <w:tabs>
                <w:tab w:val="left" w:pos="475"/>
              </w:tabs>
              <w:spacing w:line="240" w:lineRule="auto"/>
              <w:jc w:val="both"/>
              <w:rPr>
                <w:rFonts w:ascii="GHEA Grapalat" w:eastAsia="Calibri" w:hAnsi="GHEA Grapalat"/>
                <w:b w:val="0"/>
                <w:bCs w:val="0"/>
              </w:rPr>
            </w:pPr>
            <w:r>
              <w:rPr>
                <w:rFonts w:ascii="GHEA Grapalat" w:eastAsia="Calibri" w:hAnsi="GHEA Grapalat" w:cs="Sylfaen"/>
                <w:b w:val="0"/>
                <w:bCs w:val="0"/>
                <w:lang w:val="hy-AM"/>
              </w:rPr>
              <w:t>Բ</w:t>
            </w:r>
            <w:proofErr w:type="spellStart"/>
            <w:r w:rsidR="00C95C1B" w:rsidRPr="000003B9">
              <w:rPr>
                <w:rFonts w:ascii="GHEA Grapalat" w:eastAsia="Calibri" w:hAnsi="GHEA Grapalat" w:cs="Sylfaen"/>
                <w:b w:val="0"/>
                <w:bCs w:val="0"/>
              </w:rPr>
              <w:t>արձրագույն</w:t>
            </w:r>
            <w:proofErr w:type="spellEnd"/>
            <w:r w:rsidR="00C95C1B" w:rsidRPr="000003B9">
              <w:rPr>
                <w:rFonts w:ascii="GHEA Grapalat" w:eastAsia="Calibri" w:hAnsi="GHEA Grapalat" w:cs="Sylfaen"/>
                <w:b w:val="0"/>
                <w:bCs w:val="0"/>
              </w:rPr>
              <w:t xml:space="preserve"> </w:t>
            </w:r>
            <w:proofErr w:type="spellStart"/>
            <w:r w:rsidR="00C95C1B" w:rsidRPr="000003B9">
              <w:rPr>
                <w:rFonts w:ascii="GHEA Grapalat" w:eastAsia="Calibri" w:hAnsi="GHEA Grapalat" w:cs="Sylfaen"/>
                <w:b w:val="0"/>
                <w:bCs w:val="0"/>
              </w:rPr>
              <w:t>կրթություն</w:t>
            </w:r>
            <w:proofErr w:type="spellEnd"/>
            <w:r w:rsidR="00C95C1B" w:rsidRPr="000003B9">
              <w:rPr>
                <w:rFonts w:ascii="GHEA Grapalat" w:eastAsia="Calibri" w:hAnsi="GHEA Grapalat" w:cs="Sylfaen"/>
                <w:b w:val="0"/>
                <w:bCs w:val="0"/>
              </w:rPr>
              <w:t>: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30BF4">
            <w:pPr>
              <w:pStyle w:val="Heading1"/>
              <w:keepNext/>
              <w:keepLines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9" w:name="bookmark15"/>
            <w:proofErr w:type="spellStart"/>
            <w:r w:rsidRPr="000003B9">
              <w:rPr>
                <w:rFonts w:ascii="GHEA Grapalat" w:hAnsi="GHEA Grapalat"/>
              </w:rPr>
              <w:t>Մասնագիտական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գիտելիքները</w:t>
            </w:r>
            <w:bookmarkEnd w:id="9"/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30BF4">
            <w:pPr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 w:cs="Sylfaen"/>
              </w:rPr>
              <w:t>Ունի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գործառույթների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իրականացման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համար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անհրաժեշտ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գիտելիքներ</w:t>
            </w:r>
            <w:proofErr w:type="spellEnd"/>
            <w:r w:rsidRPr="000003B9">
              <w:rPr>
                <w:rFonts w:ascii="GHEA Grapalat" w:hAnsi="GHEA Grapalat"/>
              </w:rPr>
              <w:t>: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30BF4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30BF4">
            <w:pPr>
              <w:pStyle w:val="Heading1"/>
              <w:keepNext/>
              <w:keepLines/>
              <w:numPr>
                <w:ilvl w:val="0"/>
                <w:numId w:val="7"/>
              </w:numPr>
              <w:shd w:val="clear" w:color="auto" w:fill="auto"/>
              <w:tabs>
                <w:tab w:val="left" w:pos="518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10" w:name="bookmark16"/>
            <w:proofErr w:type="spellStart"/>
            <w:r w:rsidRPr="000003B9">
              <w:rPr>
                <w:rFonts w:ascii="GHEA Grapalat" w:hAnsi="GHEA Grapalat"/>
              </w:rPr>
              <w:t>Աշխատանքային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ստաժը</w:t>
            </w:r>
            <w:proofErr w:type="spellEnd"/>
            <w:r w:rsidRPr="000003B9">
              <w:rPr>
                <w:rFonts w:ascii="GHEA Grapalat" w:hAnsi="GHEA Grapalat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</w:rPr>
              <w:t>աշխատանքի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բնագավառում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փորձը</w:t>
            </w:r>
            <w:bookmarkEnd w:id="10"/>
            <w:proofErr w:type="spellEnd"/>
          </w:p>
        </w:tc>
      </w:tr>
      <w:tr w:rsidR="00C95C1B" w:rsidRPr="00974E5C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Default="00C95C1B" w:rsidP="00735900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003B9">
              <w:rPr>
                <w:rFonts w:ascii="GHEA Grapalat" w:hAnsi="GHEA Grapalat" w:cs="Sylfaen"/>
              </w:rPr>
              <w:t xml:space="preserve">       </w:t>
            </w:r>
            <w:r w:rsidR="00EC73C4" w:rsidRPr="000003B9">
              <w:rPr>
                <w:rFonts w:ascii="GHEA Grapalat" w:eastAsia="Times New Roman" w:hAnsi="GHEA Grapalat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="00EC73C4" w:rsidRPr="000003B9">
              <w:rPr>
                <w:rFonts w:ascii="GHEA Grapalat" w:hAnsi="GHEA Grapalat"/>
                <w:lang w:val="hy-AM"/>
              </w:rPr>
              <w:t>ճարտարագիտության կամ տնտեսագիության բնագավառներում</w:t>
            </w:r>
            <w:r w:rsidR="00EC73C4" w:rsidRPr="000003B9">
              <w:rPr>
                <w:rFonts w:ascii="GHEA Grapalat" w:eastAsia="Times New Roman" w:hAnsi="GHEA Grapalat"/>
                <w:lang w:val="hy-AM" w:eastAsia="ru-RU"/>
              </w:rPr>
              <w:t>` երեք տարվա աշխատանքային ստաժ</w:t>
            </w:r>
            <w:r w:rsidR="00735900" w:rsidRPr="000003B9">
              <w:rPr>
                <w:rFonts w:ascii="GHEA Grapalat" w:hAnsi="GHEA Grapalat" w:cs="Sylfaen"/>
              </w:rPr>
              <w:t>:</w:t>
            </w:r>
          </w:p>
          <w:p w:rsidR="00974E5C" w:rsidRDefault="00974E5C" w:rsidP="00974E5C">
            <w:pPr>
              <w:ind w:left="247"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 w:eastAsia="ru-RU"/>
              </w:rPr>
              <w:t>3.3.-</w:t>
            </w:r>
            <w:r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րդ կետը փոփ. 27.02.20 գլխավոր քարտուղարի հր. 141-Ա)</w:t>
            </w:r>
          </w:p>
          <w:p w:rsidR="00974E5C" w:rsidRPr="00974E5C" w:rsidRDefault="00974E5C" w:rsidP="00735900">
            <w:pPr>
              <w:spacing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bookmarkStart w:id="11" w:name="bookmark17"/>
            <w:r w:rsidRPr="000003B9">
              <w:rPr>
                <w:rFonts w:ascii="GHEA Grapalat" w:hAnsi="GHEA Grapalat"/>
              </w:rPr>
              <w:t xml:space="preserve">3.4. </w:t>
            </w:r>
            <w:proofErr w:type="spellStart"/>
            <w:r w:rsidRPr="000003B9">
              <w:rPr>
                <w:rFonts w:ascii="GHEA Grapalat" w:hAnsi="GHEA Grapalat"/>
              </w:rPr>
              <w:t>Անհրաժեշտ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կոմպետենցիաներ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t>Ընդհանրական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կոմպետենցիաներ</w:t>
            </w:r>
            <w:proofErr w:type="spellEnd"/>
            <w:r w:rsidRPr="000003B9">
              <w:rPr>
                <w:rFonts w:ascii="GHEA Grapalat" w:hAnsi="GHEA Grapalat"/>
              </w:rPr>
              <w:t>՝</w:t>
            </w:r>
            <w:bookmarkEnd w:id="11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17066">
            <w:pPr>
              <w:numPr>
                <w:ilvl w:val="0"/>
                <w:numId w:val="20"/>
              </w:numPr>
              <w:spacing w:line="276" w:lineRule="auto"/>
              <w:ind w:left="342" w:hanging="27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Ծրագրերի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17066">
            <w:pPr>
              <w:numPr>
                <w:ilvl w:val="0"/>
                <w:numId w:val="20"/>
              </w:numPr>
              <w:spacing w:line="276" w:lineRule="auto"/>
              <w:ind w:left="342" w:hanging="27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Խնդրի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լուծում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17066">
            <w:pPr>
              <w:numPr>
                <w:ilvl w:val="0"/>
                <w:numId w:val="20"/>
              </w:numPr>
              <w:spacing w:line="276" w:lineRule="auto"/>
              <w:ind w:left="342" w:hanging="27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Հաշվետվությունների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մշակում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17066">
            <w:pPr>
              <w:numPr>
                <w:ilvl w:val="0"/>
                <w:numId w:val="20"/>
              </w:numPr>
              <w:spacing w:line="276" w:lineRule="auto"/>
              <w:ind w:left="342" w:hanging="27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lastRenderedPageBreak/>
              <w:t>Տեղեկատվության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հավաքագրում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, </w:t>
            </w: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վերլուծություն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D17066">
            <w:pPr>
              <w:numPr>
                <w:ilvl w:val="0"/>
                <w:numId w:val="20"/>
              </w:numPr>
              <w:spacing w:line="276" w:lineRule="auto"/>
              <w:ind w:left="342" w:hanging="270"/>
              <w:jc w:val="both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/>
                <w:shd w:val="clear" w:color="auto" w:fill="FFFFFF"/>
              </w:rPr>
              <w:t>Բարեվարքություն</w:t>
            </w:r>
            <w:proofErr w:type="spellEnd"/>
            <w:r w:rsidRPr="000003B9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spacing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0003B9">
              <w:rPr>
                <w:rFonts w:ascii="GHEA Grapalat" w:hAnsi="GHEA Grapalat"/>
              </w:rPr>
              <w:t>Ընտրանքային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/>
              </w:rPr>
              <w:t>կոմպետենցիներ</w:t>
            </w:r>
            <w:proofErr w:type="spellEnd"/>
            <w:r w:rsidRPr="000003B9">
              <w:rPr>
                <w:rFonts w:ascii="GHEA Grapalat" w:hAnsi="GHEA Grapalat"/>
              </w:rPr>
              <w:t>՝</w:t>
            </w:r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0C2D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7"/>
              <w:rPr>
                <w:rFonts w:ascii="GHEA Grapalat" w:hAnsi="GHEA Grapalat" w:cs="Sylfaen"/>
                <w:shd w:val="clear" w:color="auto" w:fill="FFFFFF"/>
              </w:rPr>
            </w:pPr>
            <w:bookmarkStart w:id="12" w:name="bookmark18"/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Փոփոխությունների</w:t>
            </w:r>
            <w:proofErr w:type="spellEnd"/>
            <w:r w:rsidRPr="000003B9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կառավարում</w:t>
            </w:r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0C2D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7"/>
              <w:rPr>
                <w:rFonts w:ascii="GHEA Grapalat" w:hAnsi="GHEA Grapalat" w:cs="Sylfaen"/>
                <w:shd w:val="clear" w:color="auto" w:fill="FFFFFF"/>
              </w:rPr>
            </w:pPr>
            <w:proofErr w:type="spellStart"/>
            <w:r w:rsidRPr="000003B9"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</w:rPr>
              <w:t>տեխնոլոգիաներ</w:t>
            </w:r>
            <w:proofErr w:type="spellEnd"/>
            <w:r w:rsidRPr="000003B9">
              <w:rPr>
                <w:rFonts w:ascii="GHEA Grapalat" w:hAnsi="GHEA Grapalat"/>
              </w:rPr>
              <w:t xml:space="preserve"> </w:t>
            </w:r>
            <w:r w:rsidRPr="000003B9">
              <w:rPr>
                <w:rFonts w:ascii="GHEA Grapalat" w:hAnsi="GHEA Grapalat" w:cs="Sylfaen"/>
              </w:rPr>
              <w:t>և</w:t>
            </w:r>
            <w:r w:rsidRPr="000003B9">
              <w:rPr>
                <w:rFonts w:ascii="GHEA Grapalat" w:hAnsi="GHEA Grapalat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</w:rPr>
              <w:t>հեռահաղորդակցություն</w:t>
            </w:r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0C2D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7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Ժամանակի</w:t>
            </w:r>
            <w:proofErr w:type="spellEnd"/>
            <w:r w:rsidRPr="000003B9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կառավարում</w:t>
            </w:r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0C2D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7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Ելույթների</w:t>
            </w:r>
            <w:proofErr w:type="spellEnd"/>
            <w:r w:rsidRPr="000003B9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նախապատրաստում</w:t>
            </w:r>
            <w:proofErr w:type="spellEnd"/>
            <w:r w:rsidRPr="000003B9">
              <w:rPr>
                <w:rFonts w:ascii="GHEA Grapalat" w:hAnsi="GHEA Grapalat" w:cs="Sylfaen"/>
                <w:shd w:val="clear" w:color="auto" w:fill="FFFFFF"/>
              </w:rPr>
              <w:t xml:space="preserve"> և </w:t>
            </w: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կազմակերպում</w:t>
            </w:r>
            <w:proofErr w:type="spellEnd"/>
          </w:p>
        </w:tc>
      </w:tr>
      <w:tr w:rsidR="00C95C1B" w:rsidRPr="000003B9" w:rsidTr="00574D5A">
        <w:trPr>
          <w:trHeight w:val="80"/>
        </w:trPr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0C2D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27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Փաստաթղթերի</w:t>
            </w:r>
            <w:proofErr w:type="spellEnd"/>
            <w:r w:rsidRPr="000003B9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0003B9">
              <w:rPr>
                <w:rFonts w:ascii="GHEA Grapalat" w:hAnsi="GHEA Grapalat" w:cs="Sylfaen"/>
                <w:shd w:val="clear" w:color="auto" w:fill="FFFFFF"/>
              </w:rPr>
              <w:t>նախապատրաստում</w:t>
            </w:r>
            <w:proofErr w:type="spellEnd"/>
          </w:p>
        </w:tc>
      </w:tr>
      <w:tr w:rsidR="00C95C1B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pacing w:line="240" w:lineRule="auto"/>
              <w:jc w:val="both"/>
              <w:rPr>
                <w:rFonts w:ascii="GHEA Grapalat" w:hAnsi="GHEA Grapalat"/>
                <w:b w:val="0"/>
              </w:rPr>
            </w:pPr>
          </w:p>
        </w:tc>
      </w:tr>
      <w:tr w:rsidR="00C95C1B" w:rsidRPr="000003B9" w:rsidTr="00574D5A">
        <w:trPr>
          <w:trHeight w:val="287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C1B" w:rsidRPr="000003B9" w:rsidRDefault="00C95C1B" w:rsidP="007B010A">
            <w:pPr>
              <w:pStyle w:val="Heading1"/>
              <w:keepNext/>
              <w:keepLines/>
              <w:shd w:val="clear" w:color="auto" w:fill="auto"/>
              <w:spacing w:afterLines="60" w:after="144" w:line="240" w:lineRule="auto"/>
              <w:jc w:val="center"/>
              <w:rPr>
                <w:rFonts w:ascii="GHEA Grapalat" w:hAnsi="GHEA Grapalat"/>
              </w:rPr>
            </w:pPr>
            <w:bookmarkStart w:id="13" w:name="bookmark19"/>
            <w:bookmarkEnd w:id="12"/>
            <w:r w:rsidRPr="000003B9">
              <w:rPr>
                <w:rFonts w:ascii="GHEA Grapalat" w:hAnsi="GHEA Grapalat"/>
              </w:rPr>
              <w:t xml:space="preserve">4.Կազմակերպական </w:t>
            </w:r>
            <w:proofErr w:type="spellStart"/>
            <w:r w:rsidRPr="000003B9">
              <w:rPr>
                <w:rFonts w:ascii="GHEA Grapalat" w:hAnsi="GHEA Grapalat"/>
              </w:rPr>
              <w:t>շրջանակը</w:t>
            </w:r>
            <w:bookmarkEnd w:id="13"/>
            <w:proofErr w:type="spellEnd"/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003B9">
              <w:rPr>
                <w:rFonts w:ascii="GHEA Grapalat" w:eastAsia="Times New Roman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003B9">
              <w:rPr>
                <w:rFonts w:ascii="GHEA Grapalat" w:eastAsia="Times New Roman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որոշումների նախապատրաստման շրջանակներում: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003B9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BF683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որոշակի ոլորտին վերաբերող </w:t>
            </w:r>
            <w:r w:rsidR="00BF6830">
              <w:rPr>
                <w:rFonts w:ascii="GHEA Grapalat" w:hAnsi="GHEA Grapalat"/>
                <w:lang w:val="hy-AM"/>
              </w:rPr>
              <w:t>համապետական</w:t>
            </w:r>
            <w:r w:rsidRPr="000003B9">
              <w:rPr>
                <w:rFonts w:ascii="GHEA Grapalat" w:hAnsi="GHEA Grapalat"/>
                <w:lang w:val="hy-AM"/>
              </w:rPr>
              <w:t xml:space="preserve"> ազդեցություն: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003B9">
              <w:rPr>
                <w:rFonts w:ascii="GHEA Grapalat" w:eastAsia="Times New Roman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</w:tc>
      </w:tr>
      <w:tr w:rsidR="007A2CE1" w:rsidRPr="00A2023A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3A" w:rsidRPr="000003B9" w:rsidRDefault="00A2023A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2023A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</w:tc>
      </w:tr>
      <w:tr w:rsidR="007A2CE1" w:rsidRPr="00A2023A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D30BF4" w:rsidP="00D30BF4">
            <w:pPr>
              <w:tabs>
                <w:tab w:val="left" w:pos="1905"/>
              </w:tabs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ab/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003B9">
              <w:rPr>
                <w:rFonts w:ascii="GHEA Grapalat" w:eastAsia="Times New Roman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1" w:rsidRPr="000003B9" w:rsidRDefault="007A2CE1" w:rsidP="000D64A5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0003B9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  <w:tr w:rsidR="007A2CE1" w:rsidRPr="000003B9" w:rsidTr="00574D5A"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E1" w:rsidRPr="000003B9" w:rsidRDefault="007A2CE1" w:rsidP="007A2CE1">
            <w:pPr>
              <w:spacing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</w:tc>
      </w:tr>
    </w:tbl>
    <w:p w:rsidR="00887201" w:rsidRPr="000003B9" w:rsidRDefault="00887201" w:rsidP="00C95C1B">
      <w:pPr>
        <w:pStyle w:val="Heading1"/>
        <w:keepNext/>
        <w:keepLines/>
        <w:shd w:val="clear" w:color="auto" w:fill="auto"/>
        <w:spacing w:afterLines="60" w:after="144" w:line="240" w:lineRule="auto"/>
        <w:jc w:val="both"/>
        <w:rPr>
          <w:rFonts w:ascii="GHEA Grapalat" w:hAnsi="GHEA Grapalat"/>
          <w:lang w:val="hy-AM"/>
        </w:rPr>
      </w:pPr>
    </w:p>
    <w:sectPr w:rsidR="00887201" w:rsidRPr="000003B9" w:rsidSect="008F1647">
      <w:pgSz w:w="12240" w:h="15840"/>
      <w:pgMar w:top="810" w:right="72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B94"/>
    <w:multiLevelType w:val="hybridMultilevel"/>
    <w:tmpl w:val="6F5E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EC9"/>
    <w:multiLevelType w:val="multilevel"/>
    <w:tmpl w:val="4D18FCEC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04603"/>
    <w:multiLevelType w:val="hybridMultilevel"/>
    <w:tmpl w:val="796CC864"/>
    <w:lvl w:ilvl="0" w:tplc="8D84A91E">
      <w:start w:val="1"/>
      <w:numFmt w:val="decimal"/>
      <w:lvlText w:val="%1)"/>
      <w:lvlJc w:val="left"/>
      <w:pPr>
        <w:ind w:left="1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3" w:hanging="360"/>
      </w:pPr>
    </w:lvl>
    <w:lvl w:ilvl="2" w:tplc="0409001B" w:tentative="1">
      <w:start w:val="1"/>
      <w:numFmt w:val="lowerRoman"/>
      <w:lvlText w:val="%3."/>
      <w:lvlJc w:val="right"/>
      <w:pPr>
        <w:ind w:left="3403" w:hanging="180"/>
      </w:pPr>
    </w:lvl>
    <w:lvl w:ilvl="3" w:tplc="0409000F" w:tentative="1">
      <w:start w:val="1"/>
      <w:numFmt w:val="decimal"/>
      <w:lvlText w:val="%4."/>
      <w:lvlJc w:val="left"/>
      <w:pPr>
        <w:ind w:left="4123" w:hanging="360"/>
      </w:pPr>
    </w:lvl>
    <w:lvl w:ilvl="4" w:tplc="04090019" w:tentative="1">
      <w:start w:val="1"/>
      <w:numFmt w:val="lowerLetter"/>
      <w:lvlText w:val="%5."/>
      <w:lvlJc w:val="left"/>
      <w:pPr>
        <w:ind w:left="4843" w:hanging="360"/>
      </w:pPr>
    </w:lvl>
    <w:lvl w:ilvl="5" w:tplc="0409001B" w:tentative="1">
      <w:start w:val="1"/>
      <w:numFmt w:val="lowerRoman"/>
      <w:lvlText w:val="%6."/>
      <w:lvlJc w:val="right"/>
      <w:pPr>
        <w:ind w:left="5563" w:hanging="180"/>
      </w:pPr>
    </w:lvl>
    <w:lvl w:ilvl="6" w:tplc="0409000F" w:tentative="1">
      <w:start w:val="1"/>
      <w:numFmt w:val="decimal"/>
      <w:lvlText w:val="%7."/>
      <w:lvlJc w:val="left"/>
      <w:pPr>
        <w:ind w:left="6283" w:hanging="360"/>
      </w:pPr>
    </w:lvl>
    <w:lvl w:ilvl="7" w:tplc="04090019" w:tentative="1">
      <w:start w:val="1"/>
      <w:numFmt w:val="lowerLetter"/>
      <w:lvlText w:val="%8."/>
      <w:lvlJc w:val="left"/>
      <w:pPr>
        <w:ind w:left="7003" w:hanging="360"/>
      </w:pPr>
    </w:lvl>
    <w:lvl w:ilvl="8" w:tplc="040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3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31B7537"/>
    <w:multiLevelType w:val="hybridMultilevel"/>
    <w:tmpl w:val="33824D0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15352"/>
    <w:multiLevelType w:val="hybridMultilevel"/>
    <w:tmpl w:val="499C4AE0"/>
    <w:lvl w:ilvl="0" w:tplc="0450E40C">
      <w:start w:val="1"/>
      <w:numFmt w:val="decimal"/>
      <w:lvlText w:val="%1)"/>
      <w:lvlJc w:val="left"/>
      <w:pPr>
        <w:ind w:left="1170" w:hanging="360"/>
      </w:pPr>
      <w:rPr>
        <w:rFonts w:cs="Sylfae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A0948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322B"/>
    <w:multiLevelType w:val="hybridMultilevel"/>
    <w:tmpl w:val="D4A09FA8"/>
    <w:lvl w:ilvl="0" w:tplc="646619AA">
      <w:start w:val="1"/>
      <w:numFmt w:val="decimal"/>
      <w:lvlText w:val="%1)"/>
      <w:lvlJc w:val="left"/>
      <w:pPr>
        <w:ind w:left="1440" w:hanging="72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C095E"/>
    <w:multiLevelType w:val="hybridMultilevel"/>
    <w:tmpl w:val="23F4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1033"/>
    <w:multiLevelType w:val="hybridMultilevel"/>
    <w:tmpl w:val="A8707A1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2CBE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">
    <w:nsid w:val="4E9E5ABC"/>
    <w:multiLevelType w:val="hybridMultilevel"/>
    <w:tmpl w:val="3092BBB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27C4"/>
    <w:multiLevelType w:val="multilevel"/>
    <w:tmpl w:val="A9BE6ECA"/>
    <w:lvl w:ilvl="0">
      <w:start w:val="1"/>
      <w:numFmt w:val="decimal"/>
      <w:lvlText w:val="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558D6"/>
    <w:multiLevelType w:val="hybridMultilevel"/>
    <w:tmpl w:val="499C4AE0"/>
    <w:lvl w:ilvl="0" w:tplc="0450E40C">
      <w:start w:val="1"/>
      <w:numFmt w:val="decimal"/>
      <w:lvlText w:val="%1)"/>
      <w:lvlJc w:val="left"/>
      <w:pPr>
        <w:ind w:left="1069" w:hanging="360"/>
      </w:pPr>
      <w:rPr>
        <w:rFonts w:cs="Sylfae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7C5D90"/>
    <w:multiLevelType w:val="hybridMultilevel"/>
    <w:tmpl w:val="5B121666"/>
    <w:lvl w:ilvl="0" w:tplc="51ACCD2A">
      <w:start w:val="4"/>
      <w:numFmt w:val="decimal"/>
      <w:lvlText w:val="%1)"/>
      <w:lvlJc w:val="left"/>
      <w:pPr>
        <w:ind w:left="900" w:hanging="360"/>
      </w:pPr>
      <w:rPr>
        <w:rFonts w:eastAsia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973C99"/>
    <w:multiLevelType w:val="hybridMultilevel"/>
    <w:tmpl w:val="981034E0"/>
    <w:lvl w:ilvl="0" w:tplc="7DBACA2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D747E0"/>
    <w:multiLevelType w:val="hybridMultilevel"/>
    <w:tmpl w:val="994C63D0"/>
    <w:lvl w:ilvl="0" w:tplc="7B248264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374D8E"/>
    <w:multiLevelType w:val="hybridMultilevel"/>
    <w:tmpl w:val="578ADD26"/>
    <w:lvl w:ilvl="0" w:tplc="646619AA">
      <w:start w:val="1"/>
      <w:numFmt w:val="decimal"/>
      <w:lvlText w:val="%1)"/>
      <w:lvlJc w:val="left"/>
      <w:pPr>
        <w:ind w:left="720" w:hanging="720"/>
      </w:pPr>
      <w:rPr>
        <w:rFonts w:cs="Segoe U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5D6C52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F6EDF"/>
    <w:multiLevelType w:val="hybridMultilevel"/>
    <w:tmpl w:val="75388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348F"/>
    <w:multiLevelType w:val="hybridMultilevel"/>
    <w:tmpl w:val="1E4A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60C8"/>
    <w:multiLevelType w:val="hybridMultilevel"/>
    <w:tmpl w:val="C0CC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2E81"/>
    <w:multiLevelType w:val="hybridMultilevel"/>
    <w:tmpl w:val="AF06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2"/>
  </w:num>
  <w:num w:numId="6">
    <w:abstractNumId w:val="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 w:numId="25">
    <w:abstractNumId w:val="21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7"/>
    <w:rsid w:val="000003B9"/>
    <w:rsid w:val="00006E7E"/>
    <w:rsid w:val="00011DB5"/>
    <w:rsid w:val="00014254"/>
    <w:rsid w:val="000203DF"/>
    <w:rsid w:val="00035054"/>
    <w:rsid w:val="0006440B"/>
    <w:rsid w:val="000A46E1"/>
    <w:rsid w:val="000A5224"/>
    <w:rsid w:val="000B1480"/>
    <w:rsid w:val="000C2D7C"/>
    <w:rsid w:val="000C55EF"/>
    <w:rsid w:val="000C5F2D"/>
    <w:rsid w:val="000D64A5"/>
    <w:rsid w:val="000F7DA6"/>
    <w:rsid w:val="00130DFD"/>
    <w:rsid w:val="00142131"/>
    <w:rsid w:val="001555BC"/>
    <w:rsid w:val="00170716"/>
    <w:rsid w:val="00172CBA"/>
    <w:rsid w:val="001902CF"/>
    <w:rsid w:val="0019799D"/>
    <w:rsid w:val="001A2D23"/>
    <w:rsid w:val="001C2AD4"/>
    <w:rsid w:val="001C53CD"/>
    <w:rsid w:val="002119A0"/>
    <w:rsid w:val="0021295A"/>
    <w:rsid w:val="0021334A"/>
    <w:rsid w:val="00233007"/>
    <w:rsid w:val="00246117"/>
    <w:rsid w:val="00251C7B"/>
    <w:rsid w:val="00276550"/>
    <w:rsid w:val="002A1818"/>
    <w:rsid w:val="002A5FB5"/>
    <w:rsid w:val="002A6515"/>
    <w:rsid w:val="002C0844"/>
    <w:rsid w:val="002C629F"/>
    <w:rsid w:val="002D3B52"/>
    <w:rsid w:val="002D54CF"/>
    <w:rsid w:val="002D79CA"/>
    <w:rsid w:val="002E7527"/>
    <w:rsid w:val="002F7F59"/>
    <w:rsid w:val="00315008"/>
    <w:rsid w:val="00325B55"/>
    <w:rsid w:val="00343660"/>
    <w:rsid w:val="0035076A"/>
    <w:rsid w:val="0039023B"/>
    <w:rsid w:val="003B3EC6"/>
    <w:rsid w:val="003E3331"/>
    <w:rsid w:val="003F5454"/>
    <w:rsid w:val="00402E4B"/>
    <w:rsid w:val="0043216C"/>
    <w:rsid w:val="0046270A"/>
    <w:rsid w:val="00474917"/>
    <w:rsid w:val="00486916"/>
    <w:rsid w:val="00490DE9"/>
    <w:rsid w:val="0049164F"/>
    <w:rsid w:val="004A264E"/>
    <w:rsid w:val="004A26E4"/>
    <w:rsid w:val="004A6C82"/>
    <w:rsid w:val="004D463E"/>
    <w:rsid w:val="004E02CD"/>
    <w:rsid w:val="004E3AB6"/>
    <w:rsid w:val="004F6F8B"/>
    <w:rsid w:val="005174B3"/>
    <w:rsid w:val="005273F0"/>
    <w:rsid w:val="005304AB"/>
    <w:rsid w:val="00542219"/>
    <w:rsid w:val="005644DC"/>
    <w:rsid w:val="00565A3A"/>
    <w:rsid w:val="00572298"/>
    <w:rsid w:val="00574D5A"/>
    <w:rsid w:val="005752F2"/>
    <w:rsid w:val="005C70AE"/>
    <w:rsid w:val="005D01F5"/>
    <w:rsid w:val="005D0709"/>
    <w:rsid w:val="005D1F5B"/>
    <w:rsid w:val="005D74CD"/>
    <w:rsid w:val="005E104A"/>
    <w:rsid w:val="005E1693"/>
    <w:rsid w:val="005F351B"/>
    <w:rsid w:val="005F3EA7"/>
    <w:rsid w:val="00630152"/>
    <w:rsid w:val="00635E2C"/>
    <w:rsid w:val="00651A91"/>
    <w:rsid w:val="006532FF"/>
    <w:rsid w:val="006723B6"/>
    <w:rsid w:val="00674A48"/>
    <w:rsid w:val="006B59E7"/>
    <w:rsid w:val="006C3DAE"/>
    <w:rsid w:val="006E5BF0"/>
    <w:rsid w:val="00700EDD"/>
    <w:rsid w:val="00707577"/>
    <w:rsid w:val="007206B5"/>
    <w:rsid w:val="00735900"/>
    <w:rsid w:val="0076009E"/>
    <w:rsid w:val="00767540"/>
    <w:rsid w:val="00770623"/>
    <w:rsid w:val="0077607F"/>
    <w:rsid w:val="007A2CE1"/>
    <w:rsid w:val="007A2E6D"/>
    <w:rsid w:val="007A68FA"/>
    <w:rsid w:val="007B6F56"/>
    <w:rsid w:val="007C7A5D"/>
    <w:rsid w:val="00811246"/>
    <w:rsid w:val="00814493"/>
    <w:rsid w:val="00815A5B"/>
    <w:rsid w:val="00817356"/>
    <w:rsid w:val="00861814"/>
    <w:rsid w:val="00864523"/>
    <w:rsid w:val="00872598"/>
    <w:rsid w:val="00873BD1"/>
    <w:rsid w:val="00887201"/>
    <w:rsid w:val="008A75AA"/>
    <w:rsid w:val="008B4A43"/>
    <w:rsid w:val="008F1647"/>
    <w:rsid w:val="008F33D1"/>
    <w:rsid w:val="00901BA4"/>
    <w:rsid w:val="00907C42"/>
    <w:rsid w:val="009165E1"/>
    <w:rsid w:val="00937EA9"/>
    <w:rsid w:val="009604EF"/>
    <w:rsid w:val="00974E5C"/>
    <w:rsid w:val="009A0E85"/>
    <w:rsid w:val="009B0FE9"/>
    <w:rsid w:val="009F3DC4"/>
    <w:rsid w:val="00A1011B"/>
    <w:rsid w:val="00A1158E"/>
    <w:rsid w:val="00A2023A"/>
    <w:rsid w:val="00A24D46"/>
    <w:rsid w:val="00A269B3"/>
    <w:rsid w:val="00A461C0"/>
    <w:rsid w:val="00A57CA7"/>
    <w:rsid w:val="00A73325"/>
    <w:rsid w:val="00A8605C"/>
    <w:rsid w:val="00AB3F1B"/>
    <w:rsid w:val="00AE545C"/>
    <w:rsid w:val="00B100B2"/>
    <w:rsid w:val="00B17E67"/>
    <w:rsid w:val="00B21F7F"/>
    <w:rsid w:val="00B55A4F"/>
    <w:rsid w:val="00B74EF0"/>
    <w:rsid w:val="00BA472C"/>
    <w:rsid w:val="00BB43D3"/>
    <w:rsid w:val="00BE5D91"/>
    <w:rsid w:val="00BF6830"/>
    <w:rsid w:val="00C22105"/>
    <w:rsid w:val="00C35A15"/>
    <w:rsid w:val="00C45A90"/>
    <w:rsid w:val="00C47C6A"/>
    <w:rsid w:val="00C717CB"/>
    <w:rsid w:val="00C7261F"/>
    <w:rsid w:val="00C95C1B"/>
    <w:rsid w:val="00CB7CE1"/>
    <w:rsid w:val="00CC3CC4"/>
    <w:rsid w:val="00CD3335"/>
    <w:rsid w:val="00CE3A3D"/>
    <w:rsid w:val="00CF45C7"/>
    <w:rsid w:val="00D073ED"/>
    <w:rsid w:val="00D17066"/>
    <w:rsid w:val="00D254C4"/>
    <w:rsid w:val="00D30BF4"/>
    <w:rsid w:val="00D31E3A"/>
    <w:rsid w:val="00D412D1"/>
    <w:rsid w:val="00D45162"/>
    <w:rsid w:val="00D52880"/>
    <w:rsid w:val="00D72C88"/>
    <w:rsid w:val="00D8732C"/>
    <w:rsid w:val="00D91549"/>
    <w:rsid w:val="00D9569D"/>
    <w:rsid w:val="00D95DA5"/>
    <w:rsid w:val="00D97F67"/>
    <w:rsid w:val="00DA46D5"/>
    <w:rsid w:val="00DB427F"/>
    <w:rsid w:val="00DD2287"/>
    <w:rsid w:val="00DF5616"/>
    <w:rsid w:val="00E24640"/>
    <w:rsid w:val="00E430A2"/>
    <w:rsid w:val="00E52698"/>
    <w:rsid w:val="00E542A5"/>
    <w:rsid w:val="00E92434"/>
    <w:rsid w:val="00EA0436"/>
    <w:rsid w:val="00EB16E8"/>
    <w:rsid w:val="00EC3D94"/>
    <w:rsid w:val="00EC73C4"/>
    <w:rsid w:val="00ED0977"/>
    <w:rsid w:val="00ED0BB0"/>
    <w:rsid w:val="00EE5A66"/>
    <w:rsid w:val="00F2763F"/>
    <w:rsid w:val="00F77D92"/>
    <w:rsid w:val="00F83E12"/>
    <w:rsid w:val="00FB352A"/>
    <w:rsid w:val="00FD4F02"/>
    <w:rsid w:val="00FE390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B3116-715B-4559-9666-D0E7042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A472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472C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BA472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C22105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C2210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7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752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23"/>
    <w:rPr>
      <w:rFonts w:ascii="Calibri" w:eastAsia="Calibri" w:hAnsi="Calibri" w:cs="Times New Roman"/>
    </w:rPr>
  </w:style>
  <w:style w:type="character" w:customStyle="1" w:styleId="Bodytext3Exact">
    <w:name w:val="Body text (3) Exact"/>
    <w:basedOn w:val="DefaultParagraphFont"/>
    <w:link w:val="Bodytext3"/>
    <w:rsid w:val="00A101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1011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1Exact">
    <w:name w:val="Heading #1 Exact"/>
    <w:basedOn w:val="DefaultParagraphFont"/>
    <w:link w:val="Heading1"/>
    <w:rsid w:val="00A1011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A1011B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character" w:customStyle="1" w:styleId="Bodytext2Exact">
    <w:name w:val="Body text (2) Exact"/>
    <w:basedOn w:val="DefaultParagraphFont"/>
    <w:link w:val="Bodytext20"/>
    <w:rsid w:val="00A101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Exact"/>
    <w:rsid w:val="00A1011B"/>
    <w:pPr>
      <w:widowControl w:val="0"/>
      <w:shd w:val="clear" w:color="auto" w:fill="FFFFFF"/>
      <w:spacing w:after="0" w:line="326" w:lineRule="exact"/>
      <w:ind w:hanging="440"/>
      <w:jc w:val="right"/>
    </w:pPr>
    <w:rPr>
      <w:rFonts w:ascii="Segoe UI" w:eastAsia="Segoe UI" w:hAnsi="Segoe UI" w:cs="Segoe UI"/>
    </w:rPr>
  </w:style>
  <w:style w:type="character" w:customStyle="1" w:styleId="Bodytext4Exact">
    <w:name w:val="Body text (4) Exact"/>
    <w:basedOn w:val="DefaultParagraphFont"/>
    <w:link w:val="Bodytext4"/>
    <w:rsid w:val="00FE7E4D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FE7E4D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  <w:b/>
      <w:bCs/>
    </w:rPr>
  </w:style>
  <w:style w:type="paragraph" w:customStyle="1" w:styleId="Default">
    <w:name w:val="Default"/>
    <w:rsid w:val="00014254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42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2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3E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7E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4E5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C0C6-4E47-487C-8BCA-7B61248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Heriqnaz Aghayan</dc:creator>
  <cp:keywords>https:/mul2-mtc.gov.am/tasks/52876/oneclick/Pashtoni andznagir.docx?token=55cc284982a189b188b7d2acb4b8d184</cp:keywords>
  <dc:description/>
  <cp:lastModifiedBy>Harutyun Demirchyan</cp:lastModifiedBy>
  <cp:revision>2</cp:revision>
  <cp:lastPrinted>2019-07-26T08:26:00Z</cp:lastPrinted>
  <dcterms:created xsi:type="dcterms:W3CDTF">2020-08-04T05:45:00Z</dcterms:created>
  <dcterms:modified xsi:type="dcterms:W3CDTF">2020-08-04T05:45:00Z</dcterms:modified>
</cp:coreProperties>
</file>