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A6" w:rsidRPr="005B6F2F" w:rsidRDefault="00076C36" w:rsidP="00EA1FA6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Sylfaen" w:hAnsi="GHEA Grapalat"/>
          <w:lang w:val="hy-AM"/>
        </w:rPr>
        <w:t xml:space="preserve">                                                                                                         </w:t>
      </w:r>
      <w:r w:rsidR="00EA1FA6">
        <w:rPr>
          <w:rFonts w:ascii="GHEA Grapalat" w:eastAsia="Sylfaen" w:hAnsi="GHEA Grapalat" w:cs="Times New Roman"/>
          <w:sz w:val="20"/>
          <w:szCs w:val="20"/>
          <w:lang w:val="hy-AM"/>
        </w:rPr>
        <w:t>Հավելված</w:t>
      </w:r>
      <w:r w:rsidR="00EA1FA6"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EA1FA6" w:rsidRPr="00D878E7">
        <w:rPr>
          <w:rFonts w:ascii="GHEA Grapalat" w:eastAsia="GHEA Grapalat" w:hAnsi="GHEA Grapalat"/>
          <w:sz w:val="20"/>
          <w:szCs w:val="20"/>
          <w:lang w:val="hy-AM"/>
        </w:rPr>
        <w:t>N</w:t>
      </w:r>
      <w:r w:rsidR="00EA1FA6">
        <w:rPr>
          <w:rFonts w:ascii="GHEA Grapalat" w:eastAsia="GHEA Grapalat" w:hAnsi="GHEA Grapalat"/>
          <w:sz w:val="20"/>
          <w:szCs w:val="20"/>
          <w:lang w:val="hy-AM"/>
        </w:rPr>
        <w:t xml:space="preserve"> 20</w:t>
      </w:r>
    </w:p>
    <w:p w:rsidR="00EA1FA6" w:rsidRDefault="00EA1FA6" w:rsidP="00EA1FA6">
      <w:pPr>
        <w:pStyle w:val="NoSpacing"/>
        <w:jc w:val="center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/>
          <w:sz w:val="20"/>
          <w:szCs w:val="20"/>
          <w:lang w:val="hy-AM"/>
        </w:rPr>
        <w:t xml:space="preserve">                                                                  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Հայաստանի Հանրապետության առողջապահական </w:t>
      </w:r>
    </w:p>
    <w:p w:rsidR="00EA1FA6" w:rsidRDefault="00EA1FA6" w:rsidP="00EA1FA6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     և աշխատանքի տեսչական մարմնի ղեկավարի</w:t>
      </w:r>
    </w:p>
    <w:p w:rsidR="00EA1FA6" w:rsidRPr="004656E8" w:rsidRDefault="00EA1FA6" w:rsidP="00EA1FA6">
      <w:pPr>
        <w:pStyle w:val="NoSpacing"/>
        <w:rPr>
          <w:rFonts w:ascii="GHEA Grapalat" w:eastAsia="GHEA Grapalat" w:hAnsi="GHEA Grapalat" w:cs="Times New Roman"/>
          <w:sz w:val="20"/>
          <w:szCs w:val="20"/>
          <w:lang w:val="hy-AM"/>
        </w:rPr>
      </w:pP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                                                                                   2020 թվականի </w:t>
      </w:r>
      <w:r>
        <w:rPr>
          <w:rFonts w:ascii="GHEA Grapalat" w:eastAsia="GHEA Grapalat" w:hAnsi="GHEA Grapalat"/>
          <w:sz w:val="20"/>
          <w:szCs w:val="20"/>
          <w:lang w:val="hy-AM"/>
        </w:rPr>
        <w:t xml:space="preserve">ապրիլի 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 </w:t>
      </w:r>
      <w:r w:rsidR="00D878E7" w:rsidRPr="00D878E7">
        <w:rPr>
          <w:rFonts w:ascii="GHEA Grapalat" w:eastAsia="GHEA Grapalat" w:hAnsi="GHEA Grapalat" w:cs="Times New Roman"/>
          <w:sz w:val="20"/>
          <w:szCs w:val="20"/>
          <w:lang w:val="hy-AM"/>
        </w:rPr>
        <w:t>30</w:t>
      </w:r>
      <w:r>
        <w:rPr>
          <w:rFonts w:ascii="GHEA Grapalat" w:eastAsia="GHEA Grapalat" w:hAnsi="GHEA Grapalat" w:cs="Times New Roman"/>
          <w:sz w:val="20"/>
          <w:szCs w:val="20"/>
          <w:lang w:val="hy-AM"/>
        </w:rPr>
        <w:t xml:space="preserve">-ի N </w:t>
      </w:r>
      <w:r w:rsidR="00D878E7">
        <w:rPr>
          <w:rFonts w:ascii="GHEA Grapalat" w:eastAsia="GHEA Grapalat" w:hAnsi="GHEA Grapalat" w:cs="Times New Roman"/>
          <w:sz w:val="20"/>
          <w:szCs w:val="20"/>
          <w:lang w:val="hy-AM"/>
        </w:rPr>
        <w:t>ԱԿ 400-</w:t>
      </w:r>
      <w:bookmarkStart w:id="0" w:name="_GoBack"/>
      <w:bookmarkEnd w:id="0"/>
      <w:r>
        <w:rPr>
          <w:rFonts w:ascii="GHEA Grapalat" w:eastAsia="GHEA Grapalat" w:hAnsi="GHEA Grapalat" w:cs="Times New Roman"/>
          <w:sz w:val="20"/>
          <w:szCs w:val="20"/>
          <w:lang w:val="hy-AM"/>
        </w:rPr>
        <w:t>Ա հրամանի</w:t>
      </w:r>
    </w:p>
    <w:p w:rsidR="00EA1FA6" w:rsidRDefault="00EA1FA6" w:rsidP="00EA1FA6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3"/>
          <w:szCs w:val="23"/>
          <w:lang w:val="hy-AM"/>
        </w:rPr>
      </w:pPr>
    </w:p>
    <w:p w:rsidR="00076C36" w:rsidRDefault="00076C36" w:rsidP="00076C36">
      <w:pPr>
        <w:spacing w:after="0" w:line="240" w:lineRule="auto"/>
        <w:jc w:val="right"/>
        <w:rPr>
          <w:rFonts w:ascii="GHEA Grapalat" w:eastAsia="GHEA Grapalat" w:hAnsi="GHEA Grapalat" w:cs="GHEA Grapalat"/>
          <w:lang w:val="hy-AM"/>
        </w:rPr>
      </w:pPr>
    </w:p>
    <w:p w:rsidR="00076C36" w:rsidRDefault="00076C36" w:rsidP="00076C36">
      <w:pPr>
        <w:spacing w:after="160" w:line="256" w:lineRule="auto"/>
        <w:jc w:val="center"/>
        <w:rPr>
          <w:rFonts w:ascii="GHEA Grapalat" w:eastAsia="GHEA Grapalat" w:hAnsi="GHEA Grapalat" w:cs="GHEA Grapalat"/>
          <w:b/>
          <w:sz w:val="28"/>
          <w:lang w:val="hy-AM"/>
        </w:rPr>
      </w:pPr>
      <w:r>
        <w:rPr>
          <w:rFonts w:ascii="GHEA Grapalat" w:eastAsia="Sylfaen" w:hAnsi="GHEA Grapalat" w:cs="Sylfaen"/>
          <w:b/>
          <w:sz w:val="28"/>
          <w:lang w:val="hy-AM"/>
        </w:rPr>
        <w:t>ՔԱՂԱՔԱՑԻԱԿԱՆ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ԾԱՌԱՅՈՒԹՅԱՆ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ՊԱՇՏՈՆԻ</w:t>
      </w:r>
      <w:r>
        <w:rPr>
          <w:rFonts w:ascii="GHEA Grapalat" w:eastAsia="GHEA Grapalat" w:hAnsi="GHEA Grapalat" w:cs="GHEA Grapalat"/>
          <w:b/>
          <w:sz w:val="28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8"/>
          <w:lang w:val="hy-AM"/>
        </w:rPr>
        <w:t>ԱՆՁՆԱԳԻՐ</w:t>
      </w:r>
    </w:p>
    <w:p w:rsidR="00076C36" w:rsidRDefault="00076C36" w:rsidP="00076C36">
      <w:pPr>
        <w:spacing w:after="160" w:line="256" w:lineRule="auto"/>
        <w:rPr>
          <w:rFonts w:ascii="GHEA Grapalat" w:eastAsia="GHEA Grapalat" w:hAnsi="GHEA Grapalat" w:cs="GHEA Grapalat"/>
          <w:lang w:val="hy-AM"/>
        </w:rPr>
      </w:pPr>
    </w:p>
    <w:p w:rsidR="00076C36" w:rsidRDefault="00076C36" w:rsidP="00076C36">
      <w:pPr>
        <w:spacing w:after="0" w:line="240" w:lineRule="auto"/>
        <w:jc w:val="center"/>
        <w:rPr>
          <w:rFonts w:ascii="GHEA Grapalat" w:eastAsia="GHEA Grapalat" w:hAnsi="GHEA Grapalat" w:cs="GHEA Grapalat"/>
          <w:b/>
          <w:sz w:val="24"/>
          <w:lang w:val="hy-AM"/>
        </w:rPr>
      </w:pPr>
      <w:r>
        <w:rPr>
          <w:rFonts w:ascii="GHEA Grapalat" w:eastAsia="Sylfaen" w:hAnsi="GHEA Grapalat" w:cs="Sylfaen"/>
          <w:b/>
          <w:sz w:val="24"/>
          <w:lang w:val="hy-AM"/>
        </w:rPr>
        <w:t>ԱՌՈՂՋԱՊԱՀԱԿԱՆ ԵՎ ԱՇԽԱՏԱՆՔԻ ՏԵՍՉԱԿԱՆ ՄԱՐՄՆԻ ՌԻՍԿԻ ԳՆԱՀԱՏՄԱՆ, ՍՏՈՒԳՈՒՄՆԵՐԻ ՊԼԱՆԱՎՈՐՄԱՆ ԵՎ ՎԵՐԼՈՒԾՈՒԹՅՈՒՆՆԵՐԻ ՎԱՐՉՈՒԹՅԱՆ</w:t>
      </w:r>
      <w:r>
        <w:rPr>
          <w:rFonts w:ascii="GHEA Grapalat" w:eastAsia="GHEA Grapalat" w:hAnsi="GHEA Grapalat" w:cs="GHEA Grapalat"/>
          <w:b/>
          <w:sz w:val="24"/>
          <w:lang w:val="hy-AM"/>
        </w:rPr>
        <w:t xml:space="preserve"> </w:t>
      </w:r>
      <w:r>
        <w:rPr>
          <w:rFonts w:ascii="GHEA Grapalat" w:eastAsia="Sylfaen" w:hAnsi="GHEA Grapalat" w:cs="Sylfaen"/>
          <w:b/>
          <w:sz w:val="24"/>
          <w:lang w:val="hy-AM"/>
        </w:rPr>
        <w:t>ԳԼԽԱՎՈՐ ՄԱՍՆԱԳԵՏ</w:t>
      </w:r>
    </w:p>
    <w:p w:rsidR="00076C36" w:rsidRDefault="00076C36" w:rsidP="00076C36">
      <w:pPr>
        <w:spacing w:after="0" w:line="240" w:lineRule="auto"/>
        <w:jc w:val="both"/>
        <w:rPr>
          <w:rFonts w:ascii="GHEA Grapalat" w:eastAsia="GHEA Grapalat" w:hAnsi="GHEA Grapalat" w:cs="GHEA Grapalat"/>
          <w:b/>
          <w:color w:val="0D0D0D"/>
          <w:sz w:val="24"/>
          <w:lang w:val="hy-AM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9"/>
      </w:tblGrid>
      <w:tr w:rsidR="00076C36" w:rsidTr="00076C3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6C36" w:rsidRDefault="00076C36">
            <w:pPr>
              <w:spacing w:after="0" w:line="360" w:lineRule="auto"/>
              <w:ind w:left="360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1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Ընդհանուր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076C36" w:rsidRPr="00D878E7" w:rsidTr="00076C3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C36" w:rsidRDefault="00076C36" w:rsidP="00076C36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ծածկագիրը</w:t>
            </w:r>
            <w:proofErr w:type="spellEnd"/>
          </w:p>
          <w:p w:rsidR="00076C36" w:rsidRDefault="00076C36">
            <w:pPr>
              <w:spacing w:after="0" w:line="256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Առողջապահական և աշխատանքի տեսչական մարմնի 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(այսուհետ՝ Տեսչական մարմին) 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ռիսկի գնահատման, ստուգումների պլանավորման և վերլուծությունների</w:t>
            </w: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վարչության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(այսուհետ՝ Վարչություն)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գլխավոր մասնագետ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(այսուհետ՝ Գլխավոր մասնագետ) 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(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ծածկագիրը՝ 6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6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-27.4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-Մ2-4)</w:t>
            </w:r>
          </w:p>
          <w:p w:rsidR="00076C36" w:rsidRDefault="00076C3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Ենթակա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հաշվետու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է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76C36" w:rsidRDefault="00076C3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Գլխավոր մասնագետն անմիջական ենթակա և հաշվետու է Վարչության պետին:</w:t>
            </w:r>
          </w:p>
          <w:p w:rsidR="00076C36" w:rsidRDefault="00076C3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կամ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76C36" w:rsidRDefault="00076C3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24"/>
                <w:szCs w:val="24"/>
                <w:lang w:val="hy-AM"/>
              </w:rPr>
              <w:t>Գլխավոր մասնագետի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բացակայության դեպքում նրան փոխարինում է Վարչության մյուս  Գլխավոր մասնագետը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076C36" w:rsidRDefault="00076C3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1.4.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Աշխատավայրը</w:t>
            </w:r>
          </w:p>
          <w:p w:rsidR="00076C36" w:rsidRDefault="00076C3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Հայաստան, ք. </w:t>
            </w:r>
            <w:proofErr w:type="spellStart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Երևան</w:t>
            </w:r>
            <w:proofErr w:type="spellEnd"/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, Նորք-Մարաշ վարչական շրջան, Արմենակ Արմենակյան փող., 129 շենք</w:t>
            </w:r>
          </w:p>
          <w:p w:rsidR="00076C36" w:rsidRDefault="00076C3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76C36" w:rsidRPr="00D878E7" w:rsidTr="00076C3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C36" w:rsidRDefault="00076C36">
            <w:pPr>
              <w:spacing w:after="0" w:line="360" w:lineRule="auto"/>
              <w:ind w:left="311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>2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բնութագիրը</w:t>
            </w:r>
          </w:p>
          <w:p w:rsidR="00076C36" w:rsidRDefault="00076C3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2.1.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բնույթը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իրավունքները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պարտականությունները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76C36" w:rsidRDefault="00076C36" w:rsidP="00047F65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տնտեսավարող սուբյեկտների տվյալների բազայի ստեղծման, պարբերաբար թարմացման աշխատանքներ, ըստ տնտեսական գործունեության տեսակների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դասակարգիչների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ռիսկայնությունը որոշող չափանիշների՝  սահմանելով, բացահայտելով և վերլուծելով Տեսչական մարմնի վերահսկողության ենթակա բնագավառների ռիսկերը,</w:t>
            </w:r>
          </w:p>
          <w:p w:rsidR="00076C36" w:rsidRDefault="00076C36" w:rsidP="00047F65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խախտումների պարբերականության, խախտումների վերացմանն ուղղված գործողությունների վերաբերյալ տվյալների բազայի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ձևավորման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պարբերաբար թարմացման աշխատանքներ, ըստ տնտեսական գործունեության տեսակների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դասակարգիչների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,</w:t>
            </w:r>
          </w:p>
          <w:p w:rsidR="00076C36" w:rsidRDefault="00076C36" w:rsidP="00047F65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lastRenderedPageBreak/>
              <w:t xml:space="preserve">իրականացնում է Տեսչական մարմնի վերահսկման Ոլորտում գործող բոլոր տնտեսավարող սուբյեկտների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ռիսկայնության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դասակարգման աշխատանքներ ըստ տնտեսավարող սուբյեկտների, ինչպես նաև հսկողական գործառույթների նպատակադրում դեպի առավել ռիսկային ոլորտներ և վերահսկման ենթակա տնտեսավարող սուբյեկտներ,</w:t>
            </w:r>
          </w:p>
          <w:p w:rsidR="00076C36" w:rsidRDefault="00076C36" w:rsidP="00047F65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Տեսչական մարմնի վերահսկվող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ռիսկի գնահատման և արդյունքների վերլուծության աշխատանքներ,</w:t>
            </w:r>
          </w:p>
          <w:p w:rsidR="00076C36" w:rsidRDefault="00076C36" w:rsidP="00047F65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Տեսչական մարմնի կառուցվածքային ստորաբաժանումներից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սուբյեկտներում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կատարված ստուգումների և ուսումնասիրությունների արդյունքների հավաքագրում և դրա հիման վրա սահմանված մեթոդաբանությամբ ռիսկերի հետագա գնահատման աշխատանքներ,</w:t>
            </w:r>
          </w:p>
          <w:p w:rsidR="00076C36" w:rsidRDefault="00076C36" w:rsidP="00047F65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կառուցվածքային ստորաբաժանումների և շահագրգիռ պետական կառույցների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միջև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Տեսչական մարմնի կողմից իրականացվող պետական վերահսկողության արդյունքների հիման վրա ռիսկի կառավարման և դրանց վերաբերյալ տեղեկատվության փոխանակման աշխատանքներ,</w:t>
            </w:r>
          </w:p>
          <w:p w:rsidR="00076C36" w:rsidRDefault="00076C36" w:rsidP="00047F65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իրականացնում է Տեսչական մարմնի կողմից վերահսկվող տնտեսավարող սուբյեկտների տվյալների, ինչպես նաև Ոլորտի վիճակագրական տեղեկատվական բազաների ստեղծման և վարման աշխատանքներ,</w:t>
            </w:r>
          </w:p>
          <w:p w:rsidR="00076C36" w:rsidRDefault="00076C36" w:rsidP="00047F65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Տեսչական մարմնի վերահսկման ոլորտում գործող բոլոր տնտեսավարող սուբյեկտների դասակարգումը ըստ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ռիսկայնության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վերջինիս հիման վրա ստուգումների տարեկան ծրագրի կազմման աշխատանքներ,</w:t>
            </w:r>
          </w:p>
          <w:p w:rsidR="00076C36" w:rsidRDefault="00076C36" w:rsidP="00047F65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ստուգումների կազմակերպման, ստուգումների (այդ թվում Ռիսկի վրա հիմնված) հաշվառման հետ կապված համապատասխան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ձևաթղթերի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հանձնարարագրերի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, հրամանների, ակտերի, որոշումների,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կարգադրագրերի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և այլ համապատասխան փաստաթղթերի կազմման, ստուգման արդյունքների հաշվառման աշխատանքներ,</w:t>
            </w:r>
          </w:p>
          <w:p w:rsidR="00076C36" w:rsidRDefault="00076C36" w:rsidP="00047F65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իրականացնում է Տեսչական մարմնի կանոնադրական գործառույթների իրականացման արդյունքների վերաբերյալ, վիճակագրական տվյալների հավաքագրման, ամփոփման, պահպանման և դրանց հիման վրա Ոլորտի վիճակագրության վարման հետ կապված աշխատանքներ, անհրաժեշտության դեպքում սահմանված ժամկետում և կարգով հաշվարկ-հաշվետվությունների, ինչպես նաև օրենքով սահմանված այլ տեղեկատվություններ պարունակող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>ձևերի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  <w:t xml:space="preserve"> ներկայացման աշխատանքներ համապատասխան պետական մարմիններին և Տեսչական մարմնի ղեկավարին,</w:t>
            </w:r>
          </w:p>
          <w:p w:rsidR="00076C36" w:rsidRDefault="00076C36" w:rsidP="00047F65">
            <w:pPr>
              <w:pStyle w:val="BodyTextIndent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կազմում է մեթոդական պարզաբանումներ և </w:t>
            </w:r>
            <w:proofErr w:type="spellStart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ուղեցույցներ</w:t>
            </w:r>
            <w:proofErr w:type="spellEnd"/>
            <w:r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, ներկայացնում է Հայաստանի Հանրապետության առողջապահության բնագավառի օրենսդրության կատարելագործմանն ուղղված առաջարկներ։</w:t>
            </w:r>
          </w:p>
          <w:p w:rsidR="00076C36" w:rsidRDefault="00076C36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047F65" w:rsidRDefault="00047F65" w:rsidP="00047F65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  <w:t>Իրավունքները</w:t>
            </w:r>
          </w:p>
          <w:p w:rsidR="00047F65" w:rsidRDefault="00047F65" w:rsidP="00047F65">
            <w:pPr>
              <w:pStyle w:val="BodyTextIndent"/>
              <w:spacing w:after="0" w:line="240" w:lineRule="auto"/>
              <w:ind w:left="720"/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 w:eastAsia="ru-RU"/>
              </w:rPr>
            </w:pPr>
          </w:p>
          <w:p w:rsidR="00047F65" w:rsidRDefault="00047F65" w:rsidP="00047F65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Ստուգում իրականացնող և համապատասխան պետական մարմիններից ստանալ տնտեսավարող սուբյեկտների վերաբերյալ տեղեկատվություն՝ բազաներում ներառելու համար,</w:t>
            </w:r>
          </w:p>
          <w:p w:rsidR="00047F65" w:rsidRDefault="00047F65" w:rsidP="00047F65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ստորաբաժանումներից ստանալ տնտեսավարող սուբյեկտների վերաբերյալ տեղեկատվություն՝ բազաներում ներառելու համար,</w:t>
            </w:r>
          </w:p>
          <w:p w:rsidR="00047F65" w:rsidRDefault="00047F65" w:rsidP="00047F65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Ստուգումների իրականացման նպատակով տեսչական մարմնի վերահսկողություն իրականացնող համապատասխան ստորաբաժանումներից տեղեկատվություն իրենց ստորաբաժանումների աշխատողների (տեսուչների) վերաբերյալ համապատասխան տեղեկատվություն՝ իրավական ակտի (հանձնարարագրի) հրապարակման նպատակով,</w:t>
            </w:r>
          </w:p>
          <w:p w:rsidR="00047F65" w:rsidRDefault="00047F65" w:rsidP="00047F65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սուբյեկտում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ստուգումն ավարտելուց հետո համապատասխան ստորաբաժանումներից ստանալ ստուգման ավարտի վերաբերյալ փաստաթուղթը (ստուգման ակտ, տեղեկանք)՝ վերլուծություններ իրականացնելու և հետագա ռիսկերը վերագնահատելու և կառավարելու համար,</w:t>
            </w:r>
          </w:p>
          <w:p w:rsidR="00047F65" w:rsidRDefault="00047F65" w:rsidP="00047F65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Տեսչական մարմնի համապատասխան ստորաբաժանումներից ստանալ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սուբյեկտներում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վերահսկողական (ստուգում, վարչական վարույթ և այլն) և իրազեկման, կանխարգելման վերաբերյալ տեղեկատվություն՝ վերլուծություն կատարելու, վիճակագրություն վարելու, վիճակագրական և այլ հաշվետվություններ կազմելու համար,</w:t>
            </w:r>
          </w:p>
          <w:p w:rsidR="00047F65" w:rsidRDefault="00047F65" w:rsidP="00047F65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Այլ մարմիններից, պաշտոնատար 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ձան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 xml:space="preserve">ցից ստանալ Վարչության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առջև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դրված գործառույթների և խնդիրների իրականացման հետ կապված անհրաժեշտ տեղեկատվություն և նյութեր,</w:t>
            </w:r>
          </w:p>
          <w:p w:rsidR="00047F65" w:rsidRDefault="00047F65" w:rsidP="00047F65">
            <w:pPr>
              <w:pStyle w:val="BodyTextIndent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մշակել Տեսչական մարմնի ղեկավարին ներկայացվող առաջարկություններ՝ Վարչության աշ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խատանքներին մաս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նա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գետ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ներ, փորձագետներ աշխատանքային խմբեր կազ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մա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softHyphen/>
              <w:t>վորելու համար։</w:t>
            </w:r>
          </w:p>
          <w:p w:rsidR="00047F65" w:rsidRPr="0062409C" w:rsidRDefault="00047F65" w:rsidP="00047F65">
            <w:pPr>
              <w:pStyle w:val="BodyTextIndent"/>
              <w:spacing w:after="0" w:line="240" w:lineRule="auto"/>
              <w:ind w:left="895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</w:p>
          <w:p w:rsidR="00047F65" w:rsidRDefault="00047F65" w:rsidP="00047F65">
            <w:pPr>
              <w:pStyle w:val="BodyTextIndent"/>
              <w:spacing w:after="0" w:line="240" w:lineRule="auto"/>
              <w:ind w:left="895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  <w:r>
              <w:rPr>
                <w:rFonts w:ascii="GHEA Grapalat" w:eastAsia="Sylfaen" w:hAnsi="GHEA Grapalat" w:cs="Sylfaen"/>
                <w:sz w:val="24"/>
                <w:szCs w:val="24"/>
              </w:rPr>
              <w:t>՝</w:t>
            </w:r>
          </w:p>
          <w:p w:rsidR="00047F65" w:rsidRDefault="00047F65" w:rsidP="00047F65">
            <w:pPr>
              <w:pStyle w:val="BodyTextIndent"/>
              <w:spacing w:after="0" w:line="240" w:lineRule="auto"/>
              <w:ind w:left="895"/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highlight w:val="yellow"/>
                <w:lang w:val="af-ZA"/>
              </w:rPr>
            </w:pPr>
          </w:p>
          <w:p w:rsidR="00047F65" w:rsidRDefault="00047F65" w:rsidP="00047F65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նախապատրաստել Տեսչական մարմնի բազաներում առկա և ստուգում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իրականացնող, ինչպես նաև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պետական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մարմիններին տրամադրման ենթակա տեղեկատվությունը,</w:t>
            </w:r>
          </w:p>
          <w:p w:rsidR="00047F65" w:rsidRDefault="00047F65" w:rsidP="00047F65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դասակարգել Տեսչական մարմնի վերահսկման ոլորտում գործող բոլոր տնտեսավարող սուբյեկտների ըստ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ռիսկայնության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և կազմել ստուգումների տարեկան ծրագիրը,</w:t>
            </w:r>
          </w:p>
          <w:p w:rsidR="00047F65" w:rsidRDefault="00047F65" w:rsidP="00047F65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ստուգումների իրականացման գործընթացում կազմել հանձնարարագրեր,</w:t>
            </w:r>
          </w:p>
          <w:p w:rsidR="00047F65" w:rsidRDefault="00047F65" w:rsidP="00047F65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հավաքագրել Տեսչական մարմնի կառուցվածքային ստորաբաժանումներից և  տարածքային մարմիններից տնտեսավարող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սուբյեկտներում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իրականացված տեսչական ստուգումների և դիտարկումների արդյունքները,</w:t>
            </w:r>
          </w:p>
          <w:p w:rsidR="00047F65" w:rsidRDefault="00047F65" w:rsidP="00047F65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ստեղծել և վարել Տեսչական մարմնի կողմից վերահսկվող տնտեսավարող </w:t>
            </w: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սուբյեկտների տվյալների, ինչպես նաև ոլորտի վիճակագրական տեղեկատվական բազաներ,</w:t>
            </w:r>
          </w:p>
          <w:p w:rsidR="00076C36" w:rsidRDefault="00047F65" w:rsidP="00047F65">
            <w:pPr>
              <w:numPr>
                <w:ilvl w:val="0"/>
                <w:numId w:val="19"/>
              </w:numPr>
              <w:spacing w:after="0" w:line="240" w:lineRule="auto"/>
              <w:ind w:right="31"/>
              <w:contextualSpacing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մշակել ոլորտի վիճակագրական տեղեկատվական աղբյուր հանդիսացող փաստաթղթերի </w:t>
            </w:r>
            <w:proofErr w:type="spellStart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ձևերը</w:t>
            </w:r>
            <w:proofErr w:type="spellEnd"/>
            <w:r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։</w:t>
            </w:r>
          </w:p>
          <w:p w:rsidR="00076C36" w:rsidRDefault="00076C36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76C36" w:rsidTr="00076C3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C36" w:rsidRDefault="00076C36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lastRenderedPageBreak/>
              <w:t>3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  <w:lang w:val="hy-AM"/>
              </w:rPr>
              <w:t>․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Պաշտոնին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ներկայացվող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պահանջները</w:t>
            </w:r>
          </w:p>
          <w:p w:rsidR="00076C36" w:rsidRPr="00E84512" w:rsidRDefault="00076C3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3.1.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Կրթություն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որակավորման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աստիճանը</w:t>
            </w:r>
          </w:p>
          <w:p w:rsidR="00076C36" w:rsidRDefault="00E84512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Բարձրագույն կրթություն</w:t>
            </w:r>
          </w:p>
          <w:p w:rsidR="00076C36" w:rsidRDefault="00076C36">
            <w:pPr>
              <w:spacing w:after="0" w:line="240" w:lineRule="auto"/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</w:pPr>
          </w:p>
          <w:p w:rsidR="00076C36" w:rsidRDefault="00076C3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Մասնագիտական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գիտելիքները</w:t>
            </w:r>
          </w:p>
          <w:p w:rsidR="00076C36" w:rsidRDefault="00076C36">
            <w:pPr>
              <w:spacing w:after="160" w:line="256" w:lineRule="auto"/>
              <w:ind w:right="11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Ունի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գործառույթների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իրականացման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համար</w:t>
            </w:r>
            <w:r>
              <w:rPr>
                <w:rFonts w:ascii="GHEA Grapalat" w:eastAsia="GHEA Grapalat" w:hAnsi="GHEA Grapalat" w:cs="GHEA Grapalat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color w:val="000000"/>
                <w:sz w:val="24"/>
                <w:szCs w:val="24"/>
                <w:lang w:val="hy-AM"/>
              </w:rPr>
              <w:t>գիտելիքներ:</w:t>
            </w:r>
          </w:p>
          <w:p w:rsidR="00076C36" w:rsidRDefault="00076C36">
            <w:pPr>
              <w:spacing w:after="0" w:line="256" w:lineRule="auto"/>
              <w:ind w:right="11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Աշխատանքային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ստաժը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աշխատանքի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բնագավառում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փորձը</w:t>
            </w:r>
          </w:p>
          <w:p w:rsidR="00076C36" w:rsidRDefault="006C7A10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</w:t>
            </w:r>
            <w:r w:rsidR="00076C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անրային ծառայության առնվազն երկու տարվա ստաժ կամ երեք տարվա մասնագիտական աշխատանքային ստաժ կամ </w:t>
            </w:r>
            <w:r w:rsidR="00A909E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տնտեսագիտության</w:t>
            </w:r>
            <w:r w:rsidR="00A909E1">
              <w:rPr>
                <w:rFonts w:ascii="GHEA Grapalat" w:eastAsia="Sylfaen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բնագավառում</w:t>
            </w:r>
            <w:r w:rsidR="00076C3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` երեք տարվա աշխատանքային ստաժ:</w:t>
            </w:r>
            <w:r w:rsidR="00076C36"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 xml:space="preserve"> </w:t>
            </w:r>
          </w:p>
          <w:p w:rsidR="00076C36" w:rsidRDefault="00076C3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</w:p>
          <w:p w:rsidR="00076C36" w:rsidRDefault="00076C3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3.4.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Անհրաժեշտ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</w:p>
          <w:p w:rsidR="00076C36" w:rsidRDefault="00076C36">
            <w:pPr>
              <w:spacing w:after="0" w:line="240" w:lineRule="auto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076C36" w:rsidRDefault="00076C3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Ընդհանրական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076C36" w:rsidRDefault="00076C36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1. Ծրագրերի մշակում</w:t>
            </w:r>
          </w:p>
          <w:p w:rsidR="00076C36" w:rsidRDefault="00076C36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2. Խնդրի լուծում</w:t>
            </w:r>
          </w:p>
          <w:p w:rsidR="00076C36" w:rsidRDefault="00076C36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3. Հաշվետվությունների մշակում</w:t>
            </w:r>
          </w:p>
          <w:p w:rsidR="00076C36" w:rsidRDefault="00076C36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4. Տեղեկատվության հավաքագրում, վերլուծություն</w:t>
            </w:r>
          </w:p>
          <w:p w:rsidR="00076C36" w:rsidRDefault="00076C36">
            <w:pPr>
              <w:shd w:val="clear" w:color="auto" w:fill="FFFFFF"/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5.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Բարեվարքություն</w:t>
            </w:r>
            <w:proofErr w:type="spellEnd"/>
          </w:p>
          <w:p w:rsidR="00076C36" w:rsidRDefault="00076C36">
            <w:pPr>
              <w:pStyle w:val="NormalWeb"/>
              <w:shd w:val="clear" w:color="auto" w:fill="FFFFFF"/>
              <w:spacing w:before="0" w:beforeAutospacing="0" w:after="0" w:afterAutospacing="0" w:line="256" w:lineRule="auto"/>
              <w:rPr>
                <w:rFonts w:ascii="GHEA Grapalat" w:hAnsi="GHEA Grapalat"/>
                <w:color w:val="000000"/>
                <w:lang w:val="hy-AM"/>
              </w:rPr>
            </w:pPr>
          </w:p>
          <w:p w:rsidR="00076C36" w:rsidRDefault="00076C36">
            <w:pPr>
              <w:spacing w:after="0" w:line="240" w:lineRule="auto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Ընտրանքային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կոմպետենցիաներ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՝</w:t>
            </w:r>
          </w:p>
          <w:p w:rsidR="00076C36" w:rsidRDefault="00076C36" w:rsidP="00076C36">
            <w:pPr>
              <w:numPr>
                <w:ilvl w:val="0"/>
                <w:numId w:val="20"/>
              </w:numPr>
              <w:spacing w:after="0" w:line="240" w:lineRule="auto"/>
              <w:ind w:right="1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Կոնֆլիկտների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կառավարում</w:t>
            </w:r>
          </w:p>
          <w:p w:rsidR="00076C36" w:rsidRDefault="00076C36" w:rsidP="00076C36">
            <w:pPr>
              <w:numPr>
                <w:ilvl w:val="0"/>
                <w:numId w:val="20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Ելույթների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</w:t>
            </w:r>
          </w:p>
          <w:p w:rsidR="00076C36" w:rsidRDefault="00076C36" w:rsidP="00076C36">
            <w:pPr>
              <w:numPr>
                <w:ilvl w:val="0"/>
                <w:numId w:val="20"/>
              </w:numPr>
              <w:spacing w:after="0" w:line="240" w:lineRule="auto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Բողոքների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բավարարում</w:t>
            </w:r>
            <w:proofErr w:type="spellEnd"/>
          </w:p>
          <w:p w:rsidR="00076C36" w:rsidRPr="00E37FB9" w:rsidRDefault="00076C36" w:rsidP="00076C36">
            <w:pPr>
              <w:pStyle w:val="ListParagraph"/>
              <w:numPr>
                <w:ilvl w:val="0"/>
                <w:numId w:val="20"/>
              </w:numPr>
              <w:spacing w:after="160" w:line="25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37FB9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  <w:r w:rsidRPr="00E37FB9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:</w:t>
            </w:r>
          </w:p>
          <w:p w:rsidR="00076C36" w:rsidRDefault="00076C36">
            <w:pPr>
              <w:pStyle w:val="ListParagraph"/>
              <w:spacing w:after="160" w:line="256" w:lineRule="auto"/>
              <w:ind w:left="78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076C36" w:rsidRPr="00D878E7" w:rsidTr="00076C36">
        <w:trPr>
          <w:trHeight w:val="1"/>
        </w:trPr>
        <w:tc>
          <w:tcPr>
            <w:tcW w:w="10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6C36" w:rsidRDefault="00076C36">
            <w:pPr>
              <w:spacing w:after="0" w:line="360" w:lineRule="auto"/>
              <w:ind w:left="1080"/>
              <w:jc w:val="center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>4</w:t>
            </w:r>
            <w:r>
              <w:rPr>
                <w:rFonts w:ascii="MS Gothic" w:eastAsia="MS Gothic" w:hAnsi="MS Gothic" w:cs="MS Gothic" w:hint="eastAsia"/>
                <w:b/>
                <w:sz w:val="24"/>
                <w:szCs w:val="24"/>
              </w:rPr>
              <w:t>․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Կազմակերպական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շրջանակ</w:t>
            </w:r>
            <w:proofErr w:type="spellEnd"/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ը</w:t>
            </w:r>
          </w:p>
          <w:p w:rsidR="00076C36" w:rsidRDefault="00076C3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4.1.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Աշխատանքի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կազմակերպման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eastAsia="GHEA Grapalat" w:hAnsi="GHEA Grapalat" w:cs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eastAsia="Sylfaen" w:hAnsi="GHEA Grapalat" w:cs="Sylfaen"/>
                <w:b/>
                <w:sz w:val="24"/>
                <w:szCs w:val="24"/>
              </w:rPr>
              <w:t>պատասխանատվությունը</w:t>
            </w:r>
            <w:proofErr w:type="spellEnd"/>
          </w:p>
          <w:p w:rsidR="00076C36" w:rsidRDefault="00076C3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076C36" w:rsidRDefault="00076C3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76C36" w:rsidRDefault="00076C3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4.2.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Որոշումներ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կայացնելու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լիազորությունները</w:t>
            </w:r>
          </w:p>
          <w:p w:rsidR="00076C36" w:rsidRDefault="00076C3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մասնագիտական եզրակացությունների տրամադրման և ՀՀ օրենսդրությամբ նախատեսված դեպքերում որոշումների կայացման շրջանակներում։</w:t>
            </w:r>
          </w:p>
          <w:p w:rsidR="00076C36" w:rsidRDefault="00076C3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076C36" w:rsidRDefault="00076C3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4.3.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Գործունեության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ազդեցությունը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AC6F6B" w:rsidRDefault="00AC6F6B" w:rsidP="00AC6F6B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sz w:val="24"/>
                <w:szCs w:val="24"/>
                <w:lang w:val="hy-AM"/>
              </w:rPr>
              <w:t>Ունի ազդեցություն մասնագիտական աշխատանքների ապահովման և որոշակի մասնագիտական գործառույթների իրականացման շրջանակներում։</w:t>
            </w:r>
          </w:p>
          <w:p w:rsidR="00076C36" w:rsidRDefault="00076C36">
            <w:pPr>
              <w:spacing w:after="0" w:line="240" w:lineRule="auto"/>
              <w:jc w:val="both"/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</w:pPr>
          </w:p>
          <w:p w:rsidR="00076C36" w:rsidRDefault="00076C3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4.4.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Շփումները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ներկայացուցչությունը</w:t>
            </w:r>
          </w:p>
          <w:p w:rsidR="00076C36" w:rsidRDefault="00076C3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</w:t>
            </w:r>
            <w:proofErr w:type="spellStart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ձևավորված</w:t>
            </w:r>
            <w:proofErr w:type="spellEnd"/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աշխատանքային խմբերում:</w:t>
            </w:r>
          </w:p>
          <w:p w:rsidR="00076C36" w:rsidRDefault="00076C3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sz w:val="24"/>
                <w:szCs w:val="24"/>
                <w:lang w:val="hy-AM"/>
              </w:rPr>
            </w:pPr>
          </w:p>
          <w:p w:rsidR="00076C36" w:rsidRDefault="00076C36">
            <w:pPr>
              <w:spacing w:after="0" w:line="240" w:lineRule="auto"/>
              <w:jc w:val="both"/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</w:pP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4.5.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Խնդիրների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բարդությունը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և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դրանց</w:t>
            </w:r>
            <w:r>
              <w:rPr>
                <w:rFonts w:ascii="GHEA Grapalat" w:eastAsia="GHEA Grapalat" w:hAnsi="GHEA Grapalat" w:cs="GHEA Grapalat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b/>
                <w:sz w:val="24"/>
                <w:szCs w:val="24"/>
                <w:lang w:val="hy-AM"/>
              </w:rPr>
              <w:t>լուծումը</w:t>
            </w:r>
          </w:p>
          <w:p w:rsidR="00076C36" w:rsidRDefault="00076C36">
            <w:pPr>
              <w:spacing w:after="0"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hy-AM"/>
              </w:rPr>
              <w:t>առջև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դրված խնդիրների լուծմանը:</w:t>
            </w:r>
          </w:p>
        </w:tc>
      </w:tr>
    </w:tbl>
    <w:p w:rsidR="00076C36" w:rsidRDefault="00076C36" w:rsidP="00076C36">
      <w:pPr>
        <w:rPr>
          <w:lang w:val="hy-AM"/>
        </w:rPr>
      </w:pPr>
    </w:p>
    <w:p w:rsidR="00765949" w:rsidRPr="00076C36" w:rsidRDefault="00765949" w:rsidP="00076C36">
      <w:pPr>
        <w:rPr>
          <w:lang w:val="hy-AM"/>
        </w:rPr>
      </w:pPr>
    </w:p>
    <w:sectPr w:rsidR="00765949" w:rsidRPr="00076C36" w:rsidSect="00C91418">
      <w:pgSz w:w="12240" w:h="15840"/>
      <w:pgMar w:top="990" w:right="33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044"/>
    <w:multiLevelType w:val="hybridMultilevel"/>
    <w:tmpl w:val="C024D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B15CE"/>
    <w:multiLevelType w:val="hybridMultilevel"/>
    <w:tmpl w:val="5EC29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53CFC"/>
    <w:multiLevelType w:val="hybridMultilevel"/>
    <w:tmpl w:val="8A44FA42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6F5B"/>
    <w:multiLevelType w:val="hybridMultilevel"/>
    <w:tmpl w:val="8866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80F57"/>
    <w:multiLevelType w:val="hybridMultilevel"/>
    <w:tmpl w:val="4906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71F3C"/>
    <w:multiLevelType w:val="hybridMultilevel"/>
    <w:tmpl w:val="DF44CC0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1C05CAD"/>
    <w:multiLevelType w:val="hybridMultilevel"/>
    <w:tmpl w:val="57769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0108B"/>
    <w:multiLevelType w:val="hybridMultilevel"/>
    <w:tmpl w:val="CE02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B016D9"/>
    <w:multiLevelType w:val="hybridMultilevel"/>
    <w:tmpl w:val="76A86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B7F74"/>
    <w:multiLevelType w:val="hybridMultilevel"/>
    <w:tmpl w:val="D8FE47DC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0" w15:restartNumberingAfterBreak="0">
    <w:nsid w:val="3DBA3A9B"/>
    <w:multiLevelType w:val="hybridMultilevel"/>
    <w:tmpl w:val="32D4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0202D1"/>
    <w:multiLevelType w:val="hybridMultilevel"/>
    <w:tmpl w:val="68E0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30FC9"/>
    <w:multiLevelType w:val="hybridMultilevel"/>
    <w:tmpl w:val="9CF04B06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82" w:hanging="360"/>
      </w:pPr>
    </w:lvl>
    <w:lvl w:ilvl="2" w:tplc="0409001B" w:tentative="1">
      <w:start w:val="1"/>
      <w:numFmt w:val="lowerRoman"/>
      <w:lvlText w:val="%3."/>
      <w:lvlJc w:val="right"/>
      <w:pPr>
        <w:ind w:left="2902" w:hanging="180"/>
      </w:pPr>
    </w:lvl>
    <w:lvl w:ilvl="3" w:tplc="0409000F" w:tentative="1">
      <w:start w:val="1"/>
      <w:numFmt w:val="decimal"/>
      <w:lvlText w:val="%4."/>
      <w:lvlJc w:val="left"/>
      <w:pPr>
        <w:ind w:left="3622" w:hanging="360"/>
      </w:pPr>
    </w:lvl>
    <w:lvl w:ilvl="4" w:tplc="04090019" w:tentative="1">
      <w:start w:val="1"/>
      <w:numFmt w:val="lowerLetter"/>
      <w:lvlText w:val="%5."/>
      <w:lvlJc w:val="left"/>
      <w:pPr>
        <w:ind w:left="4342" w:hanging="360"/>
      </w:pPr>
    </w:lvl>
    <w:lvl w:ilvl="5" w:tplc="0409001B" w:tentative="1">
      <w:start w:val="1"/>
      <w:numFmt w:val="lowerRoman"/>
      <w:lvlText w:val="%6."/>
      <w:lvlJc w:val="right"/>
      <w:pPr>
        <w:ind w:left="5062" w:hanging="180"/>
      </w:pPr>
    </w:lvl>
    <w:lvl w:ilvl="6" w:tplc="0409000F" w:tentative="1">
      <w:start w:val="1"/>
      <w:numFmt w:val="decimal"/>
      <w:lvlText w:val="%7."/>
      <w:lvlJc w:val="left"/>
      <w:pPr>
        <w:ind w:left="5782" w:hanging="360"/>
      </w:pPr>
    </w:lvl>
    <w:lvl w:ilvl="7" w:tplc="04090019" w:tentative="1">
      <w:start w:val="1"/>
      <w:numFmt w:val="lowerLetter"/>
      <w:lvlText w:val="%8."/>
      <w:lvlJc w:val="left"/>
      <w:pPr>
        <w:ind w:left="6502" w:hanging="360"/>
      </w:pPr>
    </w:lvl>
    <w:lvl w:ilvl="8" w:tplc="040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3" w15:restartNumberingAfterBreak="0">
    <w:nsid w:val="5E3676E8"/>
    <w:multiLevelType w:val="hybridMultilevel"/>
    <w:tmpl w:val="F65A9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E6F2B"/>
    <w:multiLevelType w:val="hybridMultilevel"/>
    <w:tmpl w:val="2D6E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669A4"/>
    <w:multiLevelType w:val="hybridMultilevel"/>
    <w:tmpl w:val="558428D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6CD61794"/>
    <w:multiLevelType w:val="multilevel"/>
    <w:tmpl w:val="89C4BA84"/>
    <w:lvl w:ilvl="0">
      <w:start w:val="1"/>
      <w:numFmt w:val="decimal"/>
      <w:lvlText w:val="%1."/>
      <w:lvlJc w:val="left"/>
      <w:pPr>
        <w:ind w:left="420" w:hanging="420"/>
      </w:pPr>
      <w:rPr>
        <w:rFonts w:eastAsia="GHEA Grapalat" w:cs="GHEA Grapala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GHEA Grapalat" w:cs="GHEA Grapala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GHEA Grapalat" w:cs="GHEA Grapala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GHEA Grapalat" w:cs="GHEA Grapala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GHEA Grapalat" w:cs="GHEA Grapala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GHEA Grapalat" w:cs="GHEA Grapala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GHEA Grapalat" w:cs="GHEA Grapala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GHEA Grapalat" w:cs="GHEA Grapala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GHEA Grapalat" w:cs="GHEA Grapalat" w:hint="default"/>
      </w:rPr>
    </w:lvl>
  </w:abstractNum>
  <w:abstractNum w:abstractNumId="17" w15:restartNumberingAfterBreak="0">
    <w:nsid w:val="70D43899"/>
    <w:multiLevelType w:val="hybridMultilevel"/>
    <w:tmpl w:val="2482FB4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74C759C8"/>
    <w:multiLevelType w:val="hybridMultilevel"/>
    <w:tmpl w:val="3D380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9C55F9"/>
    <w:multiLevelType w:val="hybridMultilevel"/>
    <w:tmpl w:val="1946DBB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3"/>
  </w:num>
  <w:num w:numId="5">
    <w:abstractNumId w:val="8"/>
  </w:num>
  <w:num w:numId="6">
    <w:abstractNumId w:val="13"/>
  </w:num>
  <w:num w:numId="7">
    <w:abstractNumId w:val="14"/>
  </w:num>
  <w:num w:numId="8">
    <w:abstractNumId w:val="2"/>
  </w:num>
  <w:num w:numId="9">
    <w:abstractNumId w:val="15"/>
  </w:num>
  <w:num w:numId="10">
    <w:abstractNumId w:val="19"/>
  </w:num>
  <w:num w:numId="11">
    <w:abstractNumId w:val="1"/>
  </w:num>
  <w:num w:numId="12">
    <w:abstractNumId w:val="12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</w:num>
  <w:num w:numId="2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594E"/>
    <w:rsid w:val="00010CC3"/>
    <w:rsid w:val="00012964"/>
    <w:rsid w:val="000268A6"/>
    <w:rsid w:val="0004426F"/>
    <w:rsid w:val="00046E42"/>
    <w:rsid w:val="00047F65"/>
    <w:rsid w:val="00052B3F"/>
    <w:rsid w:val="000573F4"/>
    <w:rsid w:val="0006594E"/>
    <w:rsid w:val="00076C36"/>
    <w:rsid w:val="00094489"/>
    <w:rsid w:val="000A09C6"/>
    <w:rsid w:val="000B32FB"/>
    <w:rsid w:val="000C7E9E"/>
    <w:rsid w:val="000D5742"/>
    <w:rsid w:val="000F7073"/>
    <w:rsid w:val="0010098F"/>
    <w:rsid w:val="00102DB8"/>
    <w:rsid w:val="00146DB4"/>
    <w:rsid w:val="00164F1B"/>
    <w:rsid w:val="0017489F"/>
    <w:rsid w:val="001C7604"/>
    <w:rsid w:val="001E504B"/>
    <w:rsid w:val="0020743C"/>
    <w:rsid w:val="0022448C"/>
    <w:rsid w:val="0023770E"/>
    <w:rsid w:val="00240087"/>
    <w:rsid w:val="00240F67"/>
    <w:rsid w:val="00263052"/>
    <w:rsid w:val="00284CCB"/>
    <w:rsid w:val="002F21DA"/>
    <w:rsid w:val="00301C0E"/>
    <w:rsid w:val="00357C88"/>
    <w:rsid w:val="00393BE3"/>
    <w:rsid w:val="00411257"/>
    <w:rsid w:val="0042365F"/>
    <w:rsid w:val="0043122E"/>
    <w:rsid w:val="00457E9A"/>
    <w:rsid w:val="004615F0"/>
    <w:rsid w:val="00480311"/>
    <w:rsid w:val="00493445"/>
    <w:rsid w:val="00494EB2"/>
    <w:rsid w:val="004A2EE6"/>
    <w:rsid w:val="004D1F3C"/>
    <w:rsid w:val="004D3DCC"/>
    <w:rsid w:val="004D4A50"/>
    <w:rsid w:val="004E7205"/>
    <w:rsid w:val="00527942"/>
    <w:rsid w:val="00590EBF"/>
    <w:rsid w:val="005D107B"/>
    <w:rsid w:val="005F2E5A"/>
    <w:rsid w:val="0062409C"/>
    <w:rsid w:val="00650A59"/>
    <w:rsid w:val="00664E62"/>
    <w:rsid w:val="006C7A10"/>
    <w:rsid w:val="007029E5"/>
    <w:rsid w:val="00761E04"/>
    <w:rsid w:val="007627FF"/>
    <w:rsid w:val="007636F3"/>
    <w:rsid w:val="00765949"/>
    <w:rsid w:val="0077080C"/>
    <w:rsid w:val="007749D2"/>
    <w:rsid w:val="00783CEC"/>
    <w:rsid w:val="007E20A5"/>
    <w:rsid w:val="00836D46"/>
    <w:rsid w:val="00855EBB"/>
    <w:rsid w:val="00866AD2"/>
    <w:rsid w:val="00883ADF"/>
    <w:rsid w:val="00883C60"/>
    <w:rsid w:val="008F6172"/>
    <w:rsid w:val="0094030E"/>
    <w:rsid w:val="00980F71"/>
    <w:rsid w:val="009954A4"/>
    <w:rsid w:val="009D644A"/>
    <w:rsid w:val="009F0007"/>
    <w:rsid w:val="009F5504"/>
    <w:rsid w:val="00A909E1"/>
    <w:rsid w:val="00A95130"/>
    <w:rsid w:val="00AC6F6B"/>
    <w:rsid w:val="00AD7DD5"/>
    <w:rsid w:val="00BF4ACB"/>
    <w:rsid w:val="00C91418"/>
    <w:rsid w:val="00D674A2"/>
    <w:rsid w:val="00D878E7"/>
    <w:rsid w:val="00D95CC6"/>
    <w:rsid w:val="00E2225E"/>
    <w:rsid w:val="00E37FB9"/>
    <w:rsid w:val="00E65F67"/>
    <w:rsid w:val="00E84512"/>
    <w:rsid w:val="00EA1FA6"/>
    <w:rsid w:val="00EC117E"/>
    <w:rsid w:val="00ED6B0F"/>
    <w:rsid w:val="00EE4513"/>
    <w:rsid w:val="00F12CEB"/>
    <w:rsid w:val="00F67A11"/>
    <w:rsid w:val="00F70D3D"/>
    <w:rsid w:val="00F9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84EEF"/>
  <w15:docId w15:val="{0BC2C095-EEDB-4AA0-9B7D-895DB493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22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2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43122E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783C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0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0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30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30E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20743C"/>
    <w:rPr>
      <w:rFonts w:eastAsiaTheme="minorEastAsia"/>
    </w:rPr>
  </w:style>
  <w:style w:type="paragraph" w:styleId="BodyTextIndent">
    <w:name w:val="Body Text Indent"/>
    <w:basedOn w:val="Normal"/>
    <w:link w:val="BodyTextIndentChar"/>
    <w:uiPriority w:val="99"/>
    <w:unhideWhenUsed/>
    <w:rsid w:val="00F70D3D"/>
    <w:pPr>
      <w:spacing w:after="120" w:line="259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D3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http://mul-aatm.gov.am/tasks/docs/attachment.php?id=19737&amp;fn=Pastoni.ancnagir.docx&amp;out=0&amp;token=86e2d9deaf7f919da43d</cp:keywords>
</cp:coreProperties>
</file>