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D" w:rsidRPr="005B6F2F" w:rsidRDefault="0043122E" w:rsidP="00E32F2D">
      <w:pPr>
        <w:pStyle w:val="NoSpacing"/>
        <w:rPr>
          <w:rFonts w:ascii="GHEA Grapalat" w:eastAsia="GHEA Grapalat" w:hAnsi="GHEA Grapalat" w:cs="Times New Roman"/>
          <w:sz w:val="20"/>
          <w:szCs w:val="20"/>
          <w:lang w:val="hy-AM"/>
        </w:rPr>
      </w:pPr>
      <w:r>
        <w:rPr>
          <w:rFonts w:ascii="GHEA Grapalat" w:eastAsia="Sylfaen" w:hAnsi="GHEA Grapalat"/>
          <w:lang w:val="hy-AM"/>
        </w:rPr>
        <w:t xml:space="preserve">                                                                                                      </w:t>
      </w:r>
      <w:r w:rsidR="00E32F2D">
        <w:rPr>
          <w:rFonts w:ascii="GHEA Grapalat" w:eastAsia="Sylfaen" w:hAnsi="GHEA Grapalat" w:cs="Times New Roman"/>
          <w:sz w:val="20"/>
          <w:szCs w:val="20"/>
          <w:lang w:val="hy-AM"/>
        </w:rPr>
        <w:t>Հավելված</w:t>
      </w:r>
      <w:r w:rsidR="00E32F2D"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 </w:t>
      </w:r>
      <w:r w:rsidR="00E32F2D" w:rsidRPr="00E36DB3">
        <w:rPr>
          <w:rFonts w:ascii="GHEA Grapalat" w:eastAsia="GHEA Grapalat" w:hAnsi="GHEA Grapalat"/>
          <w:sz w:val="20"/>
          <w:szCs w:val="20"/>
          <w:lang w:val="hy-AM"/>
        </w:rPr>
        <w:t>N</w:t>
      </w:r>
      <w:r w:rsidR="00E32F2D">
        <w:rPr>
          <w:rFonts w:ascii="GHEA Grapalat" w:eastAsia="GHEA Grapalat" w:hAnsi="GHEA Grapalat"/>
          <w:sz w:val="20"/>
          <w:szCs w:val="20"/>
          <w:lang w:val="hy-AM"/>
        </w:rPr>
        <w:t xml:space="preserve"> 24</w:t>
      </w:r>
    </w:p>
    <w:p w:rsidR="00E32F2D" w:rsidRDefault="00E32F2D" w:rsidP="00E32F2D">
      <w:pPr>
        <w:pStyle w:val="NoSpacing"/>
        <w:jc w:val="center"/>
        <w:rPr>
          <w:rFonts w:ascii="GHEA Grapalat" w:eastAsia="GHEA Grapalat" w:hAnsi="GHEA Grapalat" w:cs="Times New Roman"/>
          <w:sz w:val="20"/>
          <w:szCs w:val="20"/>
          <w:lang w:val="hy-AM"/>
        </w:rPr>
      </w:pPr>
      <w:r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</w:t>
      </w:r>
      <w:r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Հայաստանի Հանրապետության առողջապահական </w:t>
      </w:r>
    </w:p>
    <w:p w:rsidR="00E32F2D" w:rsidRDefault="00E32F2D" w:rsidP="00E32F2D">
      <w:pPr>
        <w:pStyle w:val="NoSpacing"/>
        <w:rPr>
          <w:rFonts w:ascii="GHEA Grapalat" w:eastAsia="GHEA Grapalat" w:hAnsi="GHEA Grapalat" w:cs="Times New Roman"/>
          <w:sz w:val="20"/>
          <w:szCs w:val="20"/>
          <w:lang w:val="hy-AM"/>
        </w:rPr>
      </w:pPr>
      <w:r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                                                                                         և աշխատանքի տեսչական մարմնի ղեկավարի</w:t>
      </w:r>
    </w:p>
    <w:p w:rsidR="00E32F2D" w:rsidRPr="004656E8" w:rsidRDefault="00E32F2D" w:rsidP="00E32F2D">
      <w:pPr>
        <w:pStyle w:val="NoSpacing"/>
        <w:rPr>
          <w:rFonts w:ascii="GHEA Grapalat" w:eastAsia="GHEA Grapalat" w:hAnsi="GHEA Grapalat" w:cs="Times New Roman"/>
          <w:sz w:val="20"/>
          <w:szCs w:val="20"/>
          <w:lang w:val="hy-AM"/>
        </w:rPr>
      </w:pPr>
      <w:r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                                                                                    2020 թվականի </w:t>
      </w:r>
      <w:r>
        <w:rPr>
          <w:rFonts w:ascii="GHEA Grapalat" w:eastAsia="GHEA Grapalat" w:hAnsi="GHEA Grapalat"/>
          <w:sz w:val="20"/>
          <w:szCs w:val="20"/>
          <w:lang w:val="hy-AM"/>
        </w:rPr>
        <w:t xml:space="preserve">ապրիլի </w:t>
      </w:r>
      <w:r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 </w:t>
      </w:r>
      <w:r w:rsidR="00E36DB3">
        <w:rPr>
          <w:rFonts w:ascii="GHEA Grapalat" w:eastAsia="GHEA Grapalat" w:hAnsi="GHEA Grapalat" w:cs="Times New Roman"/>
          <w:sz w:val="20"/>
          <w:szCs w:val="20"/>
          <w:lang w:val="hy-AM"/>
        </w:rPr>
        <w:t>30</w:t>
      </w:r>
      <w:r>
        <w:rPr>
          <w:rFonts w:ascii="GHEA Grapalat" w:eastAsia="GHEA Grapalat" w:hAnsi="GHEA Grapalat" w:cs="Times New Roman"/>
          <w:sz w:val="20"/>
          <w:szCs w:val="20"/>
          <w:lang w:val="hy-AM"/>
        </w:rPr>
        <w:t xml:space="preserve">-ի N </w:t>
      </w:r>
      <w:r w:rsidR="00E36DB3">
        <w:rPr>
          <w:rFonts w:ascii="GHEA Grapalat" w:eastAsia="GHEA Grapalat" w:hAnsi="GHEA Grapalat" w:cs="Times New Roman"/>
          <w:sz w:val="20"/>
          <w:szCs w:val="20"/>
          <w:lang w:val="hy-AM"/>
        </w:rPr>
        <w:t>ԱԿ 400-</w:t>
      </w:r>
      <w:bookmarkStart w:id="0" w:name="_GoBack"/>
      <w:bookmarkEnd w:id="0"/>
      <w:r>
        <w:rPr>
          <w:rFonts w:ascii="GHEA Grapalat" w:eastAsia="GHEA Grapalat" w:hAnsi="GHEA Grapalat" w:cs="Times New Roman"/>
          <w:sz w:val="20"/>
          <w:szCs w:val="20"/>
          <w:lang w:val="hy-AM"/>
        </w:rPr>
        <w:t>Ա հրամանի</w:t>
      </w:r>
    </w:p>
    <w:p w:rsidR="00E32F2D" w:rsidRDefault="00E32F2D" w:rsidP="00E32F2D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3"/>
          <w:szCs w:val="23"/>
          <w:lang w:val="hy-AM"/>
        </w:rPr>
      </w:pPr>
    </w:p>
    <w:p w:rsidR="0043122E" w:rsidRPr="001A52D8" w:rsidRDefault="0043122E" w:rsidP="0043122E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43122E" w:rsidRPr="001A52D8" w:rsidRDefault="0043122E" w:rsidP="0043122E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8"/>
          <w:lang w:val="hy-AM"/>
        </w:rPr>
      </w:pPr>
      <w:r w:rsidRPr="001A52D8">
        <w:rPr>
          <w:rFonts w:ascii="GHEA Grapalat" w:eastAsia="Sylfaen" w:hAnsi="GHEA Grapalat" w:cs="Sylfaen"/>
          <w:b/>
          <w:sz w:val="28"/>
          <w:lang w:val="hy-AM"/>
        </w:rPr>
        <w:t>ՔԱՂԱՔԱՑԻԱԿԱՆ</w:t>
      </w:r>
      <w:r w:rsidRPr="001A52D8">
        <w:rPr>
          <w:rFonts w:ascii="GHEA Grapalat" w:eastAsia="GHEA Grapalat" w:hAnsi="GHEA Grapalat" w:cs="GHEA Grapalat"/>
          <w:b/>
          <w:sz w:val="28"/>
          <w:lang w:val="hy-AM"/>
        </w:rPr>
        <w:t xml:space="preserve"> </w:t>
      </w:r>
      <w:r w:rsidRPr="001A52D8">
        <w:rPr>
          <w:rFonts w:ascii="GHEA Grapalat" w:eastAsia="Sylfaen" w:hAnsi="GHEA Grapalat" w:cs="Sylfaen"/>
          <w:b/>
          <w:sz w:val="28"/>
          <w:lang w:val="hy-AM"/>
        </w:rPr>
        <w:t>ԾԱՌԱՅՈՒԹՅԱՆ</w:t>
      </w:r>
      <w:r w:rsidRPr="001A52D8">
        <w:rPr>
          <w:rFonts w:ascii="GHEA Grapalat" w:eastAsia="GHEA Grapalat" w:hAnsi="GHEA Grapalat" w:cs="GHEA Grapalat"/>
          <w:b/>
          <w:sz w:val="28"/>
          <w:lang w:val="hy-AM"/>
        </w:rPr>
        <w:t xml:space="preserve"> </w:t>
      </w:r>
      <w:r w:rsidRPr="001A52D8">
        <w:rPr>
          <w:rFonts w:ascii="GHEA Grapalat" w:eastAsia="Sylfaen" w:hAnsi="GHEA Grapalat" w:cs="Sylfaen"/>
          <w:b/>
          <w:sz w:val="28"/>
          <w:lang w:val="hy-AM"/>
        </w:rPr>
        <w:t>ՊԱՇՏՈՆԻ</w:t>
      </w:r>
      <w:r w:rsidRPr="001A52D8">
        <w:rPr>
          <w:rFonts w:ascii="GHEA Grapalat" w:eastAsia="GHEA Grapalat" w:hAnsi="GHEA Grapalat" w:cs="GHEA Grapalat"/>
          <w:b/>
          <w:sz w:val="28"/>
          <w:lang w:val="hy-AM"/>
        </w:rPr>
        <w:t xml:space="preserve"> </w:t>
      </w:r>
      <w:r w:rsidRPr="001A52D8">
        <w:rPr>
          <w:rFonts w:ascii="GHEA Grapalat" w:eastAsia="Sylfaen" w:hAnsi="GHEA Grapalat" w:cs="Sylfaen"/>
          <w:b/>
          <w:sz w:val="28"/>
          <w:lang w:val="hy-AM"/>
        </w:rPr>
        <w:t>ԱՆՁՆԱԳԻՐ</w:t>
      </w:r>
    </w:p>
    <w:p w:rsidR="0043122E" w:rsidRPr="001A52D8" w:rsidRDefault="0043122E" w:rsidP="0043122E">
      <w:pPr>
        <w:spacing w:after="160" w:line="259" w:lineRule="auto"/>
        <w:rPr>
          <w:rFonts w:ascii="GHEA Grapalat" w:eastAsia="GHEA Grapalat" w:hAnsi="GHEA Grapalat" w:cs="GHEA Grapalat"/>
          <w:lang w:val="hy-AM"/>
        </w:rPr>
      </w:pPr>
    </w:p>
    <w:p w:rsidR="00B01011" w:rsidRPr="00615E39" w:rsidRDefault="00052B3F" w:rsidP="00E93301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lang w:val="hy-AM"/>
        </w:rPr>
      </w:pPr>
      <w:r>
        <w:rPr>
          <w:rFonts w:ascii="GHEA Grapalat" w:eastAsia="Sylfaen" w:hAnsi="GHEA Grapalat" w:cs="Sylfaen"/>
          <w:b/>
          <w:sz w:val="24"/>
          <w:lang w:val="hy-AM"/>
        </w:rPr>
        <w:t xml:space="preserve">ԱՌՈՂՋԱՊԱՀԱԿԱՆ ԵՎ ԱՇԽԱՏԱՆՔԻ ՏԵՍՉԱԿԱՆ ՄԱՐՄՆԻ </w:t>
      </w:r>
      <w:r w:rsidR="00E93301">
        <w:rPr>
          <w:rFonts w:ascii="GHEA Grapalat" w:eastAsia="Sylfaen" w:hAnsi="GHEA Grapalat" w:cs="Sylfaen"/>
          <w:b/>
          <w:sz w:val="24"/>
          <w:lang w:val="hy-AM"/>
        </w:rPr>
        <w:t xml:space="preserve">ՌԻՍԿԻ ԳՆԱՀԱՏՄԱՆ, ՍՏՈՒԳՈՒՄՆԵՐԻ ՊԼԱՆԱՎՈՐՄԱՆ ԵՎ ՎԵՐԼՈՒԾՈՒԹՅՈՒՆՆԵՐԻ </w:t>
      </w:r>
      <w:r w:rsidR="0043122E" w:rsidRPr="001A52D8">
        <w:rPr>
          <w:rFonts w:ascii="GHEA Grapalat" w:eastAsia="Sylfaen" w:hAnsi="GHEA Grapalat" w:cs="Sylfaen"/>
          <w:b/>
          <w:sz w:val="24"/>
          <w:lang w:val="hy-AM"/>
        </w:rPr>
        <w:t>ՎԱՐՉՈՒԹՅԱՆ</w:t>
      </w:r>
      <w:r w:rsidR="0043122E" w:rsidRPr="001A52D8">
        <w:rPr>
          <w:rFonts w:ascii="GHEA Grapalat" w:eastAsia="GHEA Grapalat" w:hAnsi="GHEA Grapalat" w:cs="GHEA Grapalat"/>
          <w:b/>
          <w:sz w:val="24"/>
          <w:lang w:val="hy-AM"/>
        </w:rPr>
        <w:t xml:space="preserve"> </w:t>
      </w:r>
    </w:p>
    <w:p w:rsidR="0043122E" w:rsidRPr="001A52D8" w:rsidRDefault="009B041E" w:rsidP="00E93301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lang w:val="hy-AM"/>
        </w:rPr>
      </w:pPr>
      <w:r>
        <w:rPr>
          <w:rFonts w:ascii="GHEA Grapalat" w:eastAsia="GHEA Grapalat" w:hAnsi="GHEA Grapalat" w:cs="GHEA Grapalat"/>
          <w:b/>
          <w:sz w:val="24"/>
          <w:lang w:val="hy-AM"/>
        </w:rPr>
        <w:t>Ա</w:t>
      </w:r>
      <w:r>
        <w:rPr>
          <w:rFonts w:ascii="GHEA Grapalat" w:eastAsia="Sylfaen" w:hAnsi="GHEA Grapalat" w:cs="Sylfaen"/>
          <w:b/>
          <w:sz w:val="24"/>
          <w:lang w:val="hy-AM"/>
        </w:rPr>
        <w:t>ՎԱԳ</w:t>
      </w:r>
      <w:r w:rsidR="004D4A50">
        <w:rPr>
          <w:rFonts w:ascii="GHEA Grapalat" w:eastAsia="Sylfaen" w:hAnsi="GHEA Grapalat" w:cs="Sylfaen"/>
          <w:b/>
          <w:sz w:val="24"/>
          <w:lang w:val="hy-AM"/>
        </w:rPr>
        <w:t xml:space="preserve"> ՄԱՍՆԱԳԵՏ</w:t>
      </w:r>
    </w:p>
    <w:p w:rsidR="0043122E" w:rsidRPr="007029E5" w:rsidRDefault="0043122E" w:rsidP="0043122E">
      <w:pPr>
        <w:spacing w:after="0" w:line="240" w:lineRule="auto"/>
        <w:jc w:val="both"/>
        <w:rPr>
          <w:rFonts w:ascii="GHEA Grapalat" w:eastAsia="GHEA Grapalat" w:hAnsi="GHEA Grapalat" w:cs="GHEA Grapalat"/>
          <w:b/>
          <w:color w:val="0D0D0D"/>
          <w:sz w:val="24"/>
          <w:lang w:val="hy-AM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43122E" w:rsidRPr="001A52D8" w:rsidTr="00390CEF">
        <w:trPr>
          <w:trHeight w:val="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22E" w:rsidRPr="009231A1" w:rsidRDefault="0043122E" w:rsidP="0024453F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9231A1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43122E" w:rsidRPr="00E36DB3" w:rsidTr="00390CEF">
        <w:trPr>
          <w:trHeight w:val="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22E" w:rsidRPr="009231A1" w:rsidRDefault="0043122E" w:rsidP="00C9141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4D4A50" w:rsidRPr="009231A1" w:rsidRDefault="001C7604" w:rsidP="004D4A50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Առողջապահական և աշխատանքի տեսչական մարմնի  </w:t>
            </w:r>
            <w:r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(այսուհետ՝ Տեսչական մարմին)  </w:t>
            </w:r>
            <w:r w:rsidR="00E93301" w:rsidRPr="0092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գնահատման, ստուգումների պլանավորման և վերլուծությունների </w:t>
            </w:r>
            <w:r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(այսուհետ՝ Վարչություն) </w:t>
            </w:r>
            <w:r w:rsidR="009B041E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="004D4A50" w:rsidRPr="0092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="004D4A50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="009B041E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="004D4A50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մասնագետ) 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="004D4A50" w:rsidRPr="009231A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ծածկագիրը՝ 6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6</w:t>
            </w:r>
            <w:r w:rsidR="004D4A50" w:rsidRPr="009231A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-27.</w:t>
            </w:r>
            <w:r w:rsidR="00E93301" w:rsidRPr="009231A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4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-Մ</w:t>
            </w:r>
            <w:r w:rsidR="0091364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-</w:t>
            </w:r>
            <w:r w:rsidR="0091364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="00E16C72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43122E" w:rsidRPr="009231A1" w:rsidRDefault="0043122E" w:rsidP="001C760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1.2.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է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1C7604" w:rsidRPr="009231A1" w:rsidRDefault="009B041E" w:rsidP="001C760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Ավագ</w:t>
            </w:r>
            <w:r w:rsidR="004D4A50"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մասնագետ</w:t>
            </w:r>
            <w:r w:rsidR="00D90146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ն անմիջական</w:t>
            </w:r>
            <w:r w:rsidR="001C7604"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ենթակա և հաշվետու է </w:t>
            </w:r>
            <w:r w:rsidR="004D4A50" w:rsidRPr="009231A1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Վարչության պետին:</w:t>
            </w:r>
          </w:p>
          <w:p w:rsidR="0023770E" w:rsidRPr="009231A1" w:rsidRDefault="0043122E" w:rsidP="001C760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1.</w:t>
            </w:r>
            <w:r w:rsidR="004D4A50"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.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3770E" w:rsidRPr="009231A1" w:rsidRDefault="009B041E" w:rsidP="001C760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Ավագ</w:t>
            </w:r>
            <w:r w:rsidR="004D4A50" w:rsidRPr="009231A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մասնագետի</w:t>
            </w:r>
            <w:r w:rsidR="0023770E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բացակայության դեպքում նրան փոխարինում է </w:t>
            </w:r>
            <w:r w:rsidR="00FB697D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23770E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Վարչության  </w:t>
            </w:r>
            <w:r w:rsidR="001C7604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մասնագետ</w:t>
            </w:r>
            <w:r w:rsidR="0023770E" w:rsidRPr="009231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ը</w:t>
            </w:r>
            <w:r w:rsidR="0023770E" w:rsidRPr="009231A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43122E" w:rsidRPr="009231A1" w:rsidRDefault="004D4A50" w:rsidP="001C760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1.4</w:t>
            </w:r>
            <w:r w:rsidR="0043122E"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. </w:t>
            </w:r>
            <w:r w:rsidR="0043122E"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Աշխատավայրը</w:t>
            </w:r>
          </w:p>
          <w:p w:rsidR="0043122E" w:rsidRPr="009231A1" w:rsidRDefault="001C7604" w:rsidP="001C760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Հայաստան, ք. </w:t>
            </w:r>
            <w:proofErr w:type="spellStart"/>
            <w:r w:rsidRPr="009231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proofErr w:type="spellEnd"/>
            <w:r w:rsidRPr="009231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Արմենակ Արմենակյան փող., 129 շենք</w:t>
            </w:r>
          </w:p>
          <w:p w:rsidR="00C91418" w:rsidRPr="009231A1" w:rsidRDefault="00C91418" w:rsidP="001C760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3122E" w:rsidRPr="00E36DB3" w:rsidTr="00390CEF">
        <w:trPr>
          <w:trHeight w:val="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22E" w:rsidRPr="009231A1" w:rsidRDefault="0043122E" w:rsidP="0024453F">
            <w:pPr>
              <w:spacing w:after="0" w:line="360" w:lineRule="auto"/>
              <w:ind w:left="311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9231A1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բնութագիրը</w:t>
            </w:r>
          </w:p>
          <w:p w:rsidR="0043122E" w:rsidRPr="009231A1" w:rsidRDefault="0043122E" w:rsidP="0024453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2.1.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տնտեսավարող սուբյեկտների տվյալների բազայի ստեղծման, պարբերաբար թարմացման աշխատանքներին, ըստ տնտեսական գործունեության տեսակների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դասակարգիչների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ռիսկայնությունը որոշող չափանիշների՝  սահմանելով, բացահայտելով և վերլուծելով Տեսչական մարմնի վերահսկողության ենթակա բնագավառների ռիսկերը,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խախտումների պարբերականության, խախտումների վերացմանն ուղղված գործողությունների վերաբերյալ տվյալների բազայի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ձևավորման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պարբերաբար թարմացման աշխատանքներին, ըստ տնտեսական գործունեության տեսակների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դասակարգիչների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lastRenderedPageBreak/>
              <w:t xml:space="preserve">մասնակցում է Տեսչական մարմնի վերահսկման Ոլորտում գործող բոլոր տնտեսավարող սուբյեկտների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ռիսկայնության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դասակարգման աշխատանքներին ըստ տնտեսավարող սուբյեկտների, ինչպես նաև հսկողական գործառույթների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նպատակադրման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աշխատանքներին դեպի առավել ռիսկային ոլորտներ և վերահսկման ենթակա տնտեսավարող սուբյեկտներ,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Տեսչական մարմնի վերահսկվող տնտեսավարող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սուբյեկտներում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ռիսկի գնահատման և արդյունքների վերլուծության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Տեսչական մարմնի կառուցվածքային ստորաբաժանումներից տնտեսավարող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սուբյեկտներում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կատարված ստուգումների և ուսումնասիրությունների արդյունքների հավաքագրման և դրա հիման վրա սահմանված մեթոդաբանությամբ ռիսկերի հետագա գնահատման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կառուցվածքային ստորաբաժանումների և շահագրգիռ պետական կառույցների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միջև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Տեսչական մարմնի կողմից իրականացվող պետական վերահսկողության արդյունքների հիման վրա ռիսկի կառավարման և դրանց վերաբերյալ տեղեկատվության փոխանակման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մասնակցում է Տեսչական մարմնի կողմից վերահսկվող տնտեսավարող սուբյեկտների տվյալների, ինչպես նաև Ոլորտի վիճակագրական տեղեկատվական բազաների ստեղծման և վարման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Տեսչական մարմնի վերահսկման ոլորտում գործող բոլոր տնտեսավարող սուբյեկտների դասակարգումը ըստ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ռիսկայնության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վերջինիս հիման վրա ստուգումների տարեկան ծրագրի կազմման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ստուգումների կազմակերպման, ստուգումների (այդ թվում Ռիսկի վրա հիմնված) հաշվառման հետ կապված համապատասխան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ձևաթղթերի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հանձնարարագրերի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, հրամանների, ակտերի, որոշումների,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կարգադրագրերի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այլ համապատասխան փաստաթղթերի կազմման, ստուգման արդյունքների հաշվառման աշխատանքներին,</w:t>
            </w:r>
          </w:p>
          <w:p w:rsidR="00AE1EE4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մասնակցում է Տեսչական մարմնի կանոնադրական գործառույթների իրականացման արդյունքների վերաբերյալ, վիճակագրական տվյալների հավաքագրման, ամփոփման, պահպանման և դրանց հիման վրա Ոլորտի վիճակագրության վարման հետ կապված աշխատանքներին, անհրաժեշտության դեպքում սահմանված ժամկետում և կարգով հաշվարկ-հաշվետվությունների, ինչպես նաև օրենքով սահմանված այլ տեղեկատվություններ պարունակող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ձևերի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ներկայացման աշխատանքներին համապատասխան պետական մարմիններին և Տեսչական մարմնի ղեկավարին,</w:t>
            </w:r>
          </w:p>
          <w:p w:rsidR="00E93301" w:rsidRPr="009231A1" w:rsidRDefault="00AE1EE4" w:rsidP="00342CC6">
            <w:pPr>
              <w:pStyle w:val="BodyTextInden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է մեթոդական պարզաբանումների և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ուղեցույցների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մշակման աշխատանքներին, Հայաստանի Հանրապետության առողջապահության բնագավառի օրենսդրության կատարելագործմանն ուղղված առաջարկների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ձևավորման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և ներկայացման աշխատանքներին։</w:t>
            </w:r>
          </w:p>
          <w:p w:rsidR="00E93301" w:rsidRPr="009231A1" w:rsidRDefault="00E93301" w:rsidP="00E93301">
            <w:pPr>
              <w:pStyle w:val="ListParagraph"/>
              <w:spacing w:after="0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</w:pPr>
          </w:p>
          <w:p w:rsidR="00A10C57" w:rsidRDefault="00A10C57" w:rsidP="00A10C57">
            <w:pPr>
              <w:pStyle w:val="BodyTextIndent"/>
              <w:spacing w:after="0" w:line="240" w:lineRule="auto"/>
              <w:ind w:left="720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lastRenderedPageBreak/>
              <w:t>Իրավունքները</w:t>
            </w:r>
          </w:p>
          <w:p w:rsidR="00A10C57" w:rsidRDefault="00A10C57" w:rsidP="00A10C57">
            <w:pPr>
              <w:pStyle w:val="BodyTextIndent"/>
              <w:spacing w:after="0" w:line="240" w:lineRule="auto"/>
              <w:ind w:left="720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Ստուգում իրականացնող և համապատասխան պետական մարմիններից ստանալ տնտեսավարող սուբյեկտների վերաբերյալ տեղեկատվություն՝ բազաներում ներառելու համար,</w:t>
            </w: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ստորաբաժանումներից ստանալ տնտեսավարող սուբյեկտների վերաբերյալ տեղեկատվություն՝ բազաներում ներառելու համար,</w:t>
            </w: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Ստուգումների իրականացման նպատակով տեսչական մարմնի վերահսկողություն իրականացնող համապատասխան ստորաբաժանումներից տեղեկատվություն իրենց ստորաբաժանումների աշխատողների (տեսուչների) վերաբերյալ համապատասխան տեղեկատվություն՝ իրավական ակտի (հանձնարարագրի) հրապարակման նպատակով,</w:t>
            </w: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Տնտեսավարող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սուբյեկտում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ստուգումն ավարտելուց հետո համապատասխան ստորաբաժանումներից ստանալ ստուգման ավարտի վերաբերյալ փաստաթուղթը (ստուգման ակտ, տեղեկանք)՝ վերլուծություններ իրականացնելու և հետագա ռիսկերը վերագնահատելու և կառավարելու համար,</w:t>
            </w: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ստորաբաժանումներից ստանալ տնտեսավարող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սուբյեկտներում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վերահսկողական (ստուգում, վարչական վարույթ և այլն) և իրազեկման, կանխարգելման վերաբերյալ տեղեկատվություն՝ վերլուծություն կատարելու, վիճակագրություն վարելու, վիճակագրական և այլ հաշվետվություններ կազմելու համար,</w:t>
            </w:r>
          </w:p>
          <w:p w:rsidR="00A10C57" w:rsidRDefault="00A10C57" w:rsidP="00A10C57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Այլ մարմիններից, պաշտոնատար 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softHyphen/>
              <w:t>ձան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softHyphen/>
              <w:t xml:space="preserve">ցից ստանալ Վարչության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առջև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դրված գործառույթների և խնդիրների իրականացման հետ կապված անհրաժեշտ տեղեկատվություն և նյութեր,</w:t>
            </w:r>
          </w:p>
          <w:p w:rsidR="00A10C57" w:rsidRPr="00B01011" w:rsidRDefault="00A10C57" w:rsidP="00A10C57">
            <w:pPr>
              <w:pStyle w:val="BodyTextIndent"/>
              <w:spacing w:after="0" w:line="240" w:lineRule="auto"/>
              <w:ind w:left="895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A10C57" w:rsidRDefault="00A10C57" w:rsidP="00A10C57">
            <w:pPr>
              <w:pStyle w:val="BodyTextIndent"/>
              <w:spacing w:after="0" w:line="240" w:lineRule="auto"/>
              <w:ind w:left="89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>՝</w:t>
            </w:r>
          </w:p>
          <w:p w:rsidR="00A10C57" w:rsidRDefault="00A10C57" w:rsidP="00A10C57">
            <w:pPr>
              <w:pStyle w:val="BodyTextIndent"/>
              <w:spacing w:after="0" w:line="240" w:lineRule="auto"/>
              <w:ind w:left="895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highlight w:val="yellow"/>
                <w:lang w:val="af-ZA"/>
              </w:rPr>
            </w:pPr>
          </w:p>
          <w:p w:rsidR="00A10C57" w:rsidRDefault="00D84328" w:rsidP="00A10C57">
            <w:pPr>
              <w:numPr>
                <w:ilvl w:val="0"/>
                <w:numId w:val="24"/>
              </w:numPr>
              <w:spacing w:after="0" w:line="240" w:lineRule="auto"/>
              <w:ind w:right="31"/>
              <w:contextualSpacing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ուսումնասիրել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Տեսչական մարմնի բազաներում առկա և ստուգում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իրականացնող, ինչպես նաև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մարմիններին տրամադրման ենթակա տեղեկատվությունը,</w:t>
            </w:r>
          </w:p>
          <w:p w:rsidR="00A10C57" w:rsidRDefault="00D84328" w:rsidP="00A10C57">
            <w:pPr>
              <w:numPr>
                <w:ilvl w:val="0"/>
                <w:numId w:val="24"/>
              </w:numPr>
              <w:spacing w:after="0" w:line="240" w:lineRule="auto"/>
              <w:ind w:right="31"/>
              <w:contextualSpacing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հավաքել տեղեկատվություն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Տեսչական մարմնի վերահսկման ոլորտում գործող բոլոր տնտեսավարող սուբյեկտների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ըստ </w:t>
            </w:r>
            <w:proofErr w:type="spellStart"/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ռիսկայնության</w:t>
            </w:r>
            <w:proofErr w:type="spellEnd"/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90574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դասակարգելու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նպատակով 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նախապատրաստել</w:t>
            </w:r>
            <w:r w:rsidR="0090574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առաջարկություն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ստուգումների տարեկան ծրագ</w:t>
            </w:r>
            <w:r w:rsidR="0090574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րի վերաբերյալ</w:t>
            </w:r>
            <w:r w:rsidR="00A10C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</w:t>
            </w:r>
          </w:p>
          <w:p w:rsidR="00A10C57" w:rsidRDefault="00A10C57" w:rsidP="00A10C57">
            <w:pPr>
              <w:numPr>
                <w:ilvl w:val="0"/>
                <w:numId w:val="24"/>
              </w:numPr>
              <w:spacing w:after="0" w:line="240" w:lineRule="auto"/>
              <w:ind w:right="31"/>
              <w:contextualSpacing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ստուգումների իրականացման գործընթացում կազմել հանձնարարագրեր,</w:t>
            </w:r>
          </w:p>
          <w:p w:rsidR="00A10C57" w:rsidRDefault="00A10C57" w:rsidP="00A10C57">
            <w:pPr>
              <w:numPr>
                <w:ilvl w:val="0"/>
                <w:numId w:val="24"/>
              </w:numPr>
              <w:spacing w:after="0" w:line="240" w:lineRule="auto"/>
              <w:ind w:right="31"/>
              <w:contextualSpacing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հավաքագրել Տեսչական մարմնի կառուցվածքային ստորաբաժանումներից և  տարածքային մարմիններից տնտեսավարող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սուբյեկտներում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իրականացված տեսչական ստուգումների և դիտարկումների արդյունքները,</w:t>
            </w:r>
          </w:p>
          <w:p w:rsidR="0043122E" w:rsidRPr="00B01011" w:rsidRDefault="00A10C57" w:rsidP="00B01011">
            <w:pPr>
              <w:numPr>
                <w:ilvl w:val="0"/>
                <w:numId w:val="24"/>
              </w:numPr>
              <w:spacing w:after="0" w:line="240" w:lineRule="auto"/>
              <w:ind w:right="31"/>
              <w:contextualSpacing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Տեսչական մարմնի կողմից վերահսկվող տնտեսավարող սուբյեկտների տվյալների,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ինչպես նաև ոլորտի վիճակագրական տեղեկատվական բազաներ</w:t>
            </w:r>
            <w:r w:rsidR="0090574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 ստեղծման և վարման համար հավաքագրել տեղեկատվություն</w:t>
            </w:r>
            <w:r w:rsidR="00342CC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</w:p>
        </w:tc>
      </w:tr>
      <w:tr w:rsidR="0043122E" w:rsidRPr="004D4A50" w:rsidTr="00390CEF">
        <w:trPr>
          <w:trHeight w:val="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0CFE" w:rsidRDefault="00AC0CFE" w:rsidP="00AC0CFE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AC0CFE" w:rsidRPr="00E530CA" w:rsidRDefault="00AC0CFE" w:rsidP="00AC0CF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C87D20" w:rsidRDefault="00E530CA" w:rsidP="00C87D20">
            <w:pPr>
              <w:spacing w:after="0" w:line="240" w:lineRule="auto"/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  <w:t>Բարձրագույն կրթություն</w:t>
            </w:r>
          </w:p>
          <w:p w:rsidR="00E530CA" w:rsidRPr="00E5635C" w:rsidRDefault="00E530CA" w:rsidP="00C87D20">
            <w:pPr>
              <w:spacing w:after="0" w:line="240" w:lineRule="auto"/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</w:pPr>
          </w:p>
          <w:p w:rsidR="00C87D20" w:rsidRPr="00C91418" w:rsidRDefault="00C87D20" w:rsidP="00C87D20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C87D20" w:rsidRPr="00C91418" w:rsidRDefault="00C87D20" w:rsidP="00C87D20">
            <w:pPr>
              <w:spacing w:after="160" w:line="259" w:lineRule="auto"/>
              <w:ind w:right="11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C9141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C9141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  <w:t>գործառույթների</w:t>
            </w:r>
            <w:r w:rsidRPr="00C9141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  <w:t>իրականացման</w:t>
            </w:r>
            <w:r w:rsidRPr="00C9141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 w:rsidRPr="00C9141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C9141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color w:val="000000"/>
                <w:sz w:val="24"/>
                <w:szCs w:val="24"/>
                <w:lang w:val="hy-AM"/>
              </w:rPr>
              <w:t>գիտելիքներ:</w:t>
            </w:r>
          </w:p>
          <w:p w:rsidR="00C87D20" w:rsidRPr="00C91418" w:rsidRDefault="00C87D20" w:rsidP="00C87D20">
            <w:pPr>
              <w:spacing w:after="0" w:line="259" w:lineRule="auto"/>
              <w:ind w:right="11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C9141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9141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46E42" w:rsidRPr="009231A1" w:rsidRDefault="00615E39" w:rsidP="00C87D20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C87D20" w:rsidRPr="00C914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անրային ծառայության առնվազն </w:t>
            </w:r>
            <w:r w:rsidR="00B010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="00C87D20" w:rsidRPr="00C914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տարվա ստաժ կամ </w:t>
            </w:r>
            <w:r w:rsidR="00B010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="00C87D20" w:rsidRPr="00C914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տարվա մասնագիտական աշխատանքային ստաժ կամ </w:t>
            </w:r>
            <w:r w:rsidR="00C2182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տնտեսագիտության</w:t>
            </w:r>
            <w:r w:rsidR="00C21822">
              <w:rPr>
                <w:rFonts w:ascii="GHEA Grapalat" w:eastAsia="Sylfaen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բնագավառում</w:t>
            </w:r>
            <w:r w:rsidR="00C87D20" w:rsidRPr="00C914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="00B010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="00C87D20" w:rsidRPr="00C914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տարվա աշխատանքային ստաժ</w:t>
            </w:r>
            <w:r w:rsidR="00C87D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  <w:r w:rsidR="004D4A50" w:rsidRPr="009231A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4D4A50" w:rsidRPr="009231A1" w:rsidRDefault="00B23937" w:rsidP="007627F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231A1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</w:p>
          <w:p w:rsidR="0043122E" w:rsidRPr="009231A1" w:rsidRDefault="0043122E" w:rsidP="0024453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20743C" w:rsidRPr="009231A1" w:rsidRDefault="0020743C" w:rsidP="0024453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43122E" w:rsidRPr="009231A1" w:rsidRDefault="0043122E" w:rsidP="0024453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՝</w:t>
            </w:r>
          </w:p>
          <w:p w:rsidR="004D4A50" w:rsidRPr="009231A1" w:rsidRDefault="000D78F6" w:rsidP="004D4A5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4D4A50"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 Խնդրի լուծում</w:t>
            </w:r>
          </w:p>
          <w:p w:rsidR="004D4A50" w:rsidRPr="009231A1" w:rsidRDefault="000D78F6" w:rsidP="004D4A5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4D4A50"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 Հաշվետվությունների մշակում</w:t>
            </w:r>
          </w:p>
          <w:p w:rsidR="004D4A50" w:rsidRPr="009231A1" w:rsidRDefault="000D78F6" w:rsidP="004D4A5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4D4A50"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 Տեղեկատվության հավաքագրում, վերլուծություն</w:t>
            </w:r>
          </w:p>
          <w:p w:rsidR="004D4A50" w:rsidRPr="009231A1" w:rsidRDefault="000D78F6" w:rsidP="004D4A5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4D4A50"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proofErr w:type="spellStart"/>
            <w:r w:rsidR="004D4A50" w:rsidRPr="009231A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Բարեվարքություն</w:t>
            </w:r>
            <w:proofErr w:type="spellEnd"/>
          </w:p>
          <w:p w:rsidR="0020743C" w:rsidRPr="009231A1" w:rsidRDefault="0020743C" w:rsidP="004D4A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</w:p>
          <w:p w:rsidR="0043122E" w:rsidRPr="009231A1" w:rsidRDefault="0043122E" w:rsidP="0024453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Ընտրանքային</w:t>
            </w:r>
            <w:proofErr w:type="spellEnd"/>
            <w:r w:rsidRPr="009231A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</w:t>
            </w:r>
            <w:r w:rsidR="00480311"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</w:t>
            </w:r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</w:t>
            </w:r>
            <w:proofErr w:type="spellEnd"/>
            <w:r w:rsidRPr="009231A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՝</w:t>
            </w:r>
          </w:p>
          <w:p w:rsidR="00AC0CFE" w:rsidRDefault="00AC0CFE" w:rsidP="00AC0CFE">
            <w:pPr>
              <w:numPr>
                <w:ilvl w:val="0"/>
                <w:numId w:val="18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Բողոքների բավարարում</w:t>
            </w:r>
          </w:p>
          <w:p w:rsidR="00AC0CFE" w:rsidRPr="004D0800" w:rsidRDefault="00AC0CFE" w:rsidP="00AC0CFE">
            <w:pPr>
              <w:numPr>
                <w:ilvl w:val="0"/>
                <w:numId w:val="18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AC0CFE" w:rsidRPr="000D78F6" w:rsidRDefault="00AC0CFE" w:rsidP="00AC0CFE">
            <w:pPr>
              <w:numPr>
                <w:ilvl w:val="0"/>
                <w:numId w:val="18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</w:t>
            </w:r>
            <w:r w:rsidRPr="000D7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Pr="000D7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D7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</w:p>
          <w:p w:rsidR="00393BE3" w:rsidRPr="009231A1" w:rsidRDefault="00AC0CFE" w:rsidP="00AC0CF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0D7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D78F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նախապատրատում</w:t>
            </w:r>
            <w:proofErr w:type="spellEnd"/>
          </w:p>
        </w:tc>
      </w:tr>
      <w:tr w:rsidR="0043122E" w:rsidRPr="00E36DB3" w:rsidTr="00390CEF">
        <w:trPr>
          <w:trHeight w:val="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0CFE" w:rsidRPr="00CA7898" w:rsidRDefault="00AC0CFE" w:rsidP="00AC0CFE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4</w:t>
            </w:r>
            <w:r w:rsidRPr="00CA7898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․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</w:t>
            </w:r>
            <w:proofErr w:type="spellEnd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</w:t>
            </w: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4.1. </w:t>
            </w:r>
            <w:proofErr w:type="spellStart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AC0CFE" w:rsidRPr="00B24B3C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</w:t>
            </w:r>
            <w:proofErr w:type="spellStart"/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>վերջնարդյունքի</w:t>
            </w:r>
            <w:proofErr w:type="spellEnd"/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ապահովման մասնակցության և միջանկյալ արդյունքի ստեղծման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և ապահովման և մասնագիտական </w:t>
            </w:r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>օժանդակության համար:</w:t>
            </w: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4.2.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Որոշումներ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կայացնելու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լիազորությունները</w:t>
            </w:r>
          </w:p>
          <w:p w:rsidR="00AC0CFE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</w:t>
            </w:r>
            <w:proofErr w:type="spellStart"/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>վերջնարդյունքի</w:t>
            </w:r>
            <w:proofErr w:type="spellEnd"/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ապահովման մասնակցության և միջանկյալ արդյունքի ստեղծման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ապահովման և մասնագիտական օժանդակության</w:t>
            </w:r>
            <w:r w:rsidRPr="00B24B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շրջանակներում:</w:t>
            </w: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4.3.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Գործունեության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ազդեցությունը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AC0CFE" w:rsidRDefault="00AC0CFE" w:rsidP="00AC0CFE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E772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Ունի ազդեցություն մասնագիտական աշխատանքների ապահովման և որոշակի մասնագիտական գործառույթների իրականացման շրջանակներում: </w:t>
            </w: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4.4.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Շփումները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ներկայացուցչությունը</w:t>
            </w:r>
          </w:p>
          <w:p w:rsidR="00AC0CFE" w:rsidRDefault="00AC0CFE" w:rsidP="00AC0CF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E772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 </w:t>
            </w: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AC0CFE" w:rsidRPr="00CA7898" w:rsidRDefault="00AC0CFE" w:rsidP="00AC0CF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4.5.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Խնդիրների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բարդությունը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դրանց</w:t>
            </w:r>
            <w:r w:rsidRPr="00CA789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CA7898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լուծումը</w:t>
            </w:r>
          </w:p>
          <w:p w:rsidR="00AC0CFE" w:rsidRPr="006E772A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72A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6E116D" w:rsidRPr="009231A1" w:rsidRDefault="00AC0CFE" w:rsidP="00AC0CF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72A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</w:t>
            </w:r>
            <w:proofErr w:type="spellStart"/>
            <w:r w:rsidRPr="006E772A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6E772A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խնդիրների լուծմանը:</w:t>
            </w:r>
          </w:p>
        </w:tc>
      </w:tr>
    </w:tbl>
    <w:p w:rsidR="00765949" w:rsidRPr="004D4A50" w:rsidRDefault="00765949">
      <w:pPr>
        <w:rPr>
          <w:lang w:val="hy-AM"/>
        </w:rPr>
      </w:pPr>
    </w:p>
    <w:sectPr w:rsidR="00765949" w:rsidRPr="004D4A50" w:rsidSect="00C91418">
      <w:pgSz w:w="12240" w:h="15840"/>
      <w:pgMar w:top="990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1FC"/>
    <w:multiLevelType w:val="hybridMultilevel"/>
    <w:tmpl w:val="B97C6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6F5B"/>
    <w:multiLevelType w:val="hybridMultilevel"/>
    <w:tmpl w:val="8866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2384"/>
    <w:multiLevelType w:val="hybridMultilevel"/>
    <w:tmpl w:val="4B2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BE2"/>
    <w:multiLevelType w:val="hybridMultilevel"/>
    <w:tmpl w:val="FFA4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56C"/>
    <w:multiLevelType w:val="hybridMultilevel"/>
    <w:tmpl w:val="0E2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CC3"/>
    <w:multiLevelType w:val="hybridMultilevel"/>
    <w:tmpl w:val="AF224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475E2"/>
    <w:multiLevelType w:val="hybridMultilevel"/>
    <w:tmpl w:val="5F24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3A9B"/>
    <w:multiLevelType w:val="hybridMultilevel"/>
    <w:tmpl w:val="32D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02D1"/>
    <w:multiLevelType w:val="hybridMultilevel"/>
    <w:tmpl w:val="68E0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2E2"/>
    <w:multiLevelType w:val="hybridMultilevel"/>
    <w:tmpl w:val="6E423648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40E54FF2"/>
    <w:multiLevelType w:val="hybridMultilevel"/>
    <w:tmpl w:val="5888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64EDF"/>
    <w:multiLevelType w:val="hybridMultilevel"/>
    <w:tmpl w:val="1076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5BB0"/>
    <w:multiLevelType w:val="hybridMultilevel"/>
    <w:tmpl w:val="60DC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4E2"/>
    <w:multiLevelType w:val="hybridMultilevel"/>
    <w:tmpl w:val="FFAA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22E7"/>
    <w:multiLevelType w:val="hybridMultilevel"/>
    <w:tmpl w:val="6866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83986"/>
    <w:multiLevelType w:val="hybridMultilevel"/>
    <w:tmpl w:val="0EE2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951DE"/>
    <w:multiLevelType w:val="hybridMultilevel"/>
    <w:tmpl w:val="ED5A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1D8A"/>
    <w:multiLevelType w:val="hybridMultilevel"/>
    <w:tmpl w:val="F67A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AE77C38"/>
    <w:multiLevelType w:val="hybridMultilevel"/>
    <w:tmpl w:val="A9FE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61794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24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246AA"/>
    <w:multiLevelType w:val="hybridMultilevel"/>
    <w:tmpl w:val="0038A7F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7762896A">
      <w:start w:val="1"/>
      <w:numFmt w:val="decimal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2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5"/>
  </w:num>
  <w:num w:numId="18">
    <w:abstractNumId w:val="7"/>
  </w:num>
  <w:num w:numId="19">
    <w:abstractNumId w:val="8"/>
  </w:num>
  <w:num w:numId="20">
    <w:abstractNumId w:val="9"/>
  </w:num>
  <w:num w:numId="21">
    <w:abstractNumId w:val="1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</w:num>
  <w:num w:numId="26">
    <w:abstractNumId w:val="10"/>
  </w:num>
  <w:num w:numId="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94E"/>
    <w:rsid w:val="00012964"/>
    <w:rsid w:val="000268A6"/>
    <w:rsid w:val="0004426F"/>
    <w:rsid w:val="00046E42"/>
    <w:rsid w:val="00052B3F"/>
    <w:rsid w:val="0006594E"/>
    <w:rsid w:val="00094489"/>
    <w:rsid w:val="00097481"/>
    <w:rsid w:val="000A09C6"/>
    <w:rsid w:val="000B1219"/>
    <w:rsid w:val="000B32FB"/>
    <w:rsid w:val="000C7E9E"/>
    <w:rsid w:val="000D5742"/>
    <w:rsid w:val="000D78F6"/>
    <w:rsid w:val="000E78C0"/>
    <w:rsid w:val="000F7073"/>
    <w:rsid w:val="0010098F"/>
    <w:rsid w:val="00146DB4"/>
    <w:rsid w:val="00164F1B"/>
    <w:rsid w:val="0017489F"/>
    <w:rsid w:val="001A6E7F"/>
    <w:rsid w:val="001C7604"/>
    <w:rsid w:val="001E504B"/>
    <w:rsid w:val="0020743C"/>
    <w:rsid w:val="00213D57"/>
    <w:rsid w:val="00223541"/>
    <w:rsid w:val="0022448C"/>
    <w:rsid w:val="0023770E"/>
    <w:rsid w:val="00240087"/>
    <w:rsid w:val="00240F67"/>
    <w:rsid w:val="00284CCB"/>
    <w:rsid w:val="002F21DA"/>
    <w:rsid w:val="00342CC6"/>
    <w:rsid w:val="00357C88"/>
    <w:rsid w:val="00390CEF"/>
    <w:rsid w:val="00393BE3"/>
    <w:rsid w:val="00412113"/>
    <w:rsid w:val="0042365F"/>
    <w:rsid w:val="0043122E"/>
    <w:rsid w:val="00457E9A"/>
    <w:rsid w:val="004615F0"/>
    <w:rsid w:val="00480311"/>
    <w:rsid w:val="00493445"/>
    <w:rsid w:val="00494EB2"/>
    <w:rsid w:val="004A2EE6"/>
    <w:rsid w:val="004C411C"/>
    <w:rsid w:val="004D1F3C"/>
    <w:rsid w:val="004D3DCC"/>
    <w:rsid w:val="004D4A50"/>
    <w:rsid w:val="004E7205"/>
    <w:rsid w:val="004F0CCC"/>
    <w:rsid w:val="005050AC"/>
    <w:rsid w:val="00527942"/>
    <w:rsid w:val="00556EA4"/>
    <w:rsid w:val="00581954"/>
    <w:rsid w:val="00590EBF"/>
    <w:rsid w:val="005D107B"/>
    <w:rsid w:val="005F2115"/>
    <w:rsid w:val="005F2E5A"/>
    <w:rsid w:val="00600CB6"/>
    <w:rsid w:val="00614B8A"/>
    <w:rsid w:val="00615E39"/>
    <w:rsid w:val="006E116D"/>
    <w:rsid w:val="007029E5"/>
    <w:rsid w:val="00761E04"/>
    <w:rsid w:val="007627FF"/>
    <w:rsid w:val="007636F3"/>
    <w:rsid w:val="00765949"/>
    <w:rsid w:val="0077080C"/>
    <w:rsid w:val="007749D2"/>
    <w:rsid w:val="00783CEC"/>
    <w:rsid w:val="00830B59"/>
    <w:rsid w:val="00836D46"/>
    <w:rsid w:val="00855EBB"/>
    <w:rsid w:val="008616B2"/>
    <w:rsid w:val="00866AD2"/>
    <w:rsid w:val="008E7DB4"/>
    <w:rsid w:val="008F6172"/>
    <w:rsid w:val="00905741"/>
    <w:rsid w:val="00913640"/>
    <w:rsid w:val="009231A1"/>
    <w:rsid w:val="0094030E"/>
    <w:rsid w:val="009954A4"/>
    <w:rsid w:val="009B041E"/>
    <w:rsid w:val="009C6880"/>
    <w:rsid w:val="009E17D9"/>
    <w:rsid w:val="009F0007"/>
    <w:rsid w:val="009F5504"/>
    <w:rsid w:val="00A10C57"/>
    <w:rsid w:val="00A45258"/>
    <w:rsid w:val="00A95130"/>
    <w:rsid w:val="00AB77F4"/>
    <w:rsid w:val="00AC0CFE"/>
    <w:rsid w:val="00AD5013"/>
    <w:rsid w:val="00AE1EE4"/>
    <w:rsid w:val="00B01011"/>
    <w:rsid w:val="00B23937"/>
    <w:rsid w:val="00BF4ACB"/>
    <w:rsid w:val="00C21822"/>
    <w:rsid w:val="00C55DEA"/>
    <w:rsid w:val="00C87803"/>
    <w:rsid w:val="00C87D20"/>
    <w:rsid w:val="00C91418"/>
    <w:rsid w:val="00D34B87"/>
    <w:rsid w:val="00D674A2"/>
    <w:rsid w:val="00D84328"/>
    <w:rsid w:val="00D90146"/>
    <w:rsid w:val="00D95CC6"/>
    <w:rsid w:val="00DE5777"/>
    <w:rsid w:val="00E16C72"/>
    <w:rsid w:val="00E2225E"/>
    <w:rsid w:val="00E32A0B"/>
    <w:rsid w:val="00E32F2D"/>
    <w:rsid w:val="00E36DB3"/>
    <w:rsid w:val="00E40190"/>
    <w:rsid w:val="00E530CA"/>
    <w:rsid w:val="00E65F67"/>
    <w:rsid w:val="00E93301"/>
    <w:rsid w:val="00EA61B6"/>
    <w:rsid w:val="00ED6B0F"/>
    <w:rsid w:val="00EE4513"/>
    <w:rsid w:val="00F67A11"/>
    <w:rsid w:val="00F70D3D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5836"/>
  <w15:docId w15:val="{7584AD91-695E-4131-BCA5-08E460AF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2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3122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783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0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30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30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0E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20743C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unhideWhenUsed/>
    <w:rsid w:val="00F70D3D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0D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http://mul-aatm.gov.am/tasks/docs/attachment.php?id=19790&amp;fn=Pastoni.ancnagir.docx&amp;out=0&amp;token=5569dee46cef0cb5012d</cp:keywords>
</cp:coreProperties>
</file>