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C5" w:rsidRPr="00486973" w:rsidRDefault="005D29B4" w:rsidP="00546EC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546EC5"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546EC5" w:rsidRPr="004D059B" w:rsidRDefault="00546EC5" w:rsidP="00546EC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546EC5" w:rsidRPr="00E75382" w:rsidRDefault="00546EC5" w:rsidP="00546EC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5D29B4" w:rsidRDefault="005D29B4" w:rsidP="005D29B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16"/>
          <w:szCs w:val="16"/>
        </w:rPr>
        <w:t>սեպտեմբերի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</w:rPr>
        <w:t xml:space="preserve"> 11</w:t>
      </w:r>
      <w:r>
        <w:rPr>
          <w:rFonts w:ascii="GHEA Grapalat" w:hAnsi="GHEA Grapalat" w:cs="Sylfaen"/>
          <w:sz w:val="16"/>
          <w:szCs w:val="16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546EC5" w:rsidRDefault="00546EC5" w:rsidP="00546EC5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5D29B4" w:rsidRDefault="005D29B4" w:rsidP="00952A90">
      <w:pPr>
        <w:spacing w:after="160" w:line="256" w:lineRule="auto"/>
        <w:jc w:val="center"/>
        <w:rPr>
          <w:rFonts w:ascii="GHEA Grapalat" w:eastAsia="Sylfaen" w:hAnsi="GHEA Grapalat" w:cs="Sylfaen"/>
          <w:b/>
          <w:sz w:val="28"/>
          <w:lang w:val="hy-AM"/>
        </w:rPr>
      </w:pPr>
    </w:p>
    <w:p w:rsidR="00FA2724" w:rsidRPr="00952A90" w:rsidRDefault="00FA2724" w:rsidP="00952A90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FA2724" w:rsidRPr="005D29B4" w:rsidRDefault="00952A90" w:rsidP="005D29B4">
      <w:pPr>
        <w:pStyle w:val="BodyText3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8B08C8" w:rsidRPr="005D29B4">
        <w:rPr>
          <w:rFonts w:ascii="GHEA Grapalat" w:hAnsi="GHEA Grapalat"/>
          <w:b/>
          <w:sz w:val="28"/>
          <w:szCs w:val="28"/>
          <w:lang w:val="hy-AM"/>
        </w:rPr>
        <w:t xml:space="preserve">ՄԱՐԴՈՒ ԻՐԱՎՈՒՆՔՆԵՐԻ ԵՎՐՈՊԱԿԱՆ ԴԱՏԱՐԱՆՈՒՄ ՀԱՅԱՍՏԱՆԻ ՀԱՆՐԱՊԵՏՈՒԹՅԱՆ ՆԵՐԿԱՅԱՑՈՒՑՉԻ ԳՐԱՍԵՆՅԱԿԻ </w:t>
      </w:r>
      <w:r>
        <w:rPr>
          <w:rFonts w:ascii="GHEA Grapalat" w:hAnsi="GHEA Grapalat"/>
          <w:b/>
          <w:sz w:val="28"/>
          <w:szCs w:val="28"/>
          <w:lang w:val="hy-AM"/>
        </w:rPr>
        <w:t>ՂԵԿԱՎԱՐԻ ՏԵՂԱԿԱԼ</w:t>
      </w:r>
    </w:p>
    <w:tbl>
      <w:tblPr>
        <w:tblW w:w="952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FA2724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4" w:rsidRDefault="00FA2724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FA2724" w:rsidRPr="005D29B4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52A90">
              <w:rPr>
                <w:rFonts w:ascii="GHEA Grapalat" w:eastAsia="Times New Roman" w:hAnsi="GHEA Grapalat" w:cs="Times New Roman"/>
                <w:b/>
                <w:lang w:val="hy-AM"/>
              </w:rPr>
              <w:t>1</w:t>
            </w: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.1</w:t>
            </w:r>
            <w:r w:rsidRPr="00246EA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Պաշտոնի անվանումը, ծածկագիրը</w:t>
            </w:r>
          </w:p>
          <w:p w:rsidR="00952A90" w:rsidRPr="00246EA7" w:rsidRDefault="008B08C8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Վարչապետի աշխատակազմի </w:t>
            </w:r>
            <w:r w:rsidR="004B2EF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</w:t>
            </w:r>
            <w:proofErr w:type="spellStart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արդու</w:t>
            </w:r>
            <w:proofErr w:type="spellEnd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իրավունքների </w:t>
            </w:r>
            <w:proofErr w:type="spellStart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եվրոպական</w:t>
            </w:r>
            <w:proofErr w:type="spellEnd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դատարանում </w:t>
            </w:r>
            <w:r w:rsidRPr="00CA6C64">
              <w:rPr>
                <w:rFonts w:ascii="GHEA Grapalat" w:hAnsi="GHEA Grapalat"/>
                <w:sz w:val="24"/>
                <w:lang w:val="hy-AM"/>
              </w:rPr>
              <w:t xml:space="preserve">(այսուհետ՝ </w:t>
            </w:r>
            <w:proofErr w:type="spellStart"/>
            <w:r w:rsidRPr="00CA6C64">
              <w:rPr>
                <w:rFonts w:ascii="GHEA Grapalat" w:hAnsi="GHEA Grapalat"/>
                <w:sz w:val="24"/>
                <w:lang w:val="hy-AM"/>
              </w:rPr>
              <w:t>Եվրոպական</w:t>
            </w:r>
            <w:proofErr w:type="spellEnd"/>
            <w:r w:rsidRPr="00CA6C64">
              <w:rPr>
                <w:rFonts w:ascii="GHEA Grapalat" w:hAnsi="GHEA Grapalat"/>
                <w:sz w:val="24"/>
                <w:lang w:val="hy-AM"/>
              </w:rPr>
              <w:t xml:space="preserve"> դատարան)</w:t>
            </w:r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Հայաստանի Հանրապետության ներկայացուցչի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Ներկայացուցիչ</w:t>
            </w:r>
            <w:proofErr w:type="spellEnd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գրասենյակի (այսուհետ՝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proofErr w:type="spellStart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րասենյակ</w:t>
            </w:r>
            <w:proofErr w:type="spellEnd"/>
            <w:r w:rsidRPr="00CA6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 ղեկավարի տեղակալ</w:t>
            </w:r>
            <w:r w:rsidRPr="008A00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(այսուհետ՝ Տեղակալ)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(ծածկագիրը՝ 06-Գ31</w:t>
            </w:r>
            <w:r w:rsidR="00952A90"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-Ղ1-1)</w:t>
            </w:r>
          </w:p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1.2</w:t>
            </w:r>
            <w:r w:rsidRPr="00246EA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Ենթակա և հաշվետու է</w:t>
            </w:r>
          </w:p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Տեղակալն անմիջական ենթակա և հաշվետու է Գրասենյակի ղեկավարին:</w:t>
            </w:r>
          </w:p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246EA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Ենթակա և հաշվետու պաշտոններ</w:t>
            </w:r>
          </w:p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Ենթակա և հաշվետու աշխատողներ չունի: </w:t>
            </w:r>
          </w:p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246EA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Փոխարինող պաշտոնի կամ պաշտոնների անվանումները</w:t>
            </w:r>
          </w:p>
          <w:p w:rsidR="00952A90" w:rsidRPr="00246EA7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Տեղակալի բացակայության դեպքում նրան փոխարինում է </w:t>
            </w:r>
            <w:r w:rsidR="008B08C8" w:rsidRPr="005D29B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Գրասենյակի ղեկավարի մյուս տ</w:t>
            </w:r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եղակալը:</w:t>
            </w:r>
          </w:p>
          <w:p w:rsidR="00952A90" w:rsidRPr="0082412D" w:rsidRDefault="00952A90" w:rsidP="00952A90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1.5</w:t>
            </w:r>
            <w:r w:rsidRPr="00246EA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246EA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FA2724" w:rsidRPr="005D29B4" w:rsidRDefault="00952A90" w:rsidP="008B08C8">
            <w:pPr>
              <w:tabs>
                <w:tab w:val="left" w:pos="54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82412D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proofErr w:type="spellStart"/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Կենտրոն վարչական շրջան, </w:t>
            </w:r>
            <w:r w:rsidR="008B08C8" w:rsidRPr="008241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Հանրապետութ</w:t>
            </w:r>
            <w:r w:rsidR="005D29B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յան հրապարակ, Կառավարական տուն 3</w:t>
            </w:r>
          </w:p>
        </w:tc>
      </w:tr>
      <w:tr w:rsidR="00FA2724" w:rsidRPr="005D29B4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24" w:rsidRDefault="00FA2724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2</w:t>
            </w:r>
            <w:r w:rsidRPr="00952A90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952A90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952A90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բնութագիր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FA2724" w:rsidRPr="00952A90" w:rsidRDefault="00FA27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2.1. </w:t>
            </w:r>
            <w:r w:rsidRPr="00952A90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952A90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բնույթը</w:t>
            </w: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952A90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</w:t>
            </w: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952A90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պարտականությունները</w:t>
            </w:r>
            <w:r w:rsidRPr="00952A9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ղեկավարում է Ներկայացուցչին վերապահված լիազորությունների՝ իր համակարգմանը վերապահված բնագավառում իրականացմանն ուղղված աշխատանքները.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lastRenderedPageBreak/>
              <w:t xml:space="preserve">համակարգում է Եվրոպական դատարանի՝ Հայաստանի Հանրապետության վերաբերյալ վճիռների և որոշումների կատարմանն ուղղված աշխատանքների ծրագրումն ու իրականացումը. 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համակարգում է Հայաստանի Հանրապետության իրավական համակարգում մարդու իրավունքների եվրոպական չափանիշների ներդրմանն ուղղված աշխատանքների ծրագրումն ու իրականացումը.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ղեկավարում է իրավասու պետական մարմինների, միջազգային և հասարակական կազմակերպությունների, ինչպես նաև այլ կառույցների հետ համագործակացությանն ուղղված աշխատանքները.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համակարգում է միջազգային և հասարակական կազմակերպությունների, ինչպես նաև այլ կառույցների հետ համատեղ ծրագրերի իրականացման աշխատանքները.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 xml:space="preserve">վերահսկում է Ներկայացուցչի գրասենյակի գործառույթների իրականացմամբ ստեղծված և միջազգային կառույցներ ներկայացման ենթակա փաստաթղթերի փոխանցմանն ուղղված աշխատանքների իրականացումը. 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 xml:space="preserve">ղեկավարում է Ներկայացուցչի գործունեության վերաբերյալ տարեկան հաշվետվության նախագծի մշակման աշխատանքները՝ իր համակարգմանը վերապահված բնագավառում. </w:t>
            </w:r>
          </w:p>
          <w:p w:rsidR="005D7BEE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ղեկավարում է Ներկայացուցչի, ինչպես նաև Ներկայացուցչի գրասենյակի ղեկավարի առաջադրանքների և հանձնարարականների կատարմանն ուղղված աշխատանքները.</w:t>
            </w:r>
          </w:p>
          <w:p w:rsidR="00807FF8" w:rsidRPr="005D7BEE" w:rsidRDefault="005D7BEE" w:rsidP="00075E17">
            <w:pPr>
              <w:pStyle w:val="ListParagraph"/>
              <w:numPr>
                <w:ilvl w:val="0"/>
                <w:numId w:val="16"/>
              </w:numPr>
              <w:tabs>
                <w:tab w:val="left" w:pos="1329"/>
              </w:tabs>
              <w:spacing w:after="120" w:line="259" w:lineRule="auto"/>
              <w:ind w:right="-6"/>
              <w:jc w:val="both"/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</w:pPr>
            <w:r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աջակցում է Ներկայացուցչին Եվրոպական դատարանի՝ Հայաստանի Հանրապետության վերաբերյալ վճռի կամ որոշման կատարումից բխող, ինչպես նաև Հայաստանի Հանրապետության իրավական համակարգում մարդու իրավունքների եվրոպական չափանիշների ներդրմանն ուղղված այլ լիազորություններ իրականացնելիս</w:t>
            </w:r>
            <w:r w:rsidR="00807FF8" w:rsidRPr="005D7BEE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։</w:t>
            </w:r>
          </w:p>
          <w:p w:rsidR="00FA2724" w:rsidRDefault="00FA272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Իրավունքները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որոշմամբ ստորագրելու և սահմանված դեպքերում կնքելու Ներկայացուցչի գրասենյակի գործառույթների իրականացման արդյունքում ստեղծված փաստաթղթերը.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լիազորությունների իրականացմանը ներգրավված փորձագետներից և մասնագետներից պահանջելու և ստանալու անհրաժեշտ նյութեր, փաստաթղթեր, տեղեկություններ և պարզաբանումներ, ինչպես նաև այլ անհրաժեշտ աջակցություն.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պետական և տեղական ինքնակառավարման մարմիններից, դրանց պաշտոնատար անձանցից կամ ներկայացուցիչներից պահանջելու և </w:t>
            </w: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lastRenderedPageBreak/>
              <w:t>ստանալու անհրաժեշտ նյութեր, փաստաթղթեր, տեղեկություններ և պարզաբանումներ, ինչպես նաև այլ անհրաժեշտ աջակցություն.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կառուցվածքային ստորաբաժանումներից պահանջելու և ստանալու անհրաժեշտ նյութեր, փաստաթղթեր, տեղեկություններ և պարզաբանումներ.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կառուցվածքային ստորաբաժանումներից պահանջելու և ստանալու Ներկայացուցչի, ինչպես նաև Ներկայացուցչի գրասենյակի ղեկավարի առաջադրանքների և հանձնարարականների կատարմանն ուղղված աշխատանքների ընթացքի և արդյունքների վերաբերյալ տեղեկատվություն.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կառուցվածքային ստորաբաժանումներից պահանջելու և ստանալու տեղեկատվություն իրականացվող աշխատանքների ընթացքի մասին.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ղեկավարին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Ներկայացուցչի գրասենյակի ղեկավարի գիտությամբ հրավիրելու խորհրդակցություններ՝ ներգրավելով համապատասխան մարմինների պաշտոնատար անձանց, մասնագետների, փորձագետների.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Ներկայացուցչի գրասենյակի կառուցվածքային ստորաբաժանումների ղեկավարների և աշխատակիցների հետ կազմակերպելու մասնագիտական և աշխատանքային քննարկումներ՝ առաջադրված խնդիրների լուծման նպատակով.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Ներկայացուցչի գրասենյակի ղեկավարի գիտությամբ գանգատ ներկայացրած կողմի հետ կազմակերպելու բանակցություններ </w:t>
            </w:r>
            <w:proofErr w:type="spellStart"/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դատարանի՝ Հայաստանի Հանրապետության վերաբերյալ </w:t>
            </w:r>
            <w:proofErr w:type="spellStart"/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վճիռներից</w:t>
            </w:r>
            <w:proofErr w:type="spellEnd"/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և որոշումներից բխող անհատական միջոցառումների մշակման և կատարման նպատակով.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իրականացնելու քաղաքացիների ընդունելություն:</w:t>
            </w:r>
          </w:p>
          <w:p w:rsidR="005D29B4" w:rsidRDefault="00FA2724" w:rsidP="005D7BEE">
            <w:pPr>
              <w:spacing w:after="0"/>
              <w:ind w:right="11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E67FE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  <w:p w:rsidR="00FA2724" w:rsidRDefault="00FA2724" w:rsidP="005D7BEE">
            <w:pPr>
              <w:spacing w:after="0"/>
              <w:ind w:right="11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>՝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վճիռներով և որոշումներով արձանագրված խախտումների </w:t>
            </w: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ուսումնասիրությանը, այդ խախտումների հնարավոր աղբյուրների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վերհանմանը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վերլուծությանն ուղղված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ռազմավարության մշակման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ներպետական իրավասու մարմինների կողմից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ընթացքի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ըստ անհրաժեշտության առաջարկությունների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ապահովել ներպետական իրավասու մարմինների կողմից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ընթացքի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մշտադիտարկումը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ըստ անհրաժեշտության առաջարկությունների ներկայացումը.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հիման վրա փոխհատուցման ենթակա գումարի վճարման աշխատանքների իրականացումը.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համագործակցելով «Հայաստանի Հանրապետության արդարադատության նախարարության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թարգմանությունների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կենտրոն» ՊՈԱԿ-ի հետ՝ ապահովել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վճիռների, իսկ անհրաժեշտության դեպքում նաև որոշումների հայերեն թարգմանության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համագործակցելով Հայաստանի Հանրապետության արդարադատության նախարարության հետ՝ ապահովել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վճիռների, իսկ անհրաժեշտության դեպքում նաև որոշումների հայերեն թարգմանության հրապարակման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 Հայաստանի Հանրապետության վերաբերյալ վճիռների և որոշումների հիման վրա Հայաստանի Հանրապետության օրենսդրության մեջ փոփոխություններ կատարելու, ինչպես նաև նոր իրավական ակտեր ընդունելու առաջարկների կամ նախագծերի ներկայացումը.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ղեկավարել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գործողությունների ծրագրերի և հաշվետվությունների նախագծերի մշակման,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Եվրոպայի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խորհրդի նախարարների կոմիտե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ղեկավարել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 վճիռների և որոշումների կատարման շրջանակներում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Եվրոպայի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խորհրդի Նախարարների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կոմիտեից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ստացված հարցումների կատարման, այդ թվում՝ դրանց վերաբերյալ Հայաստանի </w:t>
            </w: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Հանրապետության դիրքորոշման մշակման,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Եվրոպայի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խորհրդի նախարարների կոմիտե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միջազգային կառույցներից Հայաստանի Հանրապետության իրավական համակարգում մարդու իրավունքների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չափանիշների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ներդրմանն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ուղղված աշխատանքների վերաբերյալ ստացված հարցումների կատարումը, այդ թվում՝ դրանց վերաբերյալ Հայաստանի Հանրապետության դիրքորոշման մշակման և համապատասխան կառույց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«Մարդու իրավունքների և հիմնարար ազատությունների պաշտպանության մասին» 1950 թվականի նոյեմբերի 4-ի կոնվենցիայով երաշխավորված իրավունքների հավանական խախտումները հետագայում կանխելու նպատակով վերահսկել Հայաստանի Հանրապետության կառավարությանը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կոմունիկացված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գանգատներով բարձրացված իրավական խնդիրների վերլուծության և գնահատման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նախադեպային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իրավունքի, մարդու իրավունքների միջազգային և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իրավական չափանիշներին վերաբերող այլ միջազգային փաստաթղթերի, ինչպես նաև արտասահմանյան երկրների փորձի ուսումնասիրությունների և վերլուծությունների իրականացման աշխատանքները, ապահովել դրանց արդյունքների ամփոփումը և ներկայացումը Ներկայացուցչի գրասենյակի ղեկավարին.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ապահովել համագործակցությունն իրավասու մարմինների հետ ներպետական օրենսդրության, համապատասխան ոլորտների պրակտիկայի ուսումնասիրության և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վերլուծելության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աշխատանքները կազմակերպելու նպատակով.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ներպետական օրենսդրության, համապատասխան ոլորտների պրակտիկայի ուսումնասիրության և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վերլուծելության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վերլուծությունների հիման վրա Ներկայացուցչի գրասենյակի ղեկավարին ներկայացնել օրենսդրության և պրակտիկայի բարելավման և մարդու իրավունքների միջազգային և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իրավական չափանիշներին համապատասխանեցման վերաբերյալ առաջարկություններ.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ղեկավարել մարդու իրավունքներին և ազատություններին վերաբերող նորմատիվ իրավական ակտերի նախագծերի վերաբերյալ գրավոր կարծիքի նախագծերի մշակման, ամփոփման և Ներկայացուցչի գրասենյակի ղեկավարին, իսկ անհրաժեշտության դեպքում նաև իրավասու մարմին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գործառույթներով պայմանավորված համակարգել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Եվրոպայի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խորհրդում Հայաստանի Հանրապետության </w:t>
            </w: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մշտական ներկայացուցչության, ինչպես նաև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Եվրոպայի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խորհրդի համապատասխան ստորաբաժանումների հետ համագործակցությունը.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նախագծերի կազմման աշխատանքների իրականացումը. 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 մարմնի հարցման հիման վրա վերահսկել ազգային ռազմավարական փաստաթղթերի մշակման շրջանակներում համապատասխան դիտարկումների և առաջարկությունների նախագծման և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 մարմնի հարցման հիման վրա վերահսկել միջազգային կազմակերպությունների՝ Հայաստանի Հանրապետությանն առնչվող փաստաթղթերի վերաբերյալ դիտարկումների և առաջարկությունների նախագծման և ներկայացման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դատարանում ՀՀ ներկայացուցչության պաշտոնական կայքի պահպանման աշխատանքները.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նպատակների, խնդիրների և գործառույթների իրականացման համար իր համակարգմանը վերապահված բնագավառում գործող կառուցվածքային ստորաբաժանումներին տալ մեթոդական ցուցումներ և հանձնարարություններ. 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Ներկայացուցչի գրասենյակի ղեկավարին ներկայացնել իր համակարգմանը վերապահված բնագավառում գործող կառուցվածքային ստորաբաժանումների աշխատանքային ծրագրերը.</w:t>
            </w:r>
          </w:p>
          <w:p w:rsidR="005D7BEE" w:rsidRPr="005D7BEE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ըստ անհրաժեշտության իր գործառույթների շրջանակներում ներկայացնել համապատասխան զեկուցումներ.</w:t>
            </w:r>
          </w:p>
          <w:p w:rsidR="00FA2724" w:rsidRPr="00807FF8" w:rsidRDefault="005D7BEE" w:rsidP="005D7B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D7BEE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Ներկայացուցչի գրասենյակի լիազորությունների շրջանակներում համակարգել առաջարկությունների, տեղեկանքների, հաշվետվությունների, միջնորդագրերի, զեկուցագրերի և այլ գրությունների նախապատրաստման և ներկայացման աշխատանքները:</w:t>
            </w:r>
          </w:p>
        </w:tc>
      </w:tr>
      <w:tr w:rsidR="00FA2724" w:rsidTr="0008799F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F8" w:rsidRPr="00807FF8" w:rsidRDefault="00FA2724" w:rsidP="00807FF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807FF8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807FF8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807FF8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807FF8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807FF8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807FF8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807FF8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807FF8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պահանջները</w:t>
            </w:r>
          </w:p>
          <w:p w:rsidR="00807FF8" w:rsidRDefault="00807FF8" w:rsidP="00807FF8">
            <w:pPr>
              <w:jc w:val="both"/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>3.1</w:t>
            </w:r>
            <w:r w:rsidRPr="00807FF8">
              <w:rPr>
                <w:rFonts w:ascii="MS Mincho" w:eastAsia="MS Mincho" w:hAnsi="MS Mincho" w:cs="MS Mincho" w:hint="eastAsia"/>
                <w:b/>
                <w:color w:val="0D0D0D"/>
                <w:sz w:val="24"/>
                <w:szCs w:val="24"/>
                <w:lang w:val="hy-AM"/>
              </w:rPr>
              <w:t>․</w:t>
            </w:r>
            <w:r w:rsidRPr="00807FF8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8867" w:type="dxa"/>
              <w:tblLook w:val="04A0" w:firstRow="1" w:lastRow="0" w:firstColumn="1" w:lastColumn="0" w:noHBand="0" w:noVBand="1"/>
            </w:tblPr>
            <w:tblGrid>
              <w:gridCol w:w="767"/>
              <w:gridCol w:w="1774"/>
              <w:gridCol w:w="6326"/>
            </w:tblGrid>
            <w:tr w:rsidR="008E79D5" w:rsidRPr="005D29B4" w:rsidTr="008E79D5">
              <w:tc>
                <w:tcPr>
                  <w:tcW w:w="767" w:type="dxa"/>
                </w:tcPr>
                <w:p w:rsidR="008E79D5" w:rsidRPr="005D29B4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774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26" w:type="dxa"/>
                </w:tcPr>
                <w:p w:rsidR="008E79D5" w:rsidRPr="0076521C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E79D5" w:rsidRPr="005D29B4" w:rsidTr="008E79D5">
              <w:tc>
                <w:tcPr>
                  <w:tcW w:w="767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774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326" w:type="dxa"/>
                </w:tcPr>
                <w:p w:rsidR="008E79D5" w:rsidRPr="0076521C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8E79D5" w:rsidRPr="005D29B4" w:rsidTr="008E79D5">
              <w:tc>
                <w:tcPr>
                  <w:tcW w:w="767" w:type="dxa"/>
                </w:tcPr>
                <w:p w:rsidR="008E79D5" w:rsidRPr="005D29B4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774" w:type="dxa"/>
                </w:tcPr>
                <w:p w:rsidR="008E79D5" w:rsidRPr="00A56DB2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326" w:type="dxa"/>
                </w:tcPr>
                <w:p w:rsidR="008E79D5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8E79D5" w:rsidRPr="005D29B4" w:rsidRDefault="008E79D5" w:rsidP="00807FF8">
            <w:pPr>
              <w:jc w:val="both"/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</w:pPr>
            <w:r w:rsidRPr="005D29B4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6699"/>
            </w:tblGrid>
            <w:tr w:rsidR="008E79D5" w:rsidRPr="005D29B4" w:rsidTr="008E79D5">
              <w:tc>
                <w:tcPr>
                  <w:tcW w:w="767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lastRenderedPageBreak/>
                    <w:t>1.</w:t>
                  </w:r>
                </w:p>
              </w:tc>
              <w:tc>
                <w:tcPr>
                  <w:tcW w:w="1835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99" w:type="dxa"/>
                </w:tcPr>
                <w:p w:rsidR="008E79D5" w:rsidRPr="0076521C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C543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8E79D5" w:rsidRPr="005D29B4" w:rsidTr="008E79D5">
              <w:tc>
                <w:tcPr>
                  <w:tcW w:w="767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8E79D5" w:rsidRPr="00DA404F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699" w:type="dxa"/>
                </w:tcPr>
                <w:p w:rsidR="008E79D5" w:rsidRPr="005D29B4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և </w:t>
                  </w:r>
                  <w:proofErr w:type="spellStart"/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վարքաբանական</w:t>
                  </w:r>
                  <w:proofErr w:type="spellEnd"/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8E79D5" w:rsidRPr="005D29B4" w:rsidTr="008E79D5">
              <w:tc>
                <w:tcPr>
                  <w:tcW w:w="767" w:type="dxa"/>
                </w:tcPr>
                <w:p w:rsidR="008E79D5" w:rsidRPr="006066D1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066D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8E79D5" w:rsidRPr="00A56DB2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699" w:type="dxa"/>
                </w:tcPr>
                <w:p w:rsidR="008E79D5" w:rsidRPr="005D29B4" w:rsidRDefault="008E79D5" w:rsidP="008E79D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Միջոլորտային</w:t>
                  </w:r>
                  <w:proofErr w:type="spellEnd"/>
                  <w:r w:rsidRPr="005D29B4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մասնագիտություններ</w:t>
                  </w:r>
                </w:p>
              </w:tc>
            </w:tr>
          </w:tbl>
          <w:p w:rsidR="00C80554" w:rsidRDefault="00C80554" w:rsidP="00807F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07FF8" w:rsidRPr="00807FF8" w:rsidRDefault="00807FF8" w:rsidP="00807F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807FF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</w:p>
          <w:p w:rsidR="00807FF8" w:rsidRPr="00807FF8" w:rsidRDefault="00807FF8" w:rsidP="00807FF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807FF8" w:rsidRPr="00807FF8" w:rsidRDefault="00807FF8" w:rsidP="00807FF8">
            <w:pPr>
              <w:jc w:val="both"/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>3.3</w:t>
            </w:r>
            <w:r w:rsidRPr="00807FF8">
              <w:rPr>
                <w:rFonts w:ascii="MS Mincho" w:eastAsia="MS Mincho" w:hAnsi="MS Mincho" w:cs="MS Mincho" w:hint="eastAsia"/>
                <w:b/>
                <w:color w:val="0D0D0D"/>
                <w:sz w:val="24"/>
                <w:szCs w:val="24"/>
                <w:lang w:val="hy-AM"/>
              </w:rPr>
              <w:t>․</w:t>
            </w:r>
            <w:r w:rsidRPr="00807FF8">
              <w:rPr>
                <w:rFonts w:ascii="GHEA Grapalat" w:hAnsi="GHEA Grapalat"/>
                <w:b/>
                <w:color w:val="0D0D0D"/>
                <w:sz w:val="24"/>
                <w:szCs w:val="24"/>
                <w:lang w:val="hy-AM"/>
              </w:rPr>
              <w:t xml:space="preserve"> Աշխատանքային ստաժը, աշխատանքի բնագավառում փորձը</w:t>
            </w:r>
          </w:p>
          <w:p w:rsidR="00807FF8" w:rsidRPr="00807FF8" w:rsidRDefault="00807FF8" w:rsidP="00807FF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="008E7F5B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ստաժ, կամ </w:t>
            </w:r>
            <w:r w:rsidR="008E7F5B">
              <w:rPr>
                <w:rFonts w:ascii="GHEA Grapalat" w:hAnsi="GHEA Grapalat"/>
                <w:sz w:val="24"/>
                <w:szCs w:val="24"/>
                <w:lang w:val="hy-AM"/>
              </w:rPr>
              <w:t>հինգ</w:t>
            </w: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մասնագիտական աշխատանքային ստաժ, կամ </w:t>
            </w:r>
            <w:r w:rsidR="008E7F5B" w:rsidRPr="008E7F5B">
              <w:rPr>
                <w:rFonts w:ascii="GHEA Grapalat" w:hAnsi="GHEA Grapalat"/>
                <w:sz w:val="24"/>
                <w:szCs w:val="24"/>
                <w:lang w:val="hy-AM"/>
              </w:rPr>
              <w:t>իրավունքի կամ միջազգային կապերի (հարաբերությունների)</w:t>
            </w:r>
            <w:r w:rsidRPr="00807FF8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բնագավառում՝ </w:t>
            </w:r>
            <w:r w:rsidR="008E7F5B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>հինգ</w:t>
            </w:r>
            <w:r w:rsidRPr="00807FF8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տարվա աշխատանքային</w:t>
            </w: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ստաժ։</w:t>
            </w:r>
          </w:p>
          <w:p w:rsidR="00807FF8" w:rsidRPr="00807FF8" w:rsidRDefault="00807FF8" w:rsidP="0075349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</w:t>
            </w:r>
            <w:r w:rsidRPr="00807FF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Անհրաժեշտ </w:t>
            </w:r>
            <w:proofErr w:type="spellStart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07FF8" w:rsidRPr="00807FF8" w:rsidRDefault="00807FF8" w:rsidP="0075349B">
            <w:pPr>
              <w:spacing w:after="0"/>
              <w:ind w:firstLine="70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Ընդհանրական </w:t>
            </w:r>
            <w:proofErr w:type="spellStart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՝</w:t>
            </w:r>
          </w:p>
          <w:p w:rsid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Առաջնորդու</w:t>
            </w: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</w:p>
          <w:p w:rsid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Ռազմավարական պլանավորում</w:t>
            </w:r>
          </w:p>
          <w:p w:rsid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Քաղաքականության վերլուծություն, </w:t>
            </w:r>
            <w:proofErr w:type="spellStart"/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մոնիթորինգ</w:t>
            </w:r>
            <w:proofErr w:type="spellEnd"/>
          </w:p>
          <w:p w:rsid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:rsidR="00807FF8" w:rsidRPr="00807FF8" w:rsidRDefault="00807FF8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07FF8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75349B" w:rsidRDefault="0075349B" w:rsidP="0075349B">
            <w:pPr>
              <w:pStyle w:val="ListParagraph"/>
              <w:spacing w:after="0"/>
              <w:ind w:left="0" w:firstLine="70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07FF8" w:rsidRPr="00807FF8" w:rsidRDefault="00807FF8" w:rsidP="0075349B">
            <w:pPr>
              <w:pStyle w:val="ListParagraph"/>
              <w:spacing w:after="0"/>
              <w:ind w:left="0" w:firstLine="70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807F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՝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5D7BEE" w:rsidRPr="00D7538B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753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FA2724" w:rsidRPr="00807FF8" w:rsidRDefault="005D7BEE" w:rsidP="0075349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D29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53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D753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նախապատրատում</w:t>
            </w:r>
            <w:proofErr w:type="spellEnd"/>
          </w:p>
        </w:tc>
      </w:tr>
    </w:tbl>
    <w:tbl>
      <w:tblPr>
        <w:tblpPr w:leftFromText="180" w:rightFromText="180" w:vertAnchor="text" w:horzAnchor="margin" w:tblpY="-61"/>
        <w:tblW w:w="95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C6472E" w:rsidRPr="005D29B4" w:rsidTr="00DD22D4">
        <w:trPr>
          <w:trHeight w:val="1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2E" w:rsidRPr="0075349B" w:rsidRDefault="00C6472E" w:rsidP="00DD22D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</w:t>
            </w:r>
            <w:r w:rsidRPr="0075349B"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 w:rsidRPr="0075349B"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75349B"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proofErr w:type="spellEnd"/>
            <w:r w:rsidRPr="0075349B"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C6472E" w:rsidRPr="0075349B" w:rsidRDefault="00C6472E" w:rsidP="00DD22D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t xml:space="preserve">4.1. </w:t>
            </w:r>
            <w:proofErr w:type="spellStart"/>
            <w:r w:rsidRPr="0075349B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proofErr w:type="spellEnd"/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75349B"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proofErr w:type="spellEnd"/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75349B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75349B"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proofErr w:type="spellEnd"/>
            <w:r w:rsidRPr="0075349B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75349B"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  <w:proofErr w:type="spellEnd"/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գործունեության ոլորտի և կառուցվածքային ստորաբաժանումների աշխատանքների համակարգման և վերահսկման համար:</w:t>
            </w:r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 գործունեության ոլորտի և կառուցվածքային ստորաբաժանումների մի մասի աշխատանքների կազմակերպման վերաբերյալ՝ պայմանավորված ռազմավարական խնդիրների լուծման կամ </w:t>
            </w:r>
            <w:proofErr w:type="spellStart"/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քաղաքականությունների</w:t>
            </w:r>
            <w:proofErr w:type="spellEnd"/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 համակարգման </w:t>
            </w:r>
            <w:proofErr w:type="spellStart"/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գործընթացներով</w:t>
            </w:r>
            <w:proofErr w:type="spellEnd"/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գործունեության ոլորտով պայմանավորված՝ համապետական մակարդակով քաղաքականության մշակման շրջանակներում ազդեցություն կամ տվյալ մարմնի գործունեության ոլորտով պայմանավորված՝ ունի այլ մարմինների գործունեության վրա ազդեցություն:</w:t>
            </w:r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:rsidR="00C6472E" w:rsidRPr="0075349B" w:rsidRDefault="00C6472E" w:rsidP="00DD22D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</w:t>
            </w:r>
            <w:proofErr w:type="spellStart"/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կազմակեպությունների</w:t>
            </w:r>
            <w:proofErr w:type="spellEnd"/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ներկայացուցիչների հետ՝ ներկայացնելով համապատասխան մարմինը:</w:t>
            </w:r>
          </w:p>
          <w:p w:rsidR="00C6472E" w:rsidRPr="0075349B" w:rsidRDefault="00C6472E" w:rsidP="00DD22D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75349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4.5. </w:t>
            </w:r>
            <w:r w:rsidRPr="0075349B">
              <w:rPr>
                <w:rFonts w:ascii="GHEA Grapalat" w:eastAsia="Sylfaen" w:hAnsi="GHEA Grapalat" w:cs="Sylfaen"/>
                <w:b/>
                <w:sz w:val="24"/>
                <w:lang w:val="hy-AM"/>
              </w:rPr>
              <w:t>Խնդիրների</w:t>
            </w:r>
            <w:r w:rsidRPr="0075349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5349B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բարդությունը</w:t>
            </w:r>
            <w:r w:rsidRPr="0075349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5349B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75349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5349B">
              <w:rPr>
                <w:rFonts w:ascii="GHEA Grapalat" w:eastAsia="Sylfaen" w:hAnsi="GHEA Grapalat" w:cs="Sylfaen"/>
                <w:b/>
                <w:sz w:val="24"/>
                <w:lang w:val="hy-AM"/>
              </w:rPr>
              <w:t>դրանց</w:t>
            </w:r>
            <w:r w:rsidRPr="0075349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5349B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լուծումը</w:t>
            </w:r>
          </w:p>
          <w:p w:rsidR="00C6472E" w:rsidRPr="005758FC" w:rsidRDefault="00C6472E" w:rsidP="00DD22D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5349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մարմնի գործունեության ոլորտի ռազմավարական և կազմակերպական նշանակության խնդիրները, դրանց տալիս է ստեղծագործական և այլընտրանքային լուծումներ:</w:t>
            </w:r>
          </w:p>
        </w:tc>
      </w:tr>
    </w:tbl>
    <w:p w:rsidR="006142C9" w:rsidRPr="00C6472E" w:rsidRDefault="006142C9">
      <w:bookmarkStart w:id="0" w:name="_GoBack"/>
      <w:bookmarkEnd w:id="0"/>
    </w:p>
    <w:sectPr w:rsidR="006142C9" w:rsidRPr="00C6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6C" w:rsidRDefault="00F9186C" w:rsidP="00C6472E">
      <w:pPr>
        <w:spacing w:after="0" w:line="240" w:lineRule="auto"/>
      </w:pPr>
      <w:r>
        <w:separator/>
      </w:r>
    </w:p>
  </w:endnote>
  <w:endnote w:type="continuationSeparator" w:id="0">
    <w:p w:rsidR="00F9186C" w:rsidRDefault="00F9186C" w:rsidP="00C6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6C" w:rsidRDefault="00F9186C" w:rsidP="00C6472E">
      <w:pPr>
        <w:spacing w:after="0" w:line="240" w:lineRule="auto"/>
      </w:pPr>
      <w:r>
        <w:separator/>
      </w:r>
    </w:p>
  </w:footnote>
  <w:footnote w:type="continuationSeparator" w:id="0">
    <w:p w:rsidR="00F9186C" w:rsidRDefault="00F9186C" w:rsidP="00C6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0BD4BD4"/>
    <w:multiLevelType w:val="hybridMultilevel"/>
    <w:tmpl w:val="A2AAD6A4"/>
    <w:lvl w:ilvl="0" w:tplc="04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45EB4"/>
    <w:rsid w:val="00075E17"/>
    <w:rsid w:val="0008799F"/>
    <w:rsid w:val="001A1FD7"/>
    <w:rsid w:val="00246EA7"/>
    <w:rsid w:val="002A6FF7"/>
    <w:rsid w:val="002D1F01"/>
    <w:rsid w:val="00381A72"/>
    <w:rsid w:val="003F3DE3"/>
    <w:rsid w:val="00457A33"/>
    <w:rsid w:val="004B2EF7"/>
    <w:rsid w:val="00546EC5"/>
    <w:rsid w:val="005758FC"/>
    <w:rsid w:val="005D29B4"/>
    <w:rsid w:val="005D7BEE"/>
    <w:rsid w:val="006142C9"/>
    <w:rsid w:val="0069339B"/>
    <w:rsid w:val="0075349B"/>
    <w:rsid w:val="0076521C"/>
    <w:rsid w:val="007F39FF"/>
    <w:rsid w:val="00807FF8"/>
    <w:rsid w:val="0082412D"/>
    <w:rsid w:val="008B08C8"/>
    <w:rsid w:val="008E79D5"/>
    <w:rsid w:val="008E7F5B"/>
    <w:rsid w:val="00952A90"/>
    <w:rsid w:val="00A476E9"/>
    <w:rsid w:val="00A66BEB"/>
    <w:rsid w:val="00AC1C26"/>
    <w:rsid w:val="00AE4A67"/>
    <w:rsid w:val="00AF353E"/>
    <w:rsid w:val="00BA3106"/>
    <w:rsid w:val="00C6472E"/>
    <w:rsid w:val="00C80554"/>
    <w:rsid w:val="00CE687F"/>
    <w:rsid w:val="00D77048"/>
    <w:rsid w:val="00DA404F"/>
    <w:rsid w:val="00DD22D4"/>
    <w:rsid w:val="00E67FE9"/>
    <w:rsid w:val="00EB0C42"/>
    <w:rsid w:val="00EF58F3"/>
    <w:rsid w:val="00F9186C"/>
    <w:rsid w:val="00F968A2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75FC"/>
  <w15:chartTrackingRefBased/>
  <w15:docId w15:val="{81B7B9C0-A259-407A-9328-DD120464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Lusine Mnacakanyan</cp:lastModifiedBy>
  <cp:revision>4</cp:revision>
  <dcterms:created xsi:type="dcterms:W3CDTF">2020-09-29T08:23:00Z</dcterms:created>
  <dcterms:modified xsi:type="dcterms:W3CDTF">2020-09-29T08:24:00Z</dcterms:modified>
</cp:coreProperties>
</file>