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486973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N </w:t>
      </w:r>
    </w:p>
    <w:p w:rsidR="001810A8" w:rsidRPr="004D059B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1810A8" w:rsidRPr="00E75382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0C373B" w:rsidRPr="0068752B" w:rsidRDefault="000C373B" w:rsidP="000C373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1810A8" w:rsidRDefault="001810A8" w:rsidP="001810A8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0C373B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C373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0C373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0C373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0C373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0C373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0C373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0C373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0C373B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0C373B" w:rsidRDefault="001810A8" w:rsidP="000C373B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0C373B">
        <w:rPr>
          <w:rFonts w:ascii="GHEA Grapalat" w:hAnsi="GHEA Grapalat"/>
          <w:b/>
          <w:lang w:val="hy-AM"/>
        </w:rPr>
        <w:t xml:space="preserve">ՎԱՐՉԱՊԵՏԻ ԱՇԽԱՏԱԿԱԶՄԻ ՄԱՐԴՈՒ ԻՐԱՎՈՒՆՔՆԵՐԻ ԵՎՐՈՊԱԿԱՆ ԴԱՏԱՐԱՆՈՒՄ ՀԱՅԱՍՏԱՆԻ ՀԱՆՐԱՊԵՏՈՒԹՅԱՆ ՆԵՐԿԱՅԱՑՈՒՑՉԻ ԳՐԱՍԵՆՅԱԿԻ </w:t>
      </w:r>
      <w:r w:rsidR="00201228" w:rsidRPr="000C373B">
        <w:rPr>
          <w:rFonts w:ascii="GHEA Grapalat" w:hAnsi="GHEA Grapalat"/>
          <w:b/>
          <w:lang w:val="hy-AM"/>
        </w:rPr>
        <w:t>ՎՃԻՌՆԵՐԻ ԵՎ ՈՐՈՇՈՒՄՆԵՐԻ</w:t>
      </w:r>
      <w:r w:rsidRPr="000C373B">
        <w:rPr>
          <w:rFonts w:ascii="GHEA Grapalat" w:hAnsi="GHEA Grapalat"/>
          <w:b/>
          <w:lang w:val="hy-AM"/>
        </w:rPr>
        <w:t xml:space="preserve"> ՎԱՐՉՈՒԹՅԱՆ </w:t>
      </w:r>
      <w:r w:rsidRPr="000C373B">
        <w:rPr>
          <w:rFonts w:ascii="GHEA Grapalat" w:hAnsi="GHEA Grapalat" w:cs="Sylfaen"/>
          <w:b/>
          <w:lang w:val="hy-AM"/>
        </w:rPr>
        <w:t>ԳԼԽԱՎՈՐ ՄԱՍՆԱԳԵՏ</w:t>
      </w:r>
      <w:r w:rsidR="004211F1" w:rsidRPr="00086896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C373B" w:rsidTr="00644BB4">
        <w:tc>
          <w:tcPr>
            <w:tcW w:w="10525" w:type="dxa"/>
            <w:hideMark/>
          </w:tcPr>
          <w:p w:rsidR="004211F1" w:rsidRPr="000C373B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0C373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0C373B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0C373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C373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0C373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C373B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201228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Մարդու իրավունքների </w:t>
            </w:r>
            <w:proofErr w:type="spellStart"/>
            <w:r w:rsidR="00201228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201228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(այսուհետ՝ </w:t>
            </w:r>
            <w:proofErr w:type="spellStart"/>
            <w:r w:rsidR="00201228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201228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դատարան) Հայաստանի Հանրապետության ներկայացուցչի (այսուհետ՝ Ներկայացուցիչ) գրասենյակի (այսուհետ՝ Ներկայացուցչի գրասենյակ) վճիռների և որոշումների կատարման վարչության </w:t>
            </w:r>
            <w:r w:rsidR="009D5A0F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Վարչություն) գլխավոր մասնագետ </w:t>
            </w:r>
            <w:r w:rsidR="00931F3A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Գլխավոր </w:t>
            </w:r>
            <w:r w:rsidR="008D0D6A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931F3A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9D5A0F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Գ31-2</w:t>
            </w:r>
            <w:r w:rsidR="00582E01" w:rsidRPr="000C373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="009D5A0F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  <w:r w:rsidR="00201228" w:rsidRPr="000C373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3</w:t>
            </w:r>
            <w:r w:rsidR="009D5A0F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146773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Մ1</w:t>
            </w: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363D95" w:rsidRPr="000C373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):</w:t>
            </w:r>
          </w:p>
          <w:p w:rsidR="00146773" w:rsidRPr="000C373B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0C373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C373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0C373B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0C373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B93AB9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0C37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0C373B" w:rsidRDefault="004211F1" w:rsidP="003E72DB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0C373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0C373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0C373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0C373B">
              <w:rPr>
                <w:rFonts w:ascii="GHEA Grapalat" w:hAnsi="GHEA Grapalat"/>
                <w:sz w:val="24"/>
                <w:lang w:val="hy-AM"/>
              </w:rPr>
              <w:t>հ</w:t>
            </w:r>
            <w:r w:rsidRPr="000C373B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0C373B">
              <w:rPr>
                <w:rFonts w:ascii="GHEA Grapalat" w:hAnsi="GHEA Grapalat"/>
                <w:sz w:val="24"/>
                <w:lang w:val="hy-AM"/>
              </w:rPr>
              <w:t>,</w:t>
            </w:r>
            <w:r w:rsidRPr="000C373B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0C373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0C373B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0C3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0C3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0C373B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0C373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Վարչությանը վերապահված բնագավառում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կատարմանն ուղղված աշխատանքները. 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համագործակացությանն</w:t>
            </w:r>
            <w:proofErr w:type="spellEnd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գրասենյակի գործառույթների իրականացմամբ ստեղծված և միջազգային կառույցներ ներկայացման ենթակա փաստաթղթերի </w:t>
            </w:r>
            <w:proofErr w:type="spellStart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փոխանցմանն</w:t>
            </w:r>
            <w:proofErr w:type="spellEnd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 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է Ներկայացուցչի գործունեության վերաբերյալ տարեկան հաշվետվության նախագծի մշակման աշխատանքները. 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կատարում է Վարչության պետի առաջադրանքները և հանձնարարականները.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դատարանի՝ Հայաստանի Հանրապետության վերաբերյալ վճռի կամ որոշման կատարումից բխող Ներկայացուցչի այլ լիազորությունների իրականացմանն ուղղված </w:t>
            </w:r>
            <w:proofErr w:type="spellStart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աշխատանքները:իրականացնում</w:t>
            </w:r>
            <w:proofErr w:type="spellEnd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դատարանում Հայաստանի Հանրապետության շահերի ներկայացման առնչությամբ Ներկայացուցչի այլ լիազորությունների իրականացմանն ուղղված աշխատանքները:</w:t>
            </w:r>
            <w:r w:rsidR="004211F1" w:rsidRPr="000C3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</w:p>
          <w:p w:rsidR="00201228" w:rsidRPr="000C373B" w:rsidRDefault="00201228" w:rsidP="00201228">
            <w:pPr>
              <w:tabs>
                <w:tab w:val="left" w:pos="851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0C373B" w:rsidRDefault="004211F1" w:rsidP="00201228">
            <w:pPr>
              <w:tabs>
                <w:tab w:val="left" w:pos="851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C373B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Վարչության պետին առաջարկելու գանգատ ներկայացրած կողմի հետ կազմակերպել բանակցություններ </w:t>
            </w:r>
            <w:proofErr w:type="spellStart"/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դատարանի՝ Հայաստանի Հանրապետության վերաբերյալ </w:t>
            </w:r>
            <w:proofErr w:type="spellStart"/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վճիռներից</w:t>
            </w:r>
            <w:proofErr w:type="spellEnd"/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որոշումներից բխող անհատական միջոցառումների մշակման և կատարման նպատակով.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 հանձնարարությամբ իրականացնելու քաղաքացիների ընդունելություն:</w:t>
            </w:r>
          </w:p>
          <w:p w:rsidR="00201228" w:rsidRPr="000C373B" w:rsidRDefault="00201228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0C373B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0C373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ուսումնասիրել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վճիռներով և որոշումներով արձանագրված խախտումները, վեր հանել և վերլուծել այդ խախտումների հնարավոր աղբյուրները.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կատարված ուսումնասիրությունների և վերլուծությունների արդյունքում Վարչության պետին ներկայացնել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հնարավոր ուղիների վերաբերյալ առաջարկներ.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մշտադիտարկել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ներպետական իրավասու մարմինների կողմից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ընթացքը և ըստ անհրաժեշտության ներկայացնել առաջարկություններ.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հիման վրա փոխհատուցման ենթակա գումարի վճարման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կազմակերպել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վճիռների, իսկ անհրաժեշտության դեպքում նաև որոշումների հայերեն թարգմանության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կազմակերպել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վճիռների, իսկ անհրաժեշտության դեպքում նաև որոշումների հայերեն թարգմանության հրապարակման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մշակել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հիման վրա Հայաստանի Հանրապետության օրենսդրության մեջ փոփոխություններ կատարելու, ինչպես նաև նոր իրավական ակտեր ընդունելու առաջարկներ կամ նախագծեր. 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մշակել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կատարման գործողությունների ծրագրերի և հաշվետվությունների նախագծեր.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վճիռների կամ որոշումների կատարման շրջանակներում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Եվրոպայի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խորհրդի Նախարարների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կոմիտեից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ստացված հարցումների կատարմանն ուղղված աշխատանքներ, այդ թվում՝ մշակել դրանց վերաբերյալ Հայաստանի Հանրապետության դիրքորոշման նախագիծը.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Ներկայացուցչի գրասենյակի գործառույթներով պայմանավորված իրականացնել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Եվրոպայի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խորհրդում Հայաստանի Հանրապետության մշտական ներկայացուցչության, ինչպես նաև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Եվրոպայի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խորհրդի համապատասխան ստորաբաժանումների հետ համագործակցությանն ուղղված աշխատանքներ.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նախագծերը. 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իրավասու մարմնի հարցման հիման վրա իրականացնել ազգային ռազմավարական փաստաթղթերի մշակման շրջանակներում համապատասխան դիտարկումների և առաջարկությունների նախագծման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իրավասու մարմնի հարցման հիման վրա իրականացնել միջազգային կազմակերպությունների՝ Հայաստանի Հանրապետությանն առնչվող փաստաթղթերի վերաբերյալ դիտարկումների և առաջարկությունների նախագծման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կազմակերպել </w:t>
            </w:r>
            <w:proofErr w:type="spellStart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դատարանում ՀՀ ներկայացուցչության պաշտոնական կայքի պահպանման աշխատանքները.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հանձնարարված յուրաքանչյուր գործով Վարչության պետին առաջարկել կատարման ժամանակացույց՝ հստակեցնելով նաև գործի կատարման համար անհրաժեշտ քայլերի հաջորդականությունը.</w:t>
            </w:r>
          </w:p>
          <w:p w:rsidR="00201228" w:rsidRPr="000C373B" w:rsidRDefault="00201228" w:rsidP="0020122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4211F1" w:rsidRPr="000C373B" w:rsidRDefault="00201228" w:rsidP="00201228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</w:tc>
      </w:tr>
      <w:tr w:rsidR="004211F1" w:rsidRPr="000C373B" w:rsidTr="000C373B">
        <w:trPr>
          <w:trHeight w:val="152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0C373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C373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0C373B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C373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Pr="000C373B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0C373B" w:rsidTr="005332C2">
              <w:tc>
                <w:tcPr>
                  <w:tcW w:w="778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0C373B" w:rsidTr="005332C2">
              <w:tc>
                <w:tcPr>
                  <w:tcW w:w="778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0C373B" w:rsidTr="005332C2">
              <w:tc>
                <w:tcPr>
                  <w:tcW w:w="778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9D5A0F" w:rsidRPr="000C373B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0C373B" w:rsidRDefault="00201228" w:rsidP="00644BB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7623"/>
            </w:tblGrid>
            <w:tr w:rsidR="00201228" w:rsidRPr="000C373B" w:rsidTr="00201228">
              <w:tc>
                <w:tcPr>
                  <w:tcW w:w="767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623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201228" w:rsidRPr="000C373B" w:rsidTr="00201228">
              <w:tc>
                <w:tcPr>
                  <w:tcW w:w="767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7623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և </w:t>
                  </w:r>
                  <w:proofErr w:type="spellStart"/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վարքաբանական</w:t>
                  </w:r>
                  <w:proofErr w:type="spellEnd"/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201228" w:rsidRPr="000C373B" w:rsidTr="00201228">
              <w:tc>
                <w:tcPr>
                  <w:tcW w:w="767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623" w:type="dxa"/>
                </w:tcPr>
                <w:p w:rsidR="00201228" w:rsidRPr="000C373B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Միջոլորտային</w:t>
                  </w:r>
                  <w:proofErr w:type="spellEnd"/>
                  <w:r w:rsidRPr="000C373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մասնագիտություններ</w:t>
                  </w:r>
                </w:p>
              </w:tc>
            </w:tr>
          </w:tbl>
          <w:p w:rsidR="00201228" w:rsidRPr="000C373B" w:rsidRDefault="00201228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0C373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C373B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0C373B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0C373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0C373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C373B">
              <w:rPr>
                <w:rFonts w:ascii="GHEA Grapalat" w:hAnsi="GHEA Grapalat"/>
                <w:b/>
                <w:lang w:val="hy-AM"/>
              </w:rPr>
              <w:t>3.3.</w:t>
            </w:r>
            <w:r w:rsidRPr="000C373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C373B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0C373B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0C373B">
              <w:rPr>
                <w:rFonts w:ascii="GHEA Grapalat" w:hAnsi="GHEA Grapalat"/>
                <w:lang w:val="hy-AM"/>
              </w:rPr>
              <w:t>երկու</w:t>
            </w:r>
            <w:r w:rsidRPr="000C373B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0C373B">
              <w:rPr>
                <w:rFonts w:ascii="GHEA Grapalat" w:hAnsi="GHEA Grapalat"/>
                <w:lang w:val="hy-AM"/>
              </w:rPr>
              <w:t>երեք</w:t>
            </w:r>
            <w:r w:rsidRPr="000C373B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0C373B" w:rsidRPr="000C373B">
              <w:rPr>
                <w:rFonts w:ascii="GHEA Grapalat" w:hAnsi="GHEA Grapalat"/>
                <w:lang w:val="hy-AM"/>
              </w:rPr>
              <w:t>իրավունքի կամ միջազգային կապերի (հարաբերությունների)</w:t>
            </w:r>
            <w:r w:rsidR="000C373B">
              <w:rPr>
                <w:rFonts w:ascii="GHEA Grapalat" w:hAnsi="GHEA Grapalat"/>
                <w:lang w:val="hy-AM"/>
              </w:rPr>
              <w:t xml:space="preserve"> </w:t>
            </w:r>
            <w:bookmarkStart w:id="0" w:name="_GoBack"/>
            <w:bookmarkEnd w:id="0"/>
            <w:r w:rsidRPr="000C373B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0C373B">
              <w:rPr>
                <w:rFonts w:ascii="GHEA Grapalat" w:hAnsi="GHEA Grapalat"/>
                <w:lang w:val="hy-AM"/>
              </w:rPr>
              <w:t>երեք</w:t>
            </w:r>
            <w:r w:rsidRPr="000C373B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0C373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0C373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C373B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0C373B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0C373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C373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0C373B">
              <w:rPr>
                <w:rFonts w:ascii="GHEA Grapalat" w:hAnsi="GHEA Grapalat"/>
              </w:rPr>
              <w:br/>
            </w:r>
            <w:r w:rsidRPr="000C373B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0C373B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0C373B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0C373B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0C373B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0C373B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0C373B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0C373B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0C373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0C373B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0C373B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0C3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0C3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C3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9D5A0F" w:rsidRPr="000C373B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D5A0F" w:rsidRPr="000C373B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D5A0F" w:rsidRPr="000C373B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Ժամանակի կառավարում</w:t>
            </w:r>
          </w:p>
          <w:p w:rsidR="009D5A0F" w:rsidRPr="000C373B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D5A0F" w:rsidRPr="000C373B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AF5EF5" w:rsidRPr="000C373B" w:rsidRDefault="009D5A0F" w:rsidP="00AF5EF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0C373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նախապատրատում</w:t>
            </w:r>
            <w:proofErr w:type="spellEnd"/>
          </w:p>
        </w:tc>
      </w:tr>
      <w:tr w:rsidR="004211F1" w:rsidRPr="000C373B" w:rsidTr="00644BB4">
        <w:tc>
          <w:tcPr>
            <w:tcW w:w="10525" w:type="dxa"/>
            <w:hideMark/>
          </w:tcPr>
          <w:p w:rsidR="004211F1" w:rsidRPr="000C373B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0C373B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0C373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</w:t>
            </w:r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անատու</w:t>
            </w:r>
            <w:proofErr w:type="spellEnd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  <w:r w:rsidR="002422F2"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2422F2" w:rsidRPr="000C373B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0C373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քննարկման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9B40DD" w:rsidRPr="000C373B" w:rsidRDefault="004211F1" w:rsidP="00106F5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06F5A" w:rsidRPr="000C373B" w:rsidRDefault="00106F5A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0C37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422F2" w:rsidRPr="000C373B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0C373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պատվիրակված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0C373B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7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0C373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</w:t>
            </w:r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B4686A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2422F2" w:rsidRPr="000C37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0C373B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0C373B" w:rsidRDefault="005C2122" w:rsidP="004211F1">
      <w:pPr>
        <w:rPr>
          <w:rFonts w:ascii="GHEA Grapalat" w:hAnsi="GHEA Grapalat"/>
          <w:lang w:val="hy-AM"/>
        </w:rPr>
      </w:pPr>
    </w:p>
    <w:sectPr w:rsidR="005C2122" w:rsidRPr="000C373B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4F67E2F"/>
    <w:multiLevelType w:val="hybridMultilevel"/>
    <w:tmpl w:val="D24A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6"/>
  </w:num>
  <w:num w:numId="5">
    <w:abstractNumId w:val="38"/>
  </w:num>
  <w:num w:numId="6">
    <w:abstractNumId w:val="14"/>
  </w:num>
  <w:num w:numId="7">
    <w:abstractNumId w:val="12"/>
  </w:num>
  <w:num w:numId="8">
    <w:abstractNumId w:val="36"/>
  </w:num>
  <w:num w:numId="9">
    <w:abstractNumId w:val="35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31"/>
  </w:num>
  <w:num w:numId="15">
    <w:abstractNumId w:val="21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1"/>
  </w:num>
  <w:num w:numId="22">
    <w:abstractNumId w:val="7"/>
  </w:num>
  <w:num w:numId="23">
    <w:abstractNumId w:val="17"/>
  </w:num>
  <w:num w:numId="24">
    <w:abstractNumId w:val="43"/>
  </w:num>
  <w:num w:numId="25">
    <w:abstractNumId w:val="27"/>
  </w:num>
  <w:num w:numId="26">
    <w:abstractNumId w:val="15"/>
  </w:num>
  <w:num w:numId="27">
    <w:abstractNumId w:val="33"/>
  </w:num>
  <w:num w:numId="28">
    <w:abstractNumId w:val="25"/>
  </w:num>
  <w:num w:numId="29">
    <w:abstractNumId w:val="18"/>
  </w:num>
  <w:num w:numId="30">
    <w:abstractNumId w:val="32"/>
  </w:num>
  <w:num w:numId="31">
    <w:abstractNumId w:val="22"/>
  </w:num>
  <w:num w:numId="32">
    <w:abstractNumId w:val="30"/>
  </w:num>
  <w:num w:numId="33">
    <w:abstractNumId w:val="42"/>
  </w:num>
  <w:num w:numId="34">
    <w:abstractNumId w:val="40"/>
  </w:num>
  <w:num w:numId="35">
    <w:abstractNumId w:val="28"/>
  </w:num>
  <w:num w:numId="36">
    <w:abstractNumId w:val="24"/>
  </w:num>
  <w:num w:numId="37">
    <w:abstractNumId w:val="1"/>
  </w:num>
  <w:num w:numId="38">
    <w:abstractNumId w:val="26"/>
  </w:num>
  <w:num w:numId="39">
    <w:abstractNumId w:val="20"/>
  </w:num>
  <w:num w:numId="40">
    <w:abstractNumId w:val="39"/>
  </w:num>
  <w:num w:numId="41">
    <w:abstractNumId w:val="2"/>
  </w:num>
  <w:num w:numId="42">
    <w:abstractNumId w:val="19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0C373B"/>
    <w:rsid w:val="00106F5A"/>
    <w:rsid w:val="00115C31"/>
    <w:rsid w:val="0013466A"/>
    <w:rsid w:val="00146773"/>
    <w:rsid w:val="00175146"/>
    <w:rsid w:val="001810A8"/>
    <w:rsid w:val="001B2862"/>
    <w:rsid w:val="001B5B3F"/>
    <w:rsid w:val="001D0A9A"/>
    <w:rsid w:val="00201228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3D95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82E01"/>
    <w:rsid w:val="005966B9"/>
    <w:rsid w:val="005A3330"/>
    <w:rsid w:val="005B4CF2"/>
    <w:rsid w:val="005C2122"/>
    <w:rsid w:val="005F6BAF"/>
    <w:rsid w:val="006357A2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85DD8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42491"/>
    <w:rsid w:val="009426F2"/>
    <w:rsid w:val="00960833"/>
    <w:rsid w:val="0099362F"/>
    <w:rsid w:val="00994576"/>
    <w:rsid w:val="00997B65"/>
    <w:rsid w:val="009B11AC"/>
    <w:rsid w:val="009B40DD"/>
    <w:rsid w:val="009D5A0F"/>
    <w:rsid w:val="009E07EE"/>
    <w:rsid w:val="00A44429"/>
    <w:rsid w:val="00A71D32"/>
    <w:rsid w:val="00A76CFF"/>
    <w:rsid w:val="00A83117"/>
    <w:rsid w:val="00AB211C"/>
    <w:rsid w:val="00AB66A4"/>
    <w:rsid w:val="00AD07C8"/>
    <w:rsid w:val="00AE64E9"/>
    <w:rsid w:val="00AF5EF5"/>
    <w:rsid w:val="00AF71B1"/>
    <w:rsid w:val="00B23B8C"/>
    <w:rsid w:val="00B4686A"/>
    <w:rsid w:val="00B566F9"/>
    <w:rsid w:val="00B93AB9"/>
    <w:rsid w:val="00BE3C76"/>
    <w:rsid w:val="00BF4C44"/>
    <w:rsid w:val="00C10573"/>
    <w:rsid w:val="00C11983"/>
    <w:rsid w:val="00CB723E"/>
    <w:rsid w:val="00D0595A"/>
    <w:rsid w:val="00D16A63"/>
    <w:rsid w:val="00D30503"/>
    <w:rsid w:val="00D91273"/>
    <w:rsid w:val="00D940CE"/>
    <w:rsid w:val="00DE4418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919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F6B9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A3DD-4F65-4F7A-B420-2AB1AFD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107</cp:revision>
  <cp:lastPrinted>2019-07-11T12:03:00Z</cp:lastPrinted>
  <dcterms:created xsi:type="dcterms:W3CDTF">2019-03-26T08:44:00Z</dcterms:created>
  <dcterms:modified xsi:type="dcterms:W3CDTF">2020-09-29T10:33:00Z</dcterms:modified>
</cp:coreProperties>
</file>