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455FA6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55FA6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55FA6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455FA6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95116E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95116E">
        <w:rPr>
          <w:rFonts w:ascii="GHEA Mariam" w:eastAsia="Times New Roman" w:hAnsi="GHEA Mariam" w:cs="Sylfaen"/>
          <w:sz w:val="16"/>
          <w:szCs w:val="16"/>
        </w:rPr>
        <w:t xml:space="preserve"> </w:t>
      </w:r>
      <w:r w:rsidR="004211F1" w:rsidRPr="00455FA6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455FA6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55FA6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455FA6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455FA6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55FA6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455FA6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455FA6">
        <w:rPr>
          <w:rFonts w:ascii="GHEA Mariam" w:eastAsia="Times New Roman" w:hAnsi="GHEA Mariam" w:cs="Sylfaen"/>
          <w:sz w:val="16"/>
          <w:szCs w:val="16"/>
        </w:rPr>
        <w:t>ի</w:t>
      </w:r>
    </w:p>
    <w:p w:rsidR="0095116E" w:rsidRPr="00A83EAD" w:rsidRDefault="0095116E" w:rsidP="0095116E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455FA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95116E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5116E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5116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116E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5116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116E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5116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116E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455FA6" w:rsidRDefault="006B5E91" w:rsidP="004211F1">
      <w:pPr>
        <w:pStyle w:val="BodyText"/>
        <w:rPr>
          <w:rFonts w:ascii="GHEA Mariam" w:hAnsi="GHEA Mariam"/>
          <w:b/>
          <w:sz w:val="28"/>
          <w:szCs w:val="28"/>
          <w:lang w:val="hy-AM"/>
        </w:rPr>
      </w:pPr>
    </w:p>
    <w:p w:rsidR="00D270D3" w:rsidRDefault="00FA0F3C" w:rsidP="0095116E">
      <w:pPr>
        <w:pStyle w:val="BodyText"/>
        <w:rPr>
          <w:rFonts w:ascii="GHEA Grapalat" w:hAnsi="GHEA Grapalat"/>
          <w:b/>
          <w:lang w:val="hy-AM"/>
        </w:rPr>
      </w:pPr>
      <w:r w:rsidRPr="00D270D3">
        <w:rPr>
          <w:rFonts w:ascii="GHEA Grapalat" w:hAnsi="GHEA Grapalat"/>
          <w:b/>
          <w:lang w:val="hy-AM"/>
        </w:rPr>
        <w:t xml:space="preserve">ՎԱՐՉԱՊԵՏԻ ԱՇԽԱՏԱԿԱԶՄԻ </w:t>
      </w:r>
      <w:r w:rsidR="008F476D" w:rsidRPr="00D270D3">
        <w:rPr>
          <w:rFonts w:ascii="GHEA Grapalat" w:hAnsi="GHEA Grapalat"/>
          <w:b/>
          <w:lang w:val="hy-AM"/>
        </w:rPr>
        <w:t xml:space="preserve">ԱՆՎՏԱՆԳՈՒԹՅԱՆ ԽՈՐՀՐԴԻ </w:t>
      </w:r>
      <w:r w:rsidR="004318E4" w:rsidRPr="00D270D3">
        <w:rPr>
          <w:rFonts w:ascii="GHEA Grapalat" w:hAnsi="GHEA Grapalat"/>
          <w:b/>
          <w:lang w:val="hy-AM"/>
        </w:rPr>
        <w:t xml:space="preserve"> ԳՐԱՍԵՆՅԱԿԻ </w:t>
      </w:r>
      <w:r w:rsidR="008F476D" w:rsidRPr="00D270D3">
        <w:rPr>
          <w:rFonts w:ascii="GHEA Grapalat" w:hAnsi="GHEA Grapalat"/>
          <w:b/>
          <w:lang w:val="hy-AM"/>
        </w:rPr>
        <w:t>ԱՆՎՏԱՆԳԱՅԻՆ ՔԱՂԱՔԱԿԱՆՈՒԹՅԱՆ ԵՎ ՀԻՄՆԱՐԱՐ ՓԱՍՏԱԹՂԹԵՐԻ</w:t>
      </w:r>
      <w:r w:rsidR="00D73DDC" w:rsidRPr="00D270D3">
        <w:rPr>
          <w:rFonts w:ascii="GHEA Grapalat" w:hAnsi="GHEA Grapalat"/>
          <w:b/>
          <w:lang w:val="hy-AM"/>
        </w:rPr>
        <w:t xml:space="preserve"> </w:t>
      </w:r>
      <w:r w:rsidR="004211F1" w:rsidRPr="00D270D3">
        <w:rPr>
          <w:rFonts w:ascii="GHEA Grapalat" w:hAnsi="GHEA Grapalat"/>
          <w:b/>
          <w:lang w:val="hy-AM"/>
        </w:rPr>
        <w:t xml:space="preserve">ՎԱՐՉՈՒԹՅԱՆ </w:t>
      </w:r>
      <w:r w:rsidR="00714B7E" w:rsidRPr="00D270D3">
        <w:rPr>
          <w:rFonts w:ascii="GHEA Grapalat" w:hAnsi="GHEA Grapalat"/>
          <w:b/>
          <w:lang w:val="hy-AM"/>
        </w:rPr>
        <w:t xml:space="preserve">ՌԱԶՄԱՎԱՐԱԿԱՆ ԱՌԱՋՆՈՐԴՈՂ ՓԱՍՏԱԹՂԹԵՐԻ ԵՎ </w:t>
      </w:r>
      <w:r w:rsidR="008F476D" w:rsidRPr="00D270D3">
        <w:rPr>
          <w:rFonts w:ascii="GHEA Grapalat" w:hAnsi="GHEA Grapalat"/>
          <w:b/>
          <w:lang w:val="hy-AM"/>
        </w:rPr>
        <w:t>ՔԱՂԱՔԱԿԱՆՈՒԹՅԱՆ</w:t>
      </w:r>
    </w:p>
    <w:p w:rsidR="004211F1" w:rsidRPr="00D270D3" w:rsidRDefault="008F476D" w:rsidP="0095116E">
      <w:pPr>
        <w:pStyle w:val="BodyText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D270D3">
        <w:rPr>
          <w:rFonts w:ascii="GHEA Grapalat" w:hAnsi="GHEA Grapalat"/>
          <w:b/>
          <w:lang w:val="hy-AM"/>
        </w:rPr>
        <w:t xml:space="preserve"> ԲԱԺՆԻ ՊԵՏ</w:t>
      </w:r>
      <w:r w:rsidR="004211F1" w:rsidRPr="00D270D3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55FA6" w:rsidTr="00644BB4">
        <w:tc>
          <w:tcPr>
            <w:tcW w:w="10525" w:type="dxa"/>
            <w:hideMark/>
          </w:tcPr>
          <w:p w:rsidR="004211F1" w:rsidRPr="0095116E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5116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DC62C7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9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proofErr w:type="spellStart"/>
            <w:r w:rsidR="004318E4" w:rsidRPr="0095116E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318E4" w:rsidRPr="0095116E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95116E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4318E4" w:rsidRPr="0095116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95116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95116E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95116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8F476D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D73DDC" w:rsidRPr="0095116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95116E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4318E4" w:rsidRPr="0095116E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318E4" w:rsidRPr="0095116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95116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95116E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95116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առաջնորդող</w:t>
            </w:r>
            <w:proofErr w:type="spellEnd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="00714B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GHEA Grapalat" w:hAnsi="GHEA Grapalat" w:cs="GHEA Grapalat"/>
                <w:sz w:val="24"/>
              </w:rPr>
              <w:t>բաժնի</w:t>
            </w:r>
            <w:proofErr w:type="spellEnd"/>
            <w:r w:rsidR="008F476D" w:rsidRPr="0095116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="008F476D" w:rsidRPr="0095116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(</w:t>
            </w:r>
            <w:r w:rsidR="008F476D" w:rsidRPr="00DC62C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այսուհետ` Բաժին</w:t>
            </w:r>
            <w:r w:rsidR="008F476D" w:rsidRPr="0095116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)</w:t>
            </w:r>
            <w:r w:rsidR="004318E4" w:rsidRPr="0095116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95116E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r w:rsidR="004318E4" w:rsidRPr="009511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11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4318E4" w:rsidRPr="0095116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2758CC" w:rsidRPr="00DC62C7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4A053E" w:rsidRPr="00DC62C7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8F476D" w:rsidRPr="00DC62C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A14FA4" w:rsidRPr="00DC62C7">
              <w:rPr>
                <w:rFonts w:ascii="GHEA Grapalat" w:hAnsi="GHEA Grapalat" w:cs="Sylfaen"/>
                <w:sz w:val="24"/>
                <w:szCs w:val="24"/>
              </w:rPr>
              <w:t>29.2-Ղ3-2</w:t>
            </w:r>
            <w:r w:rsidRPr="00DC62C7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95116E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9511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9511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511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95116E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95116E" w:rsidRDefault="00E82384" w:rsidP="00644BB4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95116E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95116E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9511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E82384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384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2F6D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մասնագետներից</w:t>
            </w:r>
            <w:r w:rsidR="00FA0F3C"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95116E" w:rsidRDefault="004211F1" w:rsidP="008D3EB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95116E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95116E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95116E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68108B" w:rsidRPr="0095116E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68108B" w:rsidRPr="0095116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68108B" w:rsidRPr="0095116E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68108B" w:rsidRPr="0095116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68108B" w:rsidRPr="0095116E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8108B" w:rsidRPr="0095116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68108B" w:rsidRPr="0095116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68108B" w:rsidRPr="0095116E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68108B" w:rsidRPr="0095116E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95116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5116E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511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511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95116E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95116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14B7E" w:rsidRPr="0095116E" w:rsidRDefault="00714B7E" w:rsidP="00714B7E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 w:hanging="284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պաշտպանության, անվտանգության ապահովման ռազմավարական և այլ փաստաթղթերի մշակումը.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պաշտպանության և անվտանգության հարցերին առնչվող իրավական ակտերի նախագծերի ուսումնասիրության ընթացքը, դրանց վերաբերյալ դիտողությունների և առաջարկությունների ներկայացումը.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անվտանգության սպառնալիքների վերաբերյալ տեղեկատվության հավաքագրումը, ամփոփումը, գնահատումը, վերլուծությունը, առաջարկությունների ներկայացումը ու դրանց </w:t>
            </w:r>
            <w:proofErr w:type="spellStart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հակազդմանն</w:t>
            </w:r>
            <w:proofErr w:type="spellEnd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ուղղված քաղաքականության մշակման աշխատանքները.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lastRenderedPageBreak/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անվտանգության խորհրդի (այսուհետ՝ Խորհուրդ) որոշումների կատարման </w:t>
            </w:r>
            <w:proofErr w:type="spellStart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դրանց կատարման վերաբերյալ հաշվետվություններ կազմելու ընթացքը.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ազգային անվտանգության ռազմավարությամբ նախանշված ծրագրերի և ոլորտային այլ </w:t>
            </w:r>
            <w:proofErr w:type="spellStart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իրականացման ընթացքի վերաբերյալ տեղեկատվության ամփոփումը, </w:t>
            </w:r>
            <w:proofErr w:type="spellStart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կատարվող աշխատանքների արդյունավետության գնահատումը.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անվտանգության իրականացմանն ուղղված պետական մարմինների գործունեության վերլուծությունը և արդյունավետության բարձրացման վերաբերյալ առաջարկությունների մշակումը.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պաշտպանության</w:t>
            </w:r>
            <w:r w:rsidRPr="0095116E">
              <w:rPr>
                <w:rFonts w:ascii="GHEA Grapalat" w:eastAsia="Calibri" w:hAnsi="GHEA Grapalat"/>
                <w:sz w:val="24"/>
                <w:szCs w:val="21"/>
                <w:lang w:val="hy-AM"/>
              </w:rPr>
              <w:t xml:space="preserve"> և անվտանգության ապահովման հարցերով Խորհրդի նիստերի համար անհրաժեշտ նյութերի 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հավաքագրման,</w:t>
            </w:r>
            <w:r w:rsidRPr="0095116E">
              <w:rPr>
                <w:rFonts w:ascii="GHEA Grapalat" w:eastAsia="Calibri" w:hAnsi="GHEA Grapalat"/>
                <w:sz w:val="24"/>
                <w:szCs w:val="21"/>
                <w:lang w:val="hy-AM"/>
              </w:rPr>
              <w:t xml:space="preserve"> մշակման և նախապատրաստման աշխատանքները, 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նաև Խորհրդի  գործունեության տարեկան ծրագրում ներառվող հարցերի վերաբերյալ առաջարկությունների ներկայացումը.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ՀՀ պաշտպանության և</w:t>
            </w:r>
            <w:r w:rsidRPr="0095116E">
              <w:rPr>
                <w:rFonts w:ascii="GHEA Grapalat" w:eastAsia="Calibri" w:hAnsi="GHEA Grapalat"/>
                <w:sz w:val="24"/>
                <w:szCs w:val="21"/>
                <w:lang w:val="hy-AM"/>
              </w:rPr>
              <w:t xml:space="preserve"> անվտանգության </w:t>
            </w: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ապահովման հարցերի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714B7E" w:rsidRPr="0095116E" w:rsidRDefault="00714B7E" w:rsidP="00714B7E">
            <w:pPr>
              <w:numPr>
                <w:ilvl w:val="1"/>
                <w:numId w:val="7"/>
              </w:num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համակարգում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(կազմակերպում) է 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714B7E" w:rsidRPr="0095116E" w:rsidRDefault="00714B7E" w:rsidP="00714B7E">
            <w:pPr>
              <w:shd w:val="clear" w:color="auto" w:fill="FFFFFF"/>
              <w:spacing w:line="276" w:lineRule="auto"/>
              <w:ind w:left="993"/>
              <w:jc w:val="both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</w:p>
          <w:p w:rsidR="008D3EBD" w:rsidRPr="0095116E" w:rsidRDefault="008D3EBD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</w:t>
            </w:r>
            <w:r w:rsidR="004211F1" w:rsidRPr="0095116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համապատասխան մարմիններից պահանջել և ստանալ ՀՀ պաշտպանության և անվտանգության հարցերին առնչվող անհրաժեշտ փաստաթղթեր, նյութեր և այլ տեղեկատվություն.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ՀՀ անվտանգության սպառնալիքների գնահատում իրականացնելու համար գործադիր իշխանության մարմիններից հավաքագրել անհրաժեշտ տեղեկատվություն.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ազգային անվտանգության ռազմավարությամբ նախանշված ծրագրերի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իրականացնելու համար սահմանված պարբերականությամբ պատասխանատու գերատեսչություն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ներից ստանալ հաշվետվություններ և 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անհրաժեշտ այլ տեղեկատվություն.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 հետ կազմակերպել աշխատանքային հանդիպումներ.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 ներկայացուցիչների, գիտական </w:t>
            </w:r>
            <w:proofErr w:type="spellStart"/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կազմակերպել առաջադրված խնդիրների լուծման շուրջ մասնագիտական քննարկումներ.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առաջարկություններ:</w:t>
            </w:r>
          </w:p>
          <w:p w:rsidR="007A41FA" w:rsidRPr="0095116E" w:rsidRDefault="007A41FA" w:rsidP="007A41FA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95116E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95116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14B7E" w:rsidRPr="0095116E" w:rsidRDefault="00714B7E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պաշտպանության և անվտանգության հարցերին առնչվող 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փաստաթղթերը, նյութերը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ներկայացնել համապատասխան առաջարկություններ.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ուսումնասիրել, վերլուծել և գնահատել գործադիր իշխանության մարմիններից ՀՀ անվտանգության սպառնալիքների վերաբերյալ ստացված տեղեկատվությունը 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 ներկայացնել համապատասխան առաջարկություններ.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մշտադիտարկել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5116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Խորհրդի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որոշումների, </w:t>
            </w:r>
            <w:r w:rsidRPr="009511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ազգային անվտանգության ռազմավարությամբ նախանշված ծրագրերի կատարման ընթացքը. 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ապահովել մասնակցություն աշխատանքային խմբերի գործունեությանը.</w:t>
            </w:r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պաշտպանության և  անվտանգության </w:t>
            </w:r>
            <w:r w:rsidRPr="0095116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 առաջարկություններ.</w:t>
            </w:r>
          </w:p>
          <w:p w:rsidR="004211F1" w:rsidRPr="0095116E" w:rsidRDefault="00714B7E" w:rsidP="00714B7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ներկայացնել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անհրաժեշտ նյութեր և տեղեկատվություն</w:t>
            </w:r>
            <w:r w:rsidRPr="0095116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ՀՀ պաշտպանության և</w:t>
            </w:r>
            <w:r w:rsidRPr="0095116E">
              <w:rPr>
                <w:rFonts w:ascii="GHEA Grapalat" w:hAnsi="GHEA Grapalat"/>
                <w:sz w:val="24"/>
                <w:szCs w:val="21"/>
                <w:lang w:val="hy-AM"/>
              </w:rPr>
              <w:t xml:space="preserve"> անվտանգության </w:t>
            </w: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>ապահովման հարցերի վերաբերյալ Խորհրդի քարտուղարի խորհրդակցությունների, նիստերի և հանդիպումների համար</w:t>
            </w:r>
            <w:r w:rsidRPr="0095116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7A41FA" w:rsidRPr="0095116E" w:rsidRDefault="00714B7E" w:rsidP="00714B7E">
            <w:pPr>
              <w:pStyle w:val="ListParagraph"/>
              <w:shd w:val="clear" w:color="auto" w:fill="FFFFFF"/>
              <w:tabs>
                <w:tab w:val="left" w:pos="2685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  <w:tr w:rsidR="004211F1" w:rsidRPr="00455FA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5116E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5116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95116E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511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95116E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5116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95116E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95116E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5116E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95116E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95116E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5116E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5116E">
              <w:rPr>
                <w:rFonts w:ascii="GHEA Grapalat" w:hAnsi="GHEA Grapalat"/>
                <w:b/>
                <w:lang w:val="hy-AM"/>
              </w:rPr>
              <w:t>3.3.</w:t>
            </w:r>
            <w:r w:rsidRPr="0095116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5116E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95116E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C108BB" w:rsidRPr="0095116E">
              <w:rPr>
                <w:rFonts w:ascii="GHEA Grapalat" w:hAnsi="GHEA Grapalat"/>
                <w:lang w:val="hy-AM"/>
              </w:rPr>
              <w:t xml:space="preserve">երեք </w:t>
            </w:r>
            <w:r w:rsidRPr="0095116E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03693">
              <w:rPr>
                <w:rFonts w:ascii="GHEA Grapalat" w:hAnsi="GHEA Grapalat"/>
                <w:lang w:val="hy-AM"/>
              </w:rPr>
              <w:t>չորս</w:t>
            </w:r>
            <w:r w:rsidRPr="0095116E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803693" w:rsidRPr="00803693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803693" w:rsidRPr="00803693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803693" w:rsidRPr="00803693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803693">
              <w:rPr>
                <w:rFonts w:ascii="GHEA Grapalat" w:hAnsi="GHEA Grapalat"/>
                <w:lang w:val="hy-AM"/>
              </w:rPr>
              <w:t xml:space="preserve"> չորս</w:t>
            </w:r>
            <w:r w:rsidR="00C108BB" w:rsidRPr="0095116E">
              <w:rPr>
                <w:rFonts w:ascii="GHEA Grapalat" w:hAnsi="GHEA Grapalat"/>
                <w:lang w:val="hy-AM"/>
              </w:rPr>
              <w:t xml:space="preserve"> </w:t>
            </w:r>
            <w:r w:rsidRPr="0095116E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95116E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5116E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5116E">
              <w:rPr>
                <w:rFonts w:ascii="GHEA Grapalat" w:hAnsi="GHEA Grapalat"/>
                <w:b/>
              </w:rPr>
              <w:lastRenderedPageBreak/>
              <w:t xml:space="preserve">3.4. </w:t>
            </w:r>
            <w:proofErr w:type="spellStart"/>
            <w:r w:rsidRPr="0095116E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9511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95116E">
              <w:rPr>
                <w:rFonts w:ascii="GHEA Grapalat" w:hAnsi="GHEA Grapalat"/>
              </w:rPr>
              <w:br/>
            </w:r>
            <w:r w:rsidRPr="0095116E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95116E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95116E" w:rsidRDefault="00BC0C1C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="004211F1" w:rsidRPr="0095116E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  <w:proofErr w:type="spellEnd"/>
          </w:p>
          <w:p w:rsidR="004211F1" w:rsidRPr="0095116E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4211F1" w:rsidRPr="0095116E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4211F1" w:rsidRPr="0095116E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95116E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211F1" w:rsidRDefault="004211F1" w:rsidP="008D3EBD">
            <w:pPr>
              <w:pStyle w:val="ListParagraph"/>
              <w:numPr>
                <w:ilvl w:val="0"/>
                <w:numId w:val="2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116E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9511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511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5116E" w:rsidRPr="0095116E" w:rsidRDefault="0095116E" w:rsidP="0095116E">
            <w:pPr>
              <w:pStyle w:val="ListParagraph"/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95116E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511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511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արտակարգ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իրավիճակներում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14B7E" w:rsidRPr="0095116E" w:rsidRDefault="00714B7E" w:rsidP="00714B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85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14B7E" w:rsidRPr="0095116E" w:rsidRDefault="00714B7E" w:rsidP="00714B7E">
            <w:pPr>
              <w:pStyle w:val="ListParagraph"/>
              <w:shd w:val="clear" w:color="auto" w:fill="FFFFFF"/>
              <w:spacing w:line="276" w:lineRule="auto"/>
              <w:ind w:left="426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455FA6" w:rsidTr="00644BB4">
        <w:tc>
          <w:tcPr>
            <w:tcW w:w="10525" w:type="dxa"/>
            <w:hideMark/>
          </w:tcPr>
          <w:p w:rsidR="004211F1" w:rsidRPr="0095116E" w:rsidRDefault="004211F1" w:rsidP="00951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7D26" w:rsidRPr="0095116E" w:rsidRDefault="004211F1" w:rsidP="0095116E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քանի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77D26" w:rsidRPr="0095116E" w:rsidRDefault="00777D26" w:rsidP="005109CE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AA2F23" w:rsidRPr="0095116E" w:rsidRDefault="004211F1" w:rsidP="005109CE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F23" w:rsidRPr="0095116E" w:rsidRDefault="00777D26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2F23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A2F23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5109CE" w:rsidRPr="0095116E" w:rsidRDefault="005109CE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B40DD" w:rsidRPr="0095116E" w:rsidRDefault="004211F1" w:rsidP="005109CE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777D26" w:rsidRPr="0095116E" w:rsidRDefault="00777D26" w:rsidP="00777D26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սահմանափակվում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մակարդակով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ոլորտով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մասով</w:t>
            </w:r>
            <w:proofErr w:type="spellEnd"/>
            <w:r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777D26" w:rsidRPr="0095116E" w:rsidRDefault="004211F1" w:rsidP="00777D2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կազմակեպությունների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ներկայացնելով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ստորաբաժանումը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մարմինը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95116E" w:rsidRDefault="004211F1" w:rsidP="00777D2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4.5.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16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511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5109CE" w:rsidRPr="009511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455FA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55FA6" w:rsidRDefault="005C2122" w:rsidP="004211F1">
      <w:pPr>
        <w:rPr>
          <w:rFonts w:ascii="GHEA Mariam" w:hAnsi="GHEA Mariam"/>
          <w:lang w:val="hy-AM"/>
        </w:rPr>
      </w:pPr>
    </w:p>
    <w:sectPr w:rsidR="005C2122" w:rsidRPr="00455FA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1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905"/>
    <w:rsid w:val="00087A0D"/>
    <w:rsid w:val="000C00D9"/>
    <w:rsid w:val="000D095B"/>
    <w:rsid w:val="00115C31"/>
    <w:rsid w:val="0013466A"/>
    <w:rsid w:val="00150D7E"/>
    <w:rsid w:val="00175146"/>
    <w:rsid w:val="001B5B3F"/>
    <w:rsid w:val="001B6934"/>
    <w:rsid w:val="001D0A9A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421071"/>
    <w:rsid w:val="004211F1"/>
    <w:rsid w:val="004318E4"/>
    <w:rsid w:val="004320F9"/>
    <w:rsid w:val="00455FA6"/>
    <w:rsid w:val="00484A6B"/>
    <w:rsid w:val="00486973"/>
    <w:rsid w:val="00493E35"/>
    <w:rsid w:val="004A053E"/>
    <w:rsid w:val="004A164D"/>
    <w:rsid w:val="004B135D"/>
    <w:rsid w:val="004B351C"/>
    <w:rsid w:val="004B536D"/>
    <w:rsid w:val="004D059B"/>
    <w:rsid w:val="005109CE"/>
    <w:rsid w:val="00550B44"/>
    <w:rsid w:val="0055221E"/>
    <w:rsid w:val="005966B9"/>
    <w:rsid w:val="005A3330"/>
    <w:rsid w:val="005B2F6D"/>
    <w:rsid w:val="005B4CF2"/>
    <w:rsid w:val="005C2122"/>
    <w:rsid w:val="005F6BAF"/>
    <w:rsid w:val="00664AE6"/>
    <w:rsid w:val="0068108B"/>
    <w:rsid w:val="0068752B"/>
    <w:rsid w:val="006879B2"/>
    <w:rsid w:val="006B5E91"/>
    <w:rsid w:val="006D3EBC"/>
    <w:rsid w:val="006F1847"/>
    <w:rsid w:val="00705C46"/>
    <w:rsid w:val="00714B7E"/>
    <w:rsid w:val="00715297"/>
    <w:rsid w:val="007166E1"/>
    <w:rsid w:val="007265AB"/>
    <w:rsid w:val="007356A3"/>
    <w:rsid w:val="007669D5"/>
    <w:rsid w:val="00773FA4"/>
    <w:rsid w:val="007771EF"/>
    <w:rsid w:val="00777D26"/>
    <w:rsid w:val="007A41FA"/>
    <w:rsid w:val="007B2532"/>
    <w:rsid w:val="00803693"/>
    <w:rsid w:val="00807481"/>
    <w:rsid w:val="008327BA"/>
    <w:rsid w:val="008412D1"/>
    <w:rsid w:val="0085023C"/>
    <w:rsid w:val="008777D2"/>
    <w:rsid w:val="008B11B7"/>
    <w:rsid w:val="008B1D2E"/>
    <w:rsid w:val="008B5709"/>
    <w:rsid w:val="008B7909"/>
    <w:rsid w:val="008D3EBD"/>
    <w:rsid w:val="008F476D"/>
    <w:rsid w:val="00906D21"/>
    <w:rsid w:val="0091068B"/>
    <w:rsid w:val="009107CC"/>
    <w:rsid w:val="00922B6B"/>
    <w:rsid w:val="00930CBE"/>
    <w:rsid w:val="0095116E"/>
    <w:rsid w:val="00960833"/>
    <w:rsid w:val="0099362F"/>
    <w:rsid w:val="00997B65"/>
    <w:rsid w:val="009B11AC"/>
    <w:rsid w:val="009B40DD"/>
    <w:rsid w:val="009E7398"/>
    <w:rsid w:val="00A14FA4"/>
    <w:rsid w:val="00A152FA"/>
    <w:rsid w:val="00A3579F"/>
    <w:rsid w:val="00A410B6"/>
    <w:rsid w:val="00A41E60"/>
    <w:rsid w:val="00A44429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92CB1"/>
    <w:rsid w:val="00BC0C1C"/>
    <w:rsid w:val="00BE3C76"/>
    <w:rsid w:val="00BF4C44"/>
    <w:rsid w:val="00C03285"/>
    <w:rsid w:val="00C10573"/>
    <w:rsid w:val="00C108BB"/>
    <w:rsid w:val="00C11983"/>
    <w:rsid w:val="00CB723E"/>
    <w:rsid w:val="00D0595A"/>
    <w:rsid w:val="00D16A63"/>
    <w:rsid w:val="00D270D3"/>
    <w:rsid w:val="00D30503"/>
    <w:rsid w:val="00D62391"/>
    <w:rsid w:val="00D73DDC"/>
    <w:rsid w:val="00D91273"/>
    <w:rsid w:val="00D940CE"/>
    <w:rsid w:val="00DC62C7"/>
    <w:rsid w:val="00DE4418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879B"/>
  <w15:docId w15:val="{70847274-FF05-4CE5-9015-C934541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F743-4997-4631-B519-77910B0C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129</cp:revision>
  <cp:lastPrinted>2019-07-11T12:03:00Z</cp:lastPrinted>
  <dcterms:created xsi:type="dcterms:W3CDTF">2019-03-26T08:44:00Z</dcterms:created>
  <dcterms:modified xsi:type="dcterms:W3CDTF">2020-09-29T13:45:00Z</dcterms:modified>
</cp:coreProperties>
</file>