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B" w:rsidRPr="00BE326B" w:rsidRDefault="00BE326B" w:rsidP="00C120EE">
      <w:pPr>
        <w:pStyle w:val="ListParagraph"/>
        <w:spacing w:after="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ՊԱՀԱՆՋՆԵՐ</w:t>
      </w:r>
    </w:p>
    <w:p w:rsidR="00BE326B" w:rsidRPr="00BE326B" w:rsidRDefault="00BE326B" w:rsidP="00C120EE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BE326B">
        <w:rPr>
          <w:rFonts w:ascii="GHEA Grapalat" w:hAnsi="GHEA Grapalat"/>
          <w:b/>
          <w:sz w:val="24"/>
          <w:lang w:val="hy-AM"/>
        </w:rPr>
        <w:t xml:space="preserve">ԵՎՐԱՍԻԱԿԱՆ ՏՆՏԵՍԱԿԱՆ ՄԻՈՒԹՅԱՆ ՇՐՋԱՆԱԿՆԵՐՈՒՄ ՆՈՒՅՆԱԿԱՆԱՑՄԱՆ ՄԻՋՈՑՆԵՐՈՎ ԱՊՐԱՆՔՆԵՐԻ ԴՐՈՇՄԱՎՈՐՄԱՆ ԱԶԳԱՅԻՆ ՕՊԵՐԱՏՈՐԻ ԿՈՂՄԻՑ ՄՇԱԿՎՈՂ ԷԼԵԿՏՐՈՆԱՅԻՆ ԿԱՌԱՎԱՐՄԱՆ ՀԱՄԱԿԱՐԳԻՆ ՆԵՐԿԱՅԱՑՎՈՂ </w:t>
      </w:r>
    </w:p>
    <w:p w:rsidR="00BE326B" w:rsidRPr="00673F60" w:rsidRDefault="00BE326B" w:rsidP="00BE326B">
      <w:pPr>
        <w:spacing w:line="276" w:lineRule="auto"/>
        <w:ind w:left="63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cr/>
      </w:r>
    </w:p>
    <w:p w:rsidR="00BE326B" w:rsidRPr="00D05BF0" w:rsidRDefault="00BE326B" w:rsidP="00D05B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Էլեկտրոնային կառավարման համակ</w:t>
      </w:r>
      <w:bookmarkStart w:id="0" w:name="_GoBack"/>
      <w:bookmarkEnd w:id="0"/>
      <w:r w:rsidRPr="00D05BF0">
        <w:rPr>
          <w:rFonts w:ascii="GHEA Grapalat" w:hAnsi="GHEA Grapalat"/>
          <w:sz w:val="24"/>
          <w:lang w:val="hy-AM"/>
        </w:rPr>
        <w:t>արգը (այսուհետ` Համակարգ) պետք է ապահովի Եվրասիական տնտեսական հանձնաժողովի խորհրդի 2019 թվականի օգոստոսի 8-ի N 72 որոշմամբ նախատեսված պահանջների իրականացումը, ինչպես նաև բավարարարի ստորև ներկայացված պահանջներին.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մակնշման ենթակա յուրաքանչյուր միավոր ապրանքի ունիկալ նույնականացում` կոդերի տրամադրման միջոցով: Համակարգը պետք է թույլ չտա կոդի կրկնակի գեներացում և տրամադրում,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 xml:space="preserve">նույնականացման միջոցների պաշտպանություն Եվրասիական տնտեսական միության շրջանակներում ընդունված անվտանգության պահանջներին համապատասխան, 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համակարգը պետք է ապահովի նույնականացման միջոցների հաշվառում, ինչպես նաև դրանց կարգավիճակի փոփոխություն,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«Եվրասիական տնտեսական միությունում նույնականացման միջոցներով ապրանքների դրոշմավորման մասին» համաձայնագրի 5-րդ հոդվածի 4-րդ կետով սահմանված լիազոր մարմինը պետք է ունենա Համակարգին ամբողջական հասանելիություն` Եվրասիական տնտեսական միության օրենսդրությամբ սահմանված հսկողական գործառույթներն իրականացնելու նպատակով,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Համակարգը պետք է ապահովի մակնշման ենթակա ապրանքների շրջանառության մասնակիցների գրանցում և հաշվառում,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անհրաժեշտ է ապահովել մակնշման ենթակա ապրանքների շրջանառության մասնակիցներին Համակարգում «անձնական գրասենյակին» հասանելիություն` սահմանված տեղեկատվության տրամադրումն իրականացնելու նպատակով,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lastRenderedPageBreak/>
        <w:t>Համակարգը պետք է ապահովի այլ երկրների ազգային օպերատորների հետ միջսահմանային տեղեկատվության փոխանակում ինտեգրացված տեղեկատվական համակարգի միջոցով` Եվրասիական տնտեսական միության անդամ-պետությունների միջև ապրանքների տեղափոխման վերաբերյալ,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 xml:space="preserve">Համակարգը պետք է հնարավորություն ունենա ինտեգրվելու լիազոր մարմնի տեղեկատվական համակարգի </w:t>
      </w:r>
      <w:r w:rsidR="00D05BF0">
        <w:rPr>
          <w:rFonts w:ascii="GHEA Grapalat" w:hAnsi="GHEA Grapalat"/>
          <w:sz w:val="24"/>
          <w:lang w:val="hy-AM"/>
        </w:rPr>
        <w:t>հետ,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 xml:space="preserve">Համակարգը պետք է ապահովի հաշվետվությունների և վերլուծական գործիքակազմի առկայություն` </w:t>
      </w:r>
      <w:r w:rsidR="00D05BF0" w:rsidRPr="00D05BF0">
        <w:rPr>
          <w:rFonts w:ascii="GHEA Grapalat" w:hAnsi="GHEA Grapalat"/>
          <w:sz w:val="24"/>
          <w:lang w:val="hy-AM"/>
        </w:rPr>
        <w:t>լիազոր մարմնին</w:t>
      </w:r>
      <w:r w:rsidRPr="00D05BF0">
        <w:rPr>
          <w:rFonts w:ascii="GHEA Grapalat" w:hAnsi="GHEA Grapalat"/>
          <w:sz w:val="24"/>
          <w:lang w:val="hy-AM"/>
        </w:rPr>
        <w:t xml:space="preserve"> ըստ անհրաժեշտության անվճար տեղեկատվություն տրամադրելու նպատակով,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 xml:space="preserve">Համակարգը պետք է աշխատի 24/7 ռեժիմով, 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Համակարգի տարեկան անսարք վիճակում լինելու ժամանակը պետք է լինի 24 ժամից պակաս: Սպասարկման և թարմեցումների նպատակով համակարգի անջատումները պետք է լինեն պլանային և համաձայնեցված լիազոր մարմնի համապատասխան աշխատակիցների հետ,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Համակարգի վթարային անջատումները չեն կարող գերազանցել 4 ժամը, եթե պատճառը անսարք սարքավորման փոխանակման նպատակով նոր սարքավորման բացակայությունը չէ,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</w:t>
      </w:r>
      <w:r w:rsidR="00D05BF0">
        <w:rPr>
          <w:rFonts w:ascii="GHEA Grapalat" w:hAnsi="GHEA Grapalat"/>
          <w:sz w:val="24"/>
          <w:lang w:val="hy-AM"/>
        </w:rPr>
        <w:t>ի</w:t>
      </w:r>
      <w:r w:rsidRPr="00D05BF0">
        <w:rPr>
          <w:rFonts w:ascii="GHEA Grapalat" w:hAnsi="GHEA Grapalat"/>
          <w:sz w:val="24"/>
          <w:lang w:val="hy-AM"/>
        </w:rPr>
        <w:t xml:space="preserve"> միջերեսը (interface) պետք է լինի հայերեն և ռուսերեն,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Համակարգում պետք է հնարավոր լինի տվյալները մուտքագրել երկու լեզվով՝ հայերեն և ռուսերեն,</w:t>
      </w:r>
    </w:p>
    <w:p w:rsidR="00BE326B" w:rsidRPr="00D05BF0" w:rsidRDefault="00D05BF0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Համակարգը պետք է ապահովի անխափան աշխատանք </w:t>
      </w:r>
      <w:r w:rsidR="00BE326B" w:rsidRPr="00D05BF0">
        <w:rPr>
          <w:rFonts w:ascii="GHEA Grapalat" w:hAnsi="GHEA Grapalat"/>
          <w:sz w:val="24"/>
          <w:lang w:val="hy-AM"/>
        </w:rPr>
        <w:t xml:space="preserve">միաժամանակ 500 ակտիվ օգտվողների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 w:rsidR="00BE326B" w:rsidRPr="00D05BF0">
        <w:rPr>
          <w:rFonts w:ascii="GHEA Grapalat" w:hAnsi="GHEA Grapalat"/>
          <w:sz w:val="24"/>
          <w:szCs w:val="24"/>
          <w:lang w:val="hy-AM"/>
        </w:rPr>
        <w:t>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5BF0">
        <w:rPr>
          <w:rFonts w:ascii="GHEA Grapalat" w:hAnsi="GHEA Grapalat"/>
          <w:sz w:val="24"/>
          <w:szCs w:val="24"/>
          <w:lang w:val="hy-AM"/>
        </w:rPr>
        <w:t>Համակարգում պետք է իրականացվեն մուտքի թույլատրման անհարժեշտ միջոցառումներ, որոնք ապահովելու են մուտքը միայն վավերացված օգտվողների համար: Մուտքի իրավունքները պետք է հիմնված լինեն հստակ դերերի և դրանցից յուրաքանչյուրի համար սահմանված լիազորությունների շրջանակներում,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5BF0">
        <w:rPr>
          <w:rFonts w:ascii="GHEA Grapalat" w:hAnsi="GHEA Grapalat" w:cs="Sylfaen"/>
          <w:sz w:val="24"/>
          <w:szCs w:val="24"/>
          <w:lang w:val="hy-AM"/>
        </w:rPr>
        <w:t>Համակարգում պետք է ապահովվի ցանկացած գործողության  գրանցում (logging) գրանցամատյանում, որտեղ պետք է հնարավոր լինի հետևել, թե երբ և ում կողմից ինչ գործողություններ են իրականացվել համակարգում,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5BF0">
        <w:rPr>
          <w:rFonts w:ascii="GHEA Grapalat" w:hAnsi="GHEA Grapalat"/>
          <w:sz w:val="24"/>
          <w:szCs w:val="24"/>
          <w:lang w:val="hy-AM"/>
        </w:rPr>
        <w:t xml:space="preserve">Օպերատորը պետք է ապահովի </w:t>
      </w:r>
      <w:r w:rsidRPr="00D05BF0">
        <w:rPr>
          <w:rFonts w:ascii="GHEA Grapalat" w:hAnsi="GHEA Grapalat" w:cs="Sylfaen"/>
          <w:sz w:val="24"/>
          <w:szCs w:val="24"/>
          <w:lang w:val="hy-AM"/>
        </w:rPr>
        <w:t>համակարգերի նախագծման, ծրագրավորման կամ մատուցված ծառայությունների հետ կապված որևէ թերության բացահայտման դեպքում</w:t>
      </w:r>
      <w:r w:rsidRPr="00D05BF0">
        <w:rPr>
          <w:rFonts w:ascii="GHEA Grapalat" w:hAnsi="GHEA Grapalat"/>
          <w:sz w:val="24"/>
          <w:szCs w:val="24"/>
          <w:lang w:val="hy-AM"/>
        </w:rPr>
        <w:t xml:space="preserve"> առաջացած խնդիրների վերացում,</w:t>
      </w:r>
    </w:p>
    <w:p w:rsidR="00BE326B" w:rsidRPr="00D05BF0" w:rsidRDefault="00BE326B" w:rsidP="00D05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5BF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Օպերատորը պետք է ապահովի </w:t>
      </w:r>
      <w:r w:rsidRPr="00D05BF0">
        <w:rPr>
          <w:rFonts w:ascii="GHEA Grapalat" w:hAnsi="GHEA Grapalat"/>
          <w:sz w:val="24"/>
          <w:szCs w:val="24"/>
          <w:lang w:val="hy-AM"/>
        </w:rPr>
        <w:t>համակարգի անխափան աշխատանքը ապահովելու նպատակով անհրաժեշտ փոփոխությունների իրականացում` կապված ՀՀ և ԵԱՏՄ օրենսդրական փոփոխությունների, ինչպես նաև վարչարարության առանձին հարցերի լուծման հետ:</w:t>
      </w:r>
    </w:p>
    <w:p w:rsidR="00D05BF0" w:rsidRDefault="00D05BF0" w:rsidP="00D05B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>Օպերատորի կողմից մշակվող համակարգի տեխնիկական առաջադրանքը պետք է համաձայնեցվի լիազոր մարմնի հետ։</w:t>
      </w:r>
    </w:p>
    <w:p w:rsidR="00BE326B" w:rsidRPr="00D05BF0" w:rsidRDefault="00D05BF0" w:rsidP="00D05B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05BF0">
        <w:rPr>
          <w:rFonts w:ascii="GHEA Grapalat" w:hAnsi="GHEA Grapalat"/>
          <w:sz w:val="24"/>
          <w:lang w:val="hy-AM"/>
        </w:rPr>
        <w:t xml:space="preserve"> </w:t>
      </w:r>
      <w:r w:rsidR="00BE326B" w:rsidRPr="00D05BF0">
        <w:rPr>
          <w:rFonts w:ascii="GHEA Grapalat" w:hAnsi="GHEA Grapalat"/>
          <w:sz w:val="24"/>
          <w:lang w:val="hy-AM"/>
        </w:rPr>
        <w:t>Համակարգը  պետք է ներդրվի երկու առանձին միջավայրերում՝ արտադրական և թեստավորման, ընդ որում`  մինչև արտադրական շահագործման հանձնելը Համակարգը պետք է փորձարկվի թեսթային միջավայրում: Այդ նպատակով Օպերատորի կողմից կազմվում է համապատասխան թեսթավորման պլան, որը կսահմանի թեսթավորման քայլերի և գործողությունների հաջորդականությունը՝ ըստ համակարգի կիրառման դեպքերի և սցենարների:</w:t>
      </w:r>
    </w:p>
    <w:p w:rsidR="00BE326B" w:rsidRPr="00673F60" w:rsidRDefault="00BE326B" w:rsidP="00BE326B">
      <w:pPr>
        <w:spacing w:line="276" w:lineRule="auto"/>
        <w:ind w:left="45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spacing w:line="276" w:lineRule="auto"/>
        <w:ind w:left="450"/>
        <w:jc w:val="both"/>
        <w:rPr>
          <w:rFonts w:ascii="GHEA Grapalat" w:hAnsi="GHEA Grapalat" w:cs="Sylfaen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BE326B" w:rsidRDefault="00BE326B" w:rsidP="00BE326B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774AF5" w:rsidRPr="00BE326B" w:rsidRDefault="00774AF5">
      <w:pPr>
        <w:rPr>
          <w:lang w:val="hy-AM"/>
        </w:rPr>
      </w:pPr>
    </w:p>
    <w:sectPr w:rsidR="00774AF5" w:rsidRPr="00BE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68C"/>
    <w:multiLevelType w:val="hybridMultilevel"/>
    <w:tmpl w:val="086A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0779"/>
    <w:multiLevelType w:val="hybridMultilevel"/>
    <w:tmpl w:val="C03AE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4DF6737"/>
    <w:multiLevelType w:val="hybridMultilevel"/>
    <w:tmpl w:val="E428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3"/>
    <w:rsid w:val="004330E5"/>
    <w:rsid w:val="00774AF5"/>
    <w:rsid w:val="00934AD3"/>
    <w:rsid w:val="00BE326B"/>
    <w:rsid w:val="00C120EE"/>
    <w:rsid w:val="00D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DFE2-4C31-42EA-AD39-2228199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Khachatryan</dc:creator>
  <cp:keywords/>
  <dc:description/>
  <cp:lastModifiedBy>Ashot H. Muradyan</cp:lastModifiedBy>
  <cp:revision>2</cp:revision>
  <dcterms:created xsi:type="dcterms:W3CDTF">2020-10-08T09:37:00Z</dcterms:created>
  <dcterms:modified xsi:type="dcterms:W3CDTF">2020-10-08T09:37:00Z</dcterms:modified>
</cp:coreProperties>
</file>