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Կատարողական վարույթը կասեցնելու մասին</w:t>
      </w:r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C325D9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325D9">
        <w:rPr>
          <w:rFonts w:ascii="GHEA Grapalat" w:eastAsia="Calibri" w:hAnsi="GHEA Grapalat"/>
          <w:b/>
          <w:sz w:val="20"/>
          <w:szCs w:val="20"/>
          <w:lang w:val="hy-AM" w:eastAsia="en-US"/>
        </w:rPr>
        <w:t>0</w:t>
      </w:r>
      <w:r>
        <w:rPr>
          <w:rFonts w:ascii="GHEA Grapalat" w:eastAsia="Calibri" w:hAnsi="GHEA Grapalat"/>
          <w:b/>
          <w:sz w:val="20"/>
          <w:szCs w:val="20"/>
          <w:lang w:val="en-US" w:eastAsia="en-US"/>
        </w:rPr>
        <w:t>6</w:t>
      </w:r>
      <w:r w:rsidR="00EE7269" w:rsidRPr="00C325D9">
        <w:rPr>
          <w:rFonts w:ascii="GHEA Grapalat" w:eastAsia="Calibri" w:hAnsi="GHEA Grapalat"/>
          <w:b/>
          <w:sz w:val="20"/>
          <w:szCs w:val="20"/>
          <w:lang w:val="hy-AM" w:eastAsia="en-US"/>
        </w:rPr>
        <w:t>.11</w:t>
      </w:r>
      <w:r w:rsidR="003C22A2" w:rsidRPr="00B77C6D">
        <w:rPr>
          <w:rFonts w:ascii="GHEA Grapalat" w:eastAsia="Calibri" w:hAnsi="GHEA Grapalat"/>
          <w:b/>
          <w:sz w:val="20"/>
          <w:szCs w:val="20"/>
          <w:lang w:val="hy-AM" w:eastAsia="en-US"/>
        </w:rPr>
        <w:t>.2020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Default="00C022F5" w:rsidP="00C022F5">
      <w:pPr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711622">
        <w:rPr>
          <w:rFonts w:ascii="GHEA Grapalat" w:eastAsia="Calibri" w:hAnsi="GHEA Grapalat"/>
          <w:sz w:val="20"/>
          <w:szCs w:val="20"/>
          <w:lang w:val="hy-AM" w:eastAsia="en-US"/>
        </w:rPr>
        <w:t>ապահովող ծառայության Երևան քաղաքի Մալաթիա-Սեբաստիա բաժնի  հարկադիր կատարող</w:t>
      </w:r>
      <w:r w:rsidR="00EF29E8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արդարադատության </w:t>
      </w:r>
      <w:r w:rsidR="008A6A4E" w:rsidRPr="00711622">
        <w:rPr>
          <w:rFonts w:ascii="GHEA Grapalat" w:eastAsia="Calibri" w:hAnsi="GHEA Grapalat"/>
          <w:sz w:val="20"/>
          <w:szCs w:val="20"/>
          <w:lang w:val="hy-AM" w:eastAsia="en-US"/>
        </w:rPr>
        <w:t>լեյտենանտ</w:t>
      </w:r>
      <w:r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9C5EDB" w:rsidRPr="009C5EDB">
        <w:rPr>
          <w:rFonts w:ascii="GHEA Grapalat" w:eastAsia="Calibri" w:hAnsi="GHEA Grapalat"/>
          <w:sz w:val="20"/>
          <w:szCs w:val="20"/>
          <w:lang w:val="hy-AM" w:eastAsia="en-US"/>
        </w:rPr>
        <w:t>Յու. Արզումանյանս</w:t>
      </w:r>
      <w:r w:rsidR="00EF29E8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711622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711622">
        <w:rPr>
          <w:rFonts w:ascii="GHEA Grapalat" w:eastAsia="Calibri" w:hAnsi="GHEA Grapalat"/>
          <w:sz w:val="20"/>
          <w:szCs w:val="20"/>
          <w:lang w:val="hy-AM" w:eastAsia="en-US"/>
        </w:rPr>
        <w:t>թիվ</w:t>
      </w:r>
      <w:r w:rsidR="00B140A6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615129">
        <w:rPr>
          <w:rFonts w:ascii="GHEA Grapalat" w:eastAsia="Calibri" w:hAnsi="GHEA Grapalat"/>
          <w:sz w:val="20"/>
          <w:szCs w:val="20"/>
          <w:lang w:val="en-US" w:eastAsia="en-US"/>
        </w:rPr>
        <w:t>05211860</w:t>
      </w:r>
      <w:r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կատարողական վարույթի նյութերը</w:t>
      </w:r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>.</w:t>
      </w:r>
    </w:p>
    <w:p w:rsidR="00711622" w:rsidRPr="000200C1" w:rsidRDefault="00711622" w:rsidP="00C022F5">
      <w:pPr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</w:p>
    <w:p w:rsid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711622" w:rsidRPr="00C022F5" w:rsidRDefault="0071162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9220AC" w:rsidRDefault="00615129" w:rsidP="00C6242F">
      <w:pPr>
        <w:ind w:firstLine="283"/>
        <w:jc w:val="both"/>
        <w:rPr>
          <w:rFonts w:ascii="GHEA Grapalat" w:hAnsi="GHEA Grapalat" w:cs="Sylfaen"/>
          <w:b/>
          <w:bCs/>
          <w:sz w:val="20"/>
          <w:szCs w:val="20"/>
          <w:u w:val="single"/>
          <w:lang w:val="x-none"/>
        </w:rPr>
      </w:pPr>
      <w:r w:rsidRPr="00615129">
        <w:rPr>
          <w:rFonts w:ascii="GHEA Grapalat" w:hAnsi="GHEA Grapalat" w:cs="Sylfaen"/>
          <w:b/>
          <w:bCs/>
          <w:sz w:val="20"/>
          <w:szCs w:val="20"/>
          <w:u w:val="single"/>
          <w:lang w:val="x-none"/>
        </w:rPr>
        <w:t xml:space="preserve">Երևան քաղաքի ընդհանուր իրավասության դատարանի կողմից ՙ03՚ նոյեմբեր 2020թ. տրված թիվ ԵԴ/15313/02/19 կատարողական թերթի համաձայն պետք է </w:t>
      </w:r>
      <w:r w:rsidRPr="00615129">
        <w:rPr>
          <w:rFonts w:ascii="GHEA Grapalat" w:hAnsi="GHEA Grapalat" w:cs="Sylfaen"/>
          <w:b/>
          <w:bCs/>
          <w:sz w:val="20"/>
          <w:szCs w:val="20"/>
          <w:u w:val="single"/>
          <w:lang w:val="hy-AM"/>
        </w:rPr>
        <w:t xml:space="preserve">Ա/Ձ </w:t>
      </w:r>
      <w:r w:rsidRPr="00615129">
        <w:rPr>
          <w:rFonts w:ascii="GHEA Grapalat" w:hAnsi="GHEA Grapalat" w:cs="Sylfaen"/>
          <w:b/>
          <w:bCs/>
          <w:sz w:val="20"/>
          <w:szCs w:val="20"/>
          <w:u w:val="single"/>
          <w:lang w:val="x-none"/>
        </w:rPr>
        <w:t>Լիլիա Խաչիկի Ստեփանյանից</w:t>
      </w:r>
      <w:r w:rsidRPr="00615129">
        <w:rPr>
          <w:rFonts w:ascii="GHEA Grapalat" w:hAnsi="GHEA Grapalat" w:cs="Sylfaen"/>
          <w:b/>
          <w:bCs/>
          <w:sz w:val="20"/>
          <w:szCs w:val="20"/>
          <w:u w:val="single"/>
          <w:lang w:val="hy-AM"/>
        </w:rPr>
        <w:t>,Լուսիկ Նորիկի Սահակյանից և Արմեն Հարություննի Ղալեչյանից</w:t>
      </w:r>
      <w:r w:rsidRPr="00615129">
        <w:rPr>
          <w:rFonts w:ascii="GHEA Grapalat" w:hAnsi="GHEA Grapalat" w:cs="Sylfaen"/>
          <w:b/>
          <w:bCs/>
          <w:sz w:val="20"/>
          <w:szCs w:val="20"/>
          <w:u w:val="single"/>
          <w:lang w:val="x-none"/>
        </w:rPr>
        <w:t xml:space="preserve"> հօգուտ </w:t>
      </w:r>
      <w:r w:rsidRPr="00615129">
        <w:rPr>
          <w:rFonts w:ascii="GHEA Grapalat" w:hAnsi="GHEA Grapalat" w:cs="Sylfaen"/>
          <w:b/>
          <w:bCs/>
          <w:sz w:val="20"/>
          <w:szCs w:val="20"/>
          <w:u w:val="single"/>
          <w:lang w:val="hy-AM"/>
        </w:rPr>
        <w:t>&lt;&lt;</w:t>
      </w:r>
      <w:r>
        <w:rPr>
          <w:rFonts w:ascii="GHEA Grapalat" w:hAnsi="GHEA Grapalat" w:cs="Sylfaen"/>
          <w:b/>
          <w:bCs/>
          <w:sz w:val="20"/>
          <w:szCs w:val="20"/>
          <w:u w:val="single"/>
          <w:lang w:val="x-none"/>
        </w:rPr>
        <w:t>ՎՏԲ-Հայաստան բանկ&gt;&gt;</w:t>
      </w:r>
      <w:r w:rsidRPr="00615129">
        <w:rPr>
          <w:rFonts w:ascii="GHEA Grapalat" w:hAnsi="GHEA Grapalat" w:cs="Sylfaen"/>
          <w:b/>
          <w:bCs/>
          <w:sz w:val="20"/>
          <w:szCs w:val="20"/>
          <w:u w:val="single"/>
          <w:lang w:val="x-none"/>
        </w:rPr>
        <w:t xml:space="preserve"> ՓԲԸ-ի </w:t>
      </w:r>
      <w:r w:rsidRPr="00615129">
        <w:rPr>
          <w:rFonts w:ascii="GHEA Grapalat" w:hAnsi="GHEA Grapalat" w:cs="Sylfaen"/>
          <w:b/>
          <w:bCs/>
          <w:sz w:val="20"/>
          <w:szCs w:val="20"/>
          <w:u w:val="single"/>
          <w:lang w:val="hy-AM"/>
        </w:rPr>
        <w:t xml:space="preserve">համապարտությամբ </w:t>
      </w:r>
      <w:r w:rsidRPr="00615129">
        <w:rPr>
          <w:rFonts w:ascii="GHEA Grapalat" w:hAnsi="GHEA Grapalat" w:cs="Sylfaen"/>
          <w:b/>
          <w:bCs/>
          <w:sz w:val="20"/>
          <w:szCs w:val="20"/>
          <w:u w:val="single"/>
          <w:lang w:val="x-none"/>
        </w:rPr>
        <w:t xml:space="preserve">բռնագանձել </w:t>
      </w:r>
      <w:r>
        <w:rPr>
          <w:rFonts w:ascii="GHEA Grapalat" w:hAnsi="GHEA Grapalat" w:cs="Sylfaen"/>
          <w:b/>
          <w:bCs/>
          <w:sz w:val="20"/>
          <w:szCs w:val="20"/>
          <w:u w:val="single"/>
          <w:lang w:val="x-none"/>
        </w:rPr>
        <w:t>2</w:t>
      </w:r>
      <w:r w:rsidRPr="00615129">
        <w:rPr>
          <w:rFonts w:ascii="GHEA Grapalat" w:hAnsi="GHEA Grapalat" w:cs="Sylfaen"/>
          <w:b/>
          <w:bCs/>
          <w:sz w:val="20"/>
          <w:szCs w:val="20"/>
          <w:u w:val="single"/>
          <w:lang w:val="hy-AM"/>
        </w:rPr>
        <w:t>.</w:t>
      </w:r>
      <w:r>
        <w:rPr>
          <w:rFonts w:ascii="GHEA Grapalat" w:hAnsi="GHEA Grapalat" w:cs="Sylfaen"/>
          <w:b/>
          <w:bCs/>
          <w:sz w:val="20"/>
          <w:szCs w:val="20"/>
          <w:u w:val="single"/>
          <w:lang w:val="x-none"/>
        </w:rPr>
        <w:t>423</w:t>
      </w:r>
      <w:r w:rsidRPr="00615129">
        <w:rPr>
          <w:rFonts w:ascii="GHEA Grapalat" w:hAnsi="GHEA Grapalat" w:cs="Sylfaen"/>
          <w:b/>
          <w:bCs/>
          <w:sz w:val="20"/>
          <w:szCs w:val="20"/>
          <w:u w:val="single"/>
          <w:lang w:val="hy-AM"/>
        </w:rPr>
        <w:t>.</w:t>
      </w:r>
      <w:r>
        <w:rPr>
          <w:rFonts w:ascii="GHEA Grapalat" w:hAnsi="GHEA Grapalat" w:cs="Sylfaen"/>
          <w:b/>
          <w:bCs/>
          <w:sz w:val="20"/>
          <w:szCs w:val="20"/>
          <w:u w:val="single"/>
          <w:lang w:val="x-none"/>
        </w:rPr>
        <w:t xml:space="preserve">870 ՀՀ դրամ </w:t>
      </w:r>
      <w:r w:rsidR="009220AC" w:rsidRPr="009220AC">
        <w:rPr>
          <w:rFonts w:ascii="GHEA Grapalat" w:hAnsi="GHEA Grapalat" w:cs="Sylfaen"/>
          <w:b/>
          <w:bCs/>
          <w:sz w:val="20"/>
          <w:szCs w:val="20"/>
          <w:u w:val="single"/>
          <w:lang w:val="x-none"/>
        </w:rPr>
        <w:t>և հաշվեգրվող տոկոսագումարներ:</w:t>
      </w:r>
    </w:p>
    <w:p w:rsidR="00AD36D5" w:rsidRDefault="00C022F5" w:rsidP="00C6242F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Պարտապանից պետք է բռնագանձել նաև </w:t>
      </w:r>
      <w:r w:rsidR="008A6A4E" w:rsidRPr="00711622">
        <w:rPr>
          <w:rFonts w:ascii="GHEA Grapalat" w:eastAsia="Calibri" w:hAnsi="GHEA Grapalat"/>
          <w:sz w:val="20"/>
          <w:szCs w:val="20"/>
          <w:lang w:val="hy-AM" w:eastAsia="en-US"/>
        </w:rPr>
        <w:t>բռնագանձման ենթակա գումարի 5 տոկոսը</w:t>
      </w:r>
      <w:r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որպես կատարողական  գործողությունների  կատարման  ծախս</w:t>
      </w:r>
      <w:r w:rsidR="00A669A5" w:rsidRPr="00711622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C022F5" w:rsidRDefault="00EE7269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E7269">
        <w:rPr>
          <w:rFonts w:ascii="GHEA Grapalat" w:eastAsia="Calibri" w:hAnsi="GHEA Grapalat"/>
          <w:sz w:val="20"/>
          <w:szCs w:val="20"/>
          <w:lang w:val="hy-AM" w:eastAsia="en-US"/>
        </w:rPr>
        <w:t>Պ</w:t>
      </w:r>
      <w:r w:rsid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արտապան </w:t>
      </w:r>
      <w:r w:rsidR="00615129" w:rsidRPr="00615129">
        <w:rPr>
          <w:rFonts w:ascii="GHEA Grapalat" w:hAnsi="GHEA Grapalat" w:cs="Sylfaen"/>
          <w:b/>
          <w:bCs/>
          <w:sz w:val="20"/>
          <w:szCs w:val="20"/>
          <w:u w:val="single"/>
          <w:lang w:val="hy-AM"/>
        </w:rPr>
        <w:t xml:space="preserve">Ա/Ձ </w:t>
      </w:r>
      <w:r w:rsidR="00615129" w:rsidRPr="00615129">
        <w:rPr>
          <w:rFonts w:ascii="GHEA Grapalat" w:hAnsi="GHEA Grapalat" w:cs="Sylfaen"/>
          <w:b/>
          <w:bCs/>
          <w:sz w:val="20"/>
          <w:szCs w:val="20"/>
          <w:u w:val="single"/>
          <w:lang w:val="x-none"/>
        </w:rPr>
        <w:t>Լիլիա Խաչիկի Ստեփանյանի</w:t>
      </w:r>
      <w:r w:rsidR="00615129" w:rsidRPr="00615129">
        <w:rPr>
          <w:rFonts w:ascii="GHEA Grapalat" w:hAnsi="GHEA Grapalat" w:cs="Sylfaen"/>
          <w:b/>
          <w:bCs/>
          <w:sz w:val="20"/>
          <w:szCs w:val="20"/>
          <w:u w:val="single"/>
          <w:lang w:val="hy-AM"/>
        </w:rPr>
        <w:t xml:space="preserve"> </w:t>
      </w:r>
      <w:r w:rsidRPr="00EE7269">
        <w:rPr>
          <w:rFonts w:ascii="GHEA Grapalat" w:hAnsi="GHEA Grapalat" w:cs="Arial Armenian"/>
          <w:bCs/>
          <w:sz w:val="20"/>
          <w:szCs w:val="20"/>
          <w:lang w:val="hy-AM"/>
        </w:rPr>
        <w:t>վերաբերյալ</w:t>
      </w:r>
      <w:r w:rsidRPr="00EE7269">
        <w:rPr>
          <w:rFonts w:ascii="Sylfaen" w:hAnsi="Sylfaen" w:cs="Arial Armenian"/>
          <w:b/>
          <w:bCs/>
          <w:sz w:val="20"/>
          <w:szCs w:val="20"/>
          <w:lang w:val="hy-AM"/>
        </w:rPr>
        <w:t xml:space="preserve"> </w:t>
      </w:r>
      <w:r w:rsidRPr="00EE7269">
        <w:rPr>
          <w:rFonts w:ascii="GHEA Grapalat" w:hAnsi="GHEA Grapalat" w:cs="Arial Armenian"/>
          <w:bCs/>
          <w:sz w:val="20"/>
          <w:szCs w:val="20"/>
          <w:lang w:val="hy-AM"/>
        </w:rPr>
        <w:t>հարուցված</w:t>
      </w:r>
      <w:r w:rsidRPr="00EE7269">
        <w:rPr>
          <w:rFonts w:ascii="Sylfaen" w:hAnsi="Sylfaen" w:cs="Arial Armenian"/>
          <w:b/>
          <w:bCs/>
          <w:sz w:val="20"/>
          <w:szCs w:val="20"/>
          <w:lang w:val="hy-AM"/>
        </w:rPr>
        <w:t xml:space="preserve"> </w:t>
      </w:r>
      <w:r w:rsidRPr="00EE7269">
        <w:rPr>
          <w:rFonts w:ascii="GHEA Grapalat" w:hAnsi="GHEA Grapalat" w:cs="Arial Armenian"/>
          <w:bCs/>
          <w:sz w:val="20"/>
          <w:szCs w:val="20"/>
          <w:lang w:val="hy-AM"/>
        </w:rPr>
        <w:t xml:space="preserve">կատարողական վարույթի </w:t>
      </w:r>
      <w:r w:rsidRPr="00EE7269">
        <w:rPr>
          <w:rFonts w:ascii="GHEA Grapalat" w:eastAsia="Calibri" w:hAnsi="GHEA Grapalat"/>
          <w:sz w:val="20"/>
          <w:szCs w:val="20"/>
          <w:lang w:val="hy-AM" w:eastAsia="en-US"/>
        </w:rPr>
        <w:t>ուսումնասիրության արդյունքում</w:t>
      </w:r>
      <w:r w:rsidR="00373CFF" w:rsidRPr="00373CFF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EE7269">
        <w:rPr>
          <w:rFonts w:ascii="GHEA Grapalat" w:eastAsia="Calibri" w:hAnsi="GHEA Grapalat"/>
          <w:sz w:val="20"/>
          <w:szCs w:val="20"/>
          <w:lang w:val="hy-AM" w:eastAsia="en-US"/>
        </w:rPr>
        <w:t xml:space="preserve">պարզվել է,որ  </w:t>
      </w:r>
      <w:r w:rsidR="00373CFF" w:rsidRPr="00373CFF">
        <w:rPr>
          <w:rFonts w:ascii="GHEA Grapalat" w:eastAsia="Calibri" w:hAnsi="GHEA Grapalat"/>
          <w:sz w:val="20"/>
          <w:szCs w:val="20"/>
          <w:lang w:val="hy-AM" w:eastAsia="en-US"/>
        </w:rPr>
        <w:t xml:space="preserve">պարտապանի </w:t>
      </w:r>
      <w:r w:rsidR="00C022F5" w:rsidRPr="00711622">
        <w:rPr>
          <w:rFonts w:ascii="GHEA Grapalat" w:eastAsia="Calibri" w:hAnsi="GHEA Grapalat"/>
          <w:sz w:val="20"/>
          <w:szCs w:val="20"/>
          <w:lang w:val="hy-AM" w:eastAsia="en-US"/>
        </w:rPr>
        <w:t>ողջ</w:t>
      </w:r>
      <w:r w:rsidR="00B140A6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711622">
        <w:rPr>
          <w:rFonts w:ascii="GHEA Grapalat" w:eastAsia="Calibri" w:hAnsi="GHEA Grapalat"/>
          <w:sz w:val="20"/>
          <w:szCs w:val="20"/>
          <w:lang w:val="hy-AM" w:eastAsia="en-US"/>
        </w:rPr>
        <w:t>գույքի վրա բռնագանձում տարածելու պարագայում այդ գույք</w:t>
      </w:r>
      <w:r w:rsidRPr="00EE7269">
        <w:rPr>
          <w:rFonts w:ascii="GHEA Grapalat" w:eastAsia="Calibri" w:hAnsi="GHEA Grapalat"/>
          <w:sz w:val="20"/>
          <w:szCs w:val="20"/>
          <w:lang w:val="hy-AM" w:eastAsia="en-US"/>
        </w:rPr>
        <w:t>ն</w:t>
      </w:r>
      <w:r w:rsidR="00C022F5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օրենքով սահմանված նվազագույն աշխատավարձի </w:t>
      </w:r>
      <w:r w:rsidRPr="00EE7269">
        <w:rPr>
          <w:rFonts w:ascii="GHEA Grapalat" w:eastAsia="Calibri" w:hAnsi="GHEA Grapalat"/>
          <w:sz w:val="20"/>
          <w:szCs w:val="20"/>
          <w:lang w:val="hy-AM" w:eastAsia="en-US"/>
        </w:rPr>
        <w:t xml:space="preserve">երկու </w:t>
      </w:r>
      <w:r w:rsidR="00C022F5" w:rsidRPr="00711622">
        <w:rPr>
          <w:rFonts w:ascii="GHEA Grapalat" w:eastAsia="Calibri" w:hAnsi="GHEA Grapalat"/>
          <w:sz w:val="20"/>
          <w:szCs w:val="20"/>
          <w:lang w:val="hy-AM" w:eastAsia="en-US"/>
        </w:rPr>
        <w:t>հազարապատիկի և ավելի չափով բավարար չէ</w:t>
      </w:r>
      <w:r w:rsidR="00B87593" w:rsidRPr="00B87593">
        <w:rPr>
          <w:rFonts w:ascii="GHEA Grapalat" w:eastAsia="Calibri" w:hAnsi="GHEA Grapalat"/>
          <w:sz w:val="20"/>
          <w:szCs w:val="20"/>
          <w:lang w:val="hy-AM" w:eastAsia="en-US"/>
        </w:rPr>
        <w:t xml:space="preserve"> պարտատիրոջ(</w:t>
      </w:r>
      <w:r w:rsidR="00C022F5" w:rsidRPr="00711622">
        <w:rPr>
          <w:rFonts w:ascii="GHEA Grapalat" w:eastAsia="Calibri" w:hAnsi="GHEA Grapalat"/>
          <w:sz w:val="20"/>
          <w:szCs w:val="20"/>
          <w:lang w:val="hy-AM" w:eastAsia="en-US"/>
        </w:rPr>
        <w:t>պահանջատիրոջ</w:t>
      </w:r>
      <w:r w:rsidR="00B87593" w:rsidRPr="00B87593">
        <w:rPr>
          <w:rFonts w:ascii="GHEA Grapalat" w:eastAsia="Calibri" w:hAnsi="GHEA Grapalat"/>
          <w:sz w:val="20"/>
          <w:szCs w:val="20"/>
          <w:lang w:val="hy-AM" w:eastAsia="en-US"/>
        </w:rPr>
        <w:t>)</w:t>
      </w:r>
      <w:r w:rsidR="00C022F5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հանդեպ պարտավորությունների ամբողջական կատարումն ապահովելու համար</w:t>
      </w:r>
      <w:r w:rsidRPr="00EE7269">
        <w:rPr>
          <w:rFonts w:ascii="GHEA Grapalat" w:eastAsia="Calibri" w:hAnsi="GHEA Grapalat"/>
          <w:sz w:val="20"/>
          <w:szCs w:val="20"/>
          <w:lang w:val="hy-AM" w:eastAsia="en-US"/>
        </w:rPr>
        <w:t xml:space="preserve"> կամ դատական ակտերի հարկադիր կատարման ծառայության որևէ կատարողական վարույթով(վարույթներով) պարտատիրոջ (պահանջատիրոջ) պահանջը բավարարելու դեպքում գույքի օրենքով սահմանված նվազագույն աշխատավարձի երկու հազարապատիկի և ավելի չափով անբավարարության դեպքում անհնարին կդառնա այդ կամ այլ կատարողական վարույթով(վարույթներով) որևէ այլ ապրտատիրոջ(պահանջատիրոջ) հանդեպ պարտավորությունների ամբողջական կատարումը</w:t>
      </w:r>
      <w:r w:rsidR="00C022F5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: </w:t>
      </w:r>
    </w:p>
    <w:p w:rsidR="001463F2" w:rsidRDefault="00C022F5" w:rsidP="000200C1">
      <w:pPr>
        <w:jc w:val="both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</w:t>
      </w:r>
      <w:r w:rsidR="00870690" w:rsidRPr="00870690">
        <w:rPr>
          <w:rFonts w:ascii="GHEA Grapalat" w:eastAsia="Calibri" w:hAnsi="GHEA Grapalat"/>
          <w:b/>
          <w:sz w:val="20"/>
          <w:szCs w:val="20"/>
          <w:lang w:val="hy-AM" w:eastAsia="en-US"/>
        </w:rPr>
        <w:t>, 28.1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-րդ հոդվածով և 37-րդ հոդվածի 8-րդ կետով .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Default="00D738AB" w:rsidP="00B87593">
      <w:pPr>
        <w:pStyle w:val="ListParagraph"/>
        <w:numPr>
          <w:ilvl w:val="0"/>
          <w:numId w:val="1"/>
        </w:num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B87593">
        <w:rPr>
          <w:rFonts w:ascii="GHEA Grapalat" w:eastAsia="Calibri" w:hAnsi="GHEA Grapalat"/>
          <w:b/>
          <w:sz w:val="20"/>
          <w:szCs w:val="20"/>
          <w:lang w:val="hy-AM" w:eastAsia="en-US"/>
        </w:rPr>
        <w:t>Կասեցնել</w:t>
      </w:r>
      <w:r w:rsidR="00EF29E8" w:rsidRPr="00B8759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250202" w:rsidRPr="00B87593">
        <w:rPr>
          <w:rFonts w:ascii="GHEA Grapalat" w:eastAsia="Calibri" w:hAnsi="GHEA Grapalat"/>
          <w:sz w:val="20"/>
          <w:szCs w:val="20"/>
          <w:lang w:val="hy-AM" w:eastAsia="en-US"/>
        </w:rPr>
        <w:t xml:space="preserve">թիվ </w:t>
      </w:r>
      <w:r w:rsidR="00615129" w:rsidRPr="00615129">
        <w:rPr>
          <w:rFonts w:ascii="GHEA Grapalat" w:eastAsia="Calibri" w:hAnsi="GHEA Grapalat"/>
          <w:sz w:val="20"/>
          <w:szCs w:val="20"/>
          <w:lang w:val="hy-AM" w:eastAsia="en-US"/>
        </w:rPr>
        <w:t>05211860</w:t>
      </w:r>
      <w:bookmarkStart w:id="0" w:name="_GoBack"/>
      <w:bookmarkEnd w:id="0"/>
      <w:r w:rsidR="00EF29E8" w:rsidRPr="00B8759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B87593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Pr="00B8759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B8759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E7269" w:rsidRPr="00B87593">
        <w:rPr>
          <w:rFonts w:ascii="GHEA Grapalat" w:eastAsia="Calibri" w:hAnsi="GHEA Grapalat"/>
          <w:sz w:val="20"/>
          <w:szCs w:val="20"/>
          <w:lang w:val="hy-AM" w:eastAsia="en-US"/>
        </w:rPr>
        <w:t>90</w:t>
      </w:r>
      <w:r w:rsidR="00C022F5" w:rsidRPr="00B87593">
        <w:rPr>
          <w:rFonts w:ascii="GHEA Grapalat" w:eastAsia="Calibri" w:hAnsi="GHEA Grapalat"/>
          <w:sz w:val="20"/>
          <w:szCs w:val="20"/>
          <w:lang w:val="hy-AM" w:eastAsia="en-US"/>
        </w:rPr>
        <w:t>-օրյա ժամկետով</w:t>
      </w:r>
      <w:r w:rsidR="00B87593" w:rsidRPr="00B87593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B87593" w:rsidRPr="00B87593" w:rsidRDefault="00B87593" w:rsidP="00B87593">
      <w:pPr>
        <w:pStyle w:val="ListParagraph"/>
        <w:numPr>
          <w:ilvl w:val="0"/>
          <w:numId w:val="1"/>
        </w:num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B87593">
        <w:rPr>
          <w:rFonts w:ascii="GHEA Grapalat" w:eastAsia="Calibri" w:hAnsi="GHEA Grapalat"/>
          <w:sz w:val="20"/>
          <w:szCs w:val="20"/>
          <w:lang w:val="hy-AM" w:eastAsia="en-US"/>
        </w:rPr>
        <w:t>Առաջարկել պահանջատիրոջը և պարտապանին նրանցից որևէ մեկի նախաձեռնությամբ 90-օրյա ժամկետում սնսնկության հայց ներկայացնել դատարան:</w:t>
      </w:r>
    </w:p>
    <w:p w:rsidR="00B87593" w:rsidRDefault="00B87593" w:rsidP="00B87593">
      <w:pPr>
        <w:pStyle w:val="ListParagraph"/>
        <w:numPr>
          <w:ilvl w:val="0"/>
          <w:numId w:val="1"/>
        </w:num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B87593">
        <w:rPr>
          <w:rFonts w:ascii="GHEA Grapalat" w:eastAsia="Calibri" w:hAnsi="GHEA Grapalat"/>
          <w:sz w:val="20"/>
          <w:szCs w:val="20"/>
          <w:lang w:val="hy-AM" w:eastAsia="en-US"/>
        </w:rPr>
        <w:t xml:space="preserve">Սույն որոշումը երկու աշխատանքային օրվա ընթացքում հրապարակել </w:t>
      </w:r>
      <w:hyperlink r:id="rId5" w:history="1">
        <w:r w:rsidRPr="00402696">
          <w:rPr>
            <w:rStyle w:val="Hyperlink"/>
            <w:rFonts w:ascii="GHEA Grapalat" w:hAnsi="GHEA Grapalat"/>
            <w:i/>
            <w:sz w:val="22"/>
            <w:szCs w:val="22"/>
            <w:lang w:val="hy-AM"/>
          </w:rPr>
          <w:t>www.azdarar.am</w:t>
        </w:r>
      </w:hyperlink>
      <w:r w:rsidRPr="00B87593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 </w:t>
      </w:r>
      <w:r w:rsidRPr="00B87593">
        <w:rPr>
          <w:rFonts w:ascii="GHEA Grapalat" w:eastAsia="Calibri" w:hAnsi="GHEA Grapalat"/>
          <w:sz w:val="20"/>
          <w:szCs w:val="20"/>
          <w:lang w:val="hy-AM" w:eastAsia="en-US"/>
        </w:rPr>
        <w:t>ինտերնետային կայքում:</w:t>
      </w:r>
    </w:p>
    <w:p w:rsidR="00B87593" w:rsidRPr="00B87593" w:rsidRDefault="00B87593" w:rsidP="00B87593">
      <w:pPr>
        <w:pStyle w:val="ListParagraph"/>
        <w:numPr>
          <w:ilvl w:val="0"/>
          <w:numId w:val="1"/>
        </w:num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0"/>
          <w:szCs w:val="20"/>
          <w:lang w:val="en-US" w:eastAsia="en-US"/>
        </w:rPr>
        <w:t>Որոշման պատճեն ուղարկել կողմերին:</w:t>
      </w:r>
    </w:p>
    <w:p w:rsidR="00B87593" w:rsidRPr="00711622" w:rsidRDefault="00B87593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42D7D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Հարկադիր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կատարողի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կայացրած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որոշումը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կարող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է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բողոքարկվել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վերադասության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կարգով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որոշումն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ուժի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մեջ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մտնելու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օրվանից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հետո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`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երկամսյա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ժամկետում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կամ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վարչական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դատարան՝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օրենքով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սահմանված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ժամկետներում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:</w:t>
      </w:r>
    </w:p>
    <w:p w:rsidR="00E438B8" w:rsidRPr="00E438B8" w:rsidRDefault="00E438B8" w:rsidP="00A42D7D">
      <w:pPr>
        <w:ind w:firstLine="720"/>
        <w:jc w:val="both"/>
        <w:rPr>
          <w:rFonts w:ascii="Arial Armenian" w:hAnsi="Arial Armenian" w:cs="Tahoma"/>
          <w:b/>
          <w:bCs/>
          <w:sz w:val="20"/>
          <w:szCs w:val="20"/>
          <w:lang w:val="hy-AM"/>
        </w:rPr>
      </w:pPr>
      <w:r w:rsidRPr="00E438B8">
        <w:rPr>
          <w:rFonts w:ascii="Arial Armenian" w:hAnsi="Arial Armenian" w:cs="Arial Armenian"/>
          <w:b/>
          <w:bCs/>
          <w:sz w:val="20"/>
          <w:szCs w:val="20"/>
          <w:lang w:val="hy-AM"/>
        </w:rPr>
        <w:t>¸³ï³Ï³Ý ³Ïï»ñÇ Ñ³ñÏ³¹Çñ Ï³ï³ñÙ³Ý Ù³ëÇÝ ÐÐ ûñ»ÝùÇ 28 Ñá¹í³ÍÇ 5-ñ¹ Ù³ëÇ Ñ³Ù³Ó³ÛÝ Ñ³ñÏ³¹Çñ Ï³ï³ñáÕÇ áñáßÙ³Ý µáÕáù³ñÏáõÙÁ ãÇ Ï³ë»óÝáõÙ Ï³ï³ñáÕ³Ï³Ý ·áñÍáÕáõÃÛáõÝÝ»ñÁ, µ³ó³éáõÃÛ³Ùµ ûñ»Ýùáí ë³ÑÙ³Ýí³Í ¹»åù»ñÇ</w:t>
      </w:r>
      <w:r w:rsidRPr="00E438B8">
        <w:rPr>
          <w:rFonts w:ascii="Tahoma" w:hAnsi="Tahoma" w:cs="Tahoma"/>
          <w:b/>
          <w:bCs/>
          <w:sz w:val="20"/>
          <w:szCs w:val="20"/>
          <w:lang w:val="hy-AM"/>
        </w:rPr>
        <w:t>։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E438B8" w:rsidRDefault="00E438B8" w:rsidP="00C022F5">
      <w:pPr>
        <w:rPr>
          <w:rFonts w:ascii="GHEA Grapalat" w:eastAsia="Calibri" w:hAnsi="GHEA Grapalat"/>
          <w:lang w:val="hy-AM" w:eastAsia="en-US"/>
        </w:rPr>
      </w:pPr>
    </w:p>
    <w:p w:rsidR="00E438B8" w:rsidRDefault="00E438B8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9C5EDB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="00250202">
        <w:rPr>
          <w:rFonts w:ascii="GHEA Grapalat" w:eastAsia="Calibri" w:hAnsi="GHEA Grapalat"/>
          <w:b/>
          <w:sz w:val="22"/>
          <w:szCs w:val="22"/>
          <w:lang w:val="hy-AM" w:eastAsia="en-US"/>
        </w:rPr>
        <w:t xml:space="preserve">                  </w:t>
      </w:r>
      <w:r w:rsidR="00250202">
        <w:rPr>
          <w:rFonts w:ascii="GHEA Grapalat" w:eastAsia="Calibri" w:hAnsi="GHEA Grapalat"/>
          <w:b/>
          <w:sz w:val="22"/>
          <w:szCs w:val="22"/>
          <w:lang w:val="en-US" w:eastAsia="en-US"/>
        </w:rPr>
        <w:t xml:space="preserve">        </w:t>
      </w:r>
      <w:r w:rsidR="00250202">
        <w:rPr>
          <w:rFonts w:ascii="GHEA Grapalat" w:eastAsia="Calibri" w:hAnsi="GHEA Grapalat"/>
          <w:b/>
          <w:sz w:val="22"/>
          <w:szCs w:val="22"/>
          <w:lang w:val="hy-AM" w:eastAsia="en-US"/>
        </w:rPr>
        <w:t xml:space="preserve"> </w:t>
      </w:r>
      <w:r w:rsidR="009C5EDB">
        <w:rPr>
          <w:rFonts w:ascii="GHEA Grapalat" w:eastAsia="Calibri" w:hAnsi="GHEA Grapalat"/>
          <w:b/>
          <w:sz w:val="22"/>
          <w:szCs w:val="22"/>
          <w:lang w:val="en-US" w:eastAsia="en-US"/>
        </w:rPr>
        <w:t>Յու. Արզումանյան</w:t>
      </w:r>
    </w:p>
    <w:p w:rsidR="00C022F5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p w:rsidR="00321FD4" w:rsidRDefault="00321FD4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p w:rsidR="00321FD4" w:rsidRDefault="00321FD4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321FD4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64DBA"/>
    <w:multiLevelType w:val="hybridMultilevel"/>
    <w:tmpl w:val="60784E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900494"/>
    <w:rsid w:val="0000162F"/>
    <w:rsid w:val="000200C1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1066"/>
    <w:rsid w:val="000E3FEB"/>
    <w:rsid w:val="00106FA3"/>
    <w:rsid w:val="001204B2"/>
    <w:rsid w:val="001463F2"/>
    <w:rsid w:val="001464F9"/>
    <w:rsid w:val="00150523"/>
    <w:rsid w:val="001522A4"/>
    <w:rsid w:val="0015279C"/>
    <w:rsid w:val="00156378"/>
    <w:rsid w:val="001632D4"/>
    <w:rsid w:val="00193237"/>
    <w:rsid w:val="001B4C17"/>
    <w:rsid w:val="001C059A"/>
    <w:rsid w:val="001E3E2E"/>
    <w:rsid w:val="001F5269"/>
    <w:rsid w:val="002139F7"/>
    <w:rsid w:val="0021699E"/>
    <w:rsid w:val="002236BE"/>
    <w:rsid w:val="00242E78"/>
    <w:rsid w:val="00250202"/>
    <w:rsid w:val="002625B0"/>
    <w:rsid w:val="00274A39"/>
    <w:rsid w:val="002809A2"/>
    <w:rsid w:val="002826A7"/>
    <w:rsid w:val="002876EF"/>
    <w:rsid w:val="002B4F0C"/>
    <w:rsid w:val="002C3172"/>
    <w:rsid w:val="002D0617"/>
    <w:rsid w:val="002D2196"/>
    <w:rsid w:val="002E6518"/>
    <w:rsid w:val="002F3B2F"/>
    <w:rsid w:val="002F5DDC"/>
    <w:rsid w:val="002F76EC"/>
    <w:rsid w:val="003040F4"/>
    <w:rsid w:val="003115D0"/>
    <w:rsid w:val="00321FD4"/>
    <w:rsid w:val="003274ED"/>
    <w:rsid w:val="00332DBE"/>
    <w:rsid w:val="00347CC6"/>
    <w:rsid w:val="00351D75"/>
    <w:rsid w:val="00362C10"/>
    <w:rsid w:val="00365FE3"/>
    <w:rsid w:val="003718C1"/>
    <w:rsid w:val="00372EFA"/>
    <w:rsid w:val="00373CFF"/>
    <w:rsid w:val="003749D6"/>
    <w:rsid w:val="003778C2"/>
    <w:rsid w:val="003A0CD5"/>
    <w:rsid w:val="003A400C"/>
    <w:rsid w:val="003A4839"/>
    <w:rsid w:val="003B2F49"/>
    <w:rsid w:val="003C22A2"/>
    <w:rsid w:val="003D16DA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011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E0809"/>
    <w:rsid w:val="00602E7E"/>
    <w:rsid w:val="00615129"/>
    <w:rsid w:val="00631F8F"/>
    <w:rsid w:val="00632CAA"/>
    <w:rsid w:val="00653DF7"/>
    <w:rsid w:val="006570E2"/>
    <w:rsid w:val="0067131B"/>
    <w:rsid w:val="006730F5"/>
    <w:rsid w:val="00677966"/>
    <w:rsid w:val="00681392"/>
    <w:rsid w:val="00687C2F"/>
    <w:rsid w:val="006929D5"/>
    <w:rsid w:val="006D424E"/>
    <w:rsid w:val="006E6B0C"/>
    <w:rsid w:val="006F78BF"/>
    <w:rsid w:val="00711622"/>
    <w:rsid w:val="00713379"/>
    <w:rsid w:val="00722D12"/>
    <w:rsid w:val="007639FB"/>
    <w:rsid w:val="007764CA"/>
    <w:rsid w:val="00776D55"/>
    <w:rsid w:val="00784CE0"/>
    <w:rsid w:val="00786AAD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70690"/>
    <w:rsid w:val="00896BFD"/>
    <w:rsid w:val="008A673C"/>
    <w:rsid w:val="008A6A4E"/>
    <w:rsid w:val="008A7D4A"/>
    <w:rsid w:val="008C1A6D"/>
    <w:rsid w:val="008E2D22"/>
    <w:rsid w:val="008F5285"/>
    <w:rsid w:val="008F7620"/>
    <w:rsid w:val="00900494"/>
    <w:rsid w:val="009039EC"/>
    <w:rsid w:val="00910987"/>
    <w:rsid w:val="009220AC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9C5EDB"/>
    <w:rsid w:val="00A01E69"/>
    <w:rsid w:val="00A20835"/>
    <w:rsid w:val="00A23981"/>
    <w:rsid w:val="00A248BD"/>
    <w:rsid w:val="00A42D7D"/>
    <w:rsid w:val="00A669A5"/>
    <w:rsid w:val="00A71B4E"/>
    <w:rsid w:val="00A80EFC"/>
    <w:rsid w:val="00A95E52"/>
    <w:rsid w:val="00A97919"/>
    <w:rsid w:val="00AA5CF8"/>
    <w:rsid w:val="00AB00F5"/>
    <w:rsid w:val="00AC30E5"/>
    <w:rsid w:val="00AD36D5"/>
    <w:rsid w:val="00AE5151"/>
    <w:rsid w:val="00AF3F8A"/>
    <w:rsid w:val="00B0541E"/>
    <w:rsid w:val="00B140A6"/>
    <w:rsid w:val="00B14345"/>
    <w:rsid w:val="00B1531C"/>
    <w:rsid w:val="00B63AAD"/>
    <w:rsid w:val="00B73CFD"/>
    <w:rsid w:val="00B77C6D"/>
    <w:rsid w:val="00B87593"/>
    <w:rsid w:val="00BC3330"/>
    <w:rsid w:val="00BD5A4C"/>
    <w:rsid w:val="00BF0286"/>
    <w:rsid w:val="00C0133A"/>
    <w:rsid w:val="00C0208E"/>
    <w:rsid w:val="00C022F5"/>
    <w:rsid w:val="00C325D9"/>
    <w:rsid w:val="00C429EF"/>
    <w:rsid w:val="00C6242F"/>
    <w:rsid w:val="00C747A2"/>
    <w:rsid w:val="00C757F6"/>
    <w:rsid w:val="00CB0EF7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D3BE7"/>
    <w:rsid w:val="00DE2281"/>
    <w:rsid w:val="00DE5BF2"/>
    <w:rsid w:val="00DE7FC9"/>
    <w:rsid w:val="00E0706F"/>
    <w:rsid w:val="00E12CDF"/>
    <w:rsid w:val="00E13A7D"/>
    <w:rsid w:val="00E16A73"/>
    <w:rsid w:val="00E177F5"/>
    <w:rsid w:val="00E37FED"/>
    <w:rsid w:val="00E438B8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E7269"/>
    <w:rsid w:val="00EF29E8"/>
    <w:rsid w:val="00EF4DC1"/>
    <w:rsid w:val="00EF6E3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CBA4"/>
  <w15:docId w15:val="{FCB1A54A-4A09-4FC1-9F54-5DB15DA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Malatia-7</cp:lastModifiedBy>
  <cp:revision>328</cp:revision>
  <cp:lastPrinted>2020-11-06T10:09:00Z</cp:lastPrinted>
  <dcterms:created xsi:type="dcterms:W3CDTF">2016-06-17T06:54:00Z</dcterms:created>
  <dcterms:modified xsi:type="dcterms:W3CDTF">2020-11-06T10:09:00Z</dcterms:modified>
</cp:coreProperties>
</file>