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813A" w14:textId="77777777" w:rsidR="006D5254" w:rsidRPr="00864A6F" w:rsidRDefault="006D5254" w:rsidP="006D5254">
      <w:pPr>
        <w:spacing w:line="252" w:lineRule="auto"/>
        <w:jc w:val="center"/>
        <w:rPr>
          <w:rFonts w:ascii="Sylfaen" w:hAnsi="Sylfaen"/>
          <w:sz w:val="24"/>
          <w:szCs w:val="24"/>
          <w:lang w:val="fr-FR"/>
        </w:rPr>
      </w:pPr>
      <w:r w:rsidRPr="00864A6F">
        <w:rPr>
          <w:rFonts w:ascii="Sylfaen" w:hAnsi="Sylfaen"/>
          <w:sz w:val="24"/>
          <w:szCs w:val="24"/>
          <w:lang w:val="hy-AM"/>
        </w:rPr>
        <w:t>ՀՀ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ԳԵՂԱՐՔՈՒՆԻՔԻ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ՄԱՐԶԻ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ԳԵՂԱՄԱՍԱՐԻ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ՀԱՄԱՅՆՔԱՊԵՏԱՐԱՆԸ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ՀԱՅՏԱՐԱՐՈՒՄ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Է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ՄՐՑՈՒՅԹ</w:t>
      </w:r>
      <w:r w:rsidRPr="00864A6F">
        <w:rPr>
          <w:rFonts w:ascii="Sylfaen" w:hAnsi="Sylfaen"/>
          <w:sz w:val="24"/>
          <w:szCs w:val="24"/>
          <w:lang w:val="fr-FR"/>
        </w:rPr>
        <w:t xml:space="preserve">` </w:t>
      </w:r>
      <w:r w:rsidRPr="00864A6F">
        <w:rPr>
          <w:rFonts w:ascii="Sylfaen" w:hAnsi="Sylfaen"/>
          <w:sz w:val="24"/>
          <w:szCs w:val="24"/>
          <w:lang w:val="hy-AM"/>
        </w:rPr>
        <w:t>ԳԵՂԱՄԱՍԱՐԻ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ՀԱՄԱՅՆՔԱՊԵՏԱՐԱՆԻ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ԱՇԽԱՏԱԿԱԶՄՈՒՄ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ՀԱՄԱՅՆՔԱՅԻՆ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ԾԱՌԱՅՈՒԹՅԱՆ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ՀԵՏԵՎՅԱԼ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ԹԱՓՈՒՐ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r w:rsidRPr="00864A6F">
        <w:rPr>
          <w:rFonts w:ascii="Sylfaen" w:hAnsi="Sylfaen"/>
          <w:sz w:val="24"/>
          <w:szCs w:val="24"/>
          <w:lang w:val="hy-AM"/>
        </w:rPr>
        <w:t>ՊԱՇՏՈՆԸ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ԶԲԱՂԵՑՆԵԼՈՒ</w:t>
      </w:r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/>
          <w:sz w:val="24"/>
          <w:szCs w:val="24"/>
          <w:lang w:val="hy-AM"/>
        </w:rPr>
        <w:t>ՀԱՄԱՐ</w:t>
      </w:r>
    </w:p>
    <w:p w14:paraId="7A9E76BE" w14:textId="77777777" w:rsidR="006D5254" w:rsidRPr="00864A6F" w:rsidRDefault="006D5254" w:rsidP="006D5254">
      <w:pPr>
        <w:spacing w:line="252" w:lineRule="auto"/>
        <w:jc w:val="center"/>
        <w:rPr>
          <w:rFonts w:ascii="Sylfaen" w:hAnsi="Sylfaen"/>
          <w:sz w:val="24"/>
          <w:szCs w:val="24"/>
          <w:lang w:val="fr-FR"/>
        </w:rPr>
      </w:pPr>
    </w:p>
    <w:p w14:paraId="2C3E4DB6" w14:textId="77777777" w:rsidR="006D5254" w:rsidRPr="00864A6F" w:rsidRDefault="006D5254" w:rsidP="006D5254">
      <w:pPr>
        <w:spacing w:line="252" w:lineRule="auto"/>
        <w:jc w:val="center"/>
        <w:rPr>
          <w:rFonts w:ascii="Sylfaen" w:hAnsi="Sylfaen"/>
          <w:sz w:val="24"/>
          <w:szCs w:val="24"/>
          <w:lang w:val="fr-FR"/>
        </w:rPr>
      </w:pPr>
      <w:proofErr w:type="spellStart"/>
      <w:r w:rsidRPr="00864A6F">
        <w:rPr>
          <w:rFonts w:ascii="Sylfaen" w:hAnsi="Sylfaen"/>
          <w:sz w:val="24"/>
          <w:szCs w:val="24"/>
        </w:rPr>
        <w:t>Գեղամասարի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864A6F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/>
          <w:sz w:val="24"/>
          <w:szCs w:val="24"/>
        </w:rPr>
        <w:t>աշխատակազմի</w:t>
      </w:r>
      <w:proofErr w:type="spellEnd"/>
      <w:proofErr w:type="gramEnd"/>
    </w:p>
    <w:p w14:paraId="6D380E2A" w14:textId="637A7EFE" w:rsidR="006D5254" w:rsidRPr="00864A6F" w:rsidRDefault="00864A6F" w:rsidP="006D5254">
      <w:pPr>
        <w:spacing w:line="252" w:lineRule="auto"/>
        <w:jc w:val="center"/>
        <w:rPr>
          <w:rFonts w:ascii="Sylfaen" w:hAnsi="Sylfaen"/>
          <w:sz w:val="24"/>
          <w:szCs w:val="24"/>
          <w:lang w:val="fr-FR"/>
        </w:rPr>
      </w:pPr>
      <w:proofErr w:type="spellStart"/>
      <w:r w:rsidRPr="00864A6F">
        <w:rPr>
          <w:rFonts w:ascii="Sylfaen" w:hAnsi="Sylfaen"/>
          <w:sz w:val="24"/>
          <w:szCs w:val="24"/>
        </w:rPr>
        <w:t>Ա</w:t>
      </w:r>
      <w:r w:rsidR="006D5254" w:rsidRPr="00864A6F">
        <w:rPr>
          <w:rFonts w:ascii="Sylfaen" w:hAnsi="Sylfaen"/>
          <w:sz w:val="24"/>
          <w:szCs w:val="24"/>
        </w:rPr>
        <w:t>ռաջ</w:t>
      </w:r>
      <w:proofErr w:type="spellEnd"/>
      <w:r w:rsidRPr="00864A6F">
        <w:rPr>
          <w:rFonts w:ascii="Sylfaen" w:hAnsi="Sylfaen"/>
          <w:sz w:val="24"/>
          <w:szCs w:val="24"/>
          <w:lang w:val="hy-AM"/>
        </w:rPr>
        <w:t xml:space="preserve">ին </w:t>
      </w:r>
      <w:r w:rsidRPr="00864A6F">
        <w:rPr>
          <w:rFonts w:ascii="Sylfaen" w:eastAsia="Arial Unicode MS" w:hAnsi="Sylfaen" w:cs="Arial Unicode MS"/>
          <w:sz w:val="24"/>
          <w:szCs w:val="24"/>
          <w:lang w:val="hy-AM"/>
        </w:rPr>
        <w:t>կարգի</w:t>
      </w:r>
      <w:r w:rsidR="006D5254" w:rsidRPr="00864A6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D5254" w:rsidRPr="00864A6F">
        <w:rPr>
          <w:rFonts w:ascii="Sylfaen" w:hAnsi="Sylfaen"/>
          <w:sz w:val="24"/>
          <w:szCs w:val="24"/>
        </w:rPr>
        <w:t>մասնագետ</w:t>
      </w:r>
      <w:proofErr w:type="spellEnd"/>
    </w:p>
    <w:p w14:paraId="1A84534D" w14:textId="77777777" w:rsidR="006D5254" w:rsidRPr="00864A6F" w:rsidRDefault="006D5254" w:rsidP="006D5254">
      <w:pPr>
        <w:spacing w:line="252" w:lineRule="auto"/>
        <w:jc w:val="center"/>
        <w:rPr>
          <w:rFonts w:ascii="Sylfaen" w:hAnsi="Sylfaen"/>
          <w:sz w:val="24"/>
          <w:szCs w:val="24"/>
          <w:lang w:val="fr-FR"/>
        </w:rPr>
      </w:pPr>
      <w:r w:rsidRPr="00864A6F">
        <w:rPr>
          <w:rFonts w:ascii="Sylfaen" w:hAnsi="Sylfaen"/>
          <w:sz w:val="24"/>
          <w:szCs w:val="24"/>
          <w:lang w:val="fr-FR"/>
        </w:rPr>
        <w:t>/</w:t>
      </w:r>
      <w:proofErr w:type="spellStart"/>
      <w:proofErr w:type="gramStart"/>
      <w:r w:rsidRPr="00864A6F">
        <w:rPr>
          <w:rFonts w:ascii="Sylfaen" w:hAnsi="Sylfaen"/>
          <w:sz w:val="24"/>
          <w:szCs w:val="24"/>
        </w:rPr>
        <w:t>ծածկագիր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3.</w:t>
      </w:r>
      <w:r w:rsidRPr="00864A6F">
        <w:rPr>
          <w:rFonts w:ascii="Sylfaen" w:hAnsi="Sylfaen"/>
          <w:sz w:val="24"/>
          <w:szCs w:val="24"/>
          <w:lang w:val="hy-AM"/>
        </w:rPr>
        <w:t>2</w:t>
      </w:r>
      <w:proofErr w:type="gramEnd"/>
      <w:r w:rsidRPr="00864A6F">
        <w:rPr>
          <w:rFonts w:ascii="Sylfaen" w:hAnsi="Sylfaen"/>
          <w:sz w:val="24"/>
          <w:szCs w:val="24"/>
          <w:lang w:val="fr-FR"/>
        </w:rPr>
        <w:t>-6/</w:t>
      </w:r>
    </w:p>
    <w:p w14:paraId="617C7621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fr-FR"/>
        </w:rPr>
      </w:pPr>
      <w:proofErr w:type="spellStart"/>
      <w:proofErr w:type="gramStart"/>
      <w:r w:rsidRPr="00864A6F">
        <w:rPr>
          <w:rFonts w:ascii="Sylfaen" w:hAnsi="Sylfaen" w:cs="Arial"/>
          <w:sz w:val="24"/>
          <w:szCs w:val="24"/>
        </w:rPr>
        <w:t>Նշված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պաշտոնը</w:t>
      </w:r>
      <w:proofErr w:type="spellEnd"/>
      <w:proofErr w:type="gram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զբաղեցնող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համայնքային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ծառայողն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իրականացնում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r w:rsidRPr="00864A6F">
        <w:rPr>
          <w:rFonts w:ascii="Sylfaen" w:hAnsi="Sylfaen" w:cs="Arial"/>
          <w:sz w:val="24"/>
          <w:szCs w:val="24"/>
        </w:rPr>
        <w:t>է</w:t>
      </w:r>
      <w:r w:rsidRPr="00864A6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864A6F">
        <w:rPr>
          <w:rFonts w:ascii="Sylfaen" w:hAnsi="Sylfaen" w:cs="Arial"/>
          <w:sz w:val="24"/>
          <w:szCs w:val="24"/>
        </w:rPr>
        <w:t>պաշտոնի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անձնագրով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սահմանված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հետևյալ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հիմնական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864A6F">
        <w:rPr>
          <w:rFonts w:ascii="Sylfaen" w:hAnsi="Sylfaen" w:cs="Arial"/>
          <w:sz w:val="24"/>
          <w:szCs w:val="24"/>
        </w:rPr>
        <w:t>գործառույթները</w:t>
      </w:r>
      <w:proofErr w:type="spellEnd"/>
      <w:r w:rsidRPr="00864A6F">
        <w:rPr>
          <w:rFonts w:ascii="Sylfaen" w:hAnsi="Sylfaen"/>
          <w:sz w:val="24"/>
          <w:szCs w:val="24"/>
          <w:lang w:val="fr-FR"/>
        </w:rPr>
        <w:t>`</w:t>
      </w:r>
    </w:p>
    <w:p w14:paraId="7ECCC2ED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</w:t>
      </w:r>
      <w:proofErr w:type="gramEnd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 xml:space="preserve">)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կատարում</w:t>
      </w:r>
      <w:proofErr w:type="spellEnd"/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է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ru-RU" w:eastAsia="ru-RU"/>
        </w:rPr>
        <w:t>աշխատակազմի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ru-RU" w:eastAsia="ru-RU"/>
        </w:rPr>
        <w:t>քարտուղարի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հանձնարարությունները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`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ժամանակին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</w:p>
    <w:p w14:paraId="105EF05E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և</w:t>
      </w:r>
      <w:proofErr w:type="gramEnd"/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պատշաճ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որակով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.</w:t>
      </w:r>
    </w:p>
    <w:p w14:paraId="2537F9C7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Calibri"/>
          <w:color w:val="000000"/>
          <w:sz w:val="24"/>
          <w:szCs w:val="24"/>
          <w:shd w:val="clear" w:color="auto" w:fill="EAF1F5"/>
          <w:lang w:val="fr-FR" w:eastAsia="ru-RU"/>
        </w:rPr>
        <w:t> 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բ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 xml:space="preserve">)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իրականացնում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Գեղամասար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բնակավայրի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գույքագրման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աշխատանքները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:</w:t>
      </w:r>
    </w:p>
    <w:p w14:paraId="6F760089" w14:textId="77777777" w:rsidR="006D5254" w:rsidRPr="00864A6F" w:rsidRDefault="006D5254" w:rsidP="006D5254">
      <w:pPr>
        <w:spacing w:after="0" w:line="360" w:lineRule="auto"/>
        <w:ind w:right="-284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գ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վարում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Գեղամասար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բնակավայրի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մտից</w:t>
      </w:r>
      <w:proofErr w:type="spellEnd"/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,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ելից</w:t>
      </w:r>
      <w:proofErr w:type="spellEnd"/>
    </w:p>
    <w:p w14:paraId="1CFF7F48" w14:textId="77777777" w:rsidR="006D5254" w:rsidRPr="00864A6F" w:rsidRDefault="006D5254" w:rsidP="006D5254">
      <w:pPr>
        <w:spacing w:after="0" w:line="360" w:lineRule="auto"/>
        <w:ind w:right="-284"/>
        <w:jc w:val="both"/>
        <w:rPr>
          <w:rFonts w:ascii="Sylfaen" w:eastAsiaTheme="minorEastAsia" w:hAnsi="Sylfaen"/>
          <w:b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փաստաթղթաշրջանառությունը</w:t>
      </w:r>
      <w:proofErr w:type="gramEnd"/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`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տրամադրում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տեղեկանքներ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 :</w:t>
      </w:r>
    </w:p>
    <w:p w14:paraId="10C2BC35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դ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մասնակցում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ֆիզիկական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անձանց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հողի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հարկի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և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գույքահարկի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հավաքագրման</w:t>
      </w:r>
    </w:p>
    <w:p w14:paraId="19BB08EF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աշխատանքներին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և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ինֆորմացիոն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բազայի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համակարգչային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զետեղման</w:t>
      </w:r>
    </w:p>
    <w:p w14:paraId="37527DD6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b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աշխատանքներին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:</w:t>
      </w:r>
    </w:p>
    <w:p w14:paraId="72B23961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ե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վարում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Գեղամասար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բնակավայրի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զինապարտների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գրանցամատյանը</w:t>
      </w:r>
      <w:proofErr w:type="spellEnd"/>
      <w:r w:rsidRPr="00864A6F">
        <w:rPr>
          <w:rFonts w:ascii="Sylfaen" w:eastAsiaTheme="minorEastAsia" w:hAnsi="Sylfaen" w:cs="Calibri"/>
          <w:color w:val="000000"/>
          <w:sz w:val="24"/>
          <w:szCs w:val="24"/>
          <w:shd w:val="clear" w:color="auto" w:fill="EAF1F5"/>
          <w:lang w:val="fr-FR" w:eastAsia="ru-RU"/>
        </w:rPr>
        <w:t> 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: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 xml:space="preserve">                                            </w:t>
      </w:r>
    </w:p>
    <w:p w14:paraId="3A5038BF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b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զ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իրականացնում է համայնքի գրքերի վարումը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:</w:t>
      </w:r>
    </w:p>
    <w:p w14:paraId="329DD0A1" w14:textId="77777777" w:rsidR="006D5254" w:rsidRPr="00864A6F" w:rsidRDefault="006D5254" w:rsidP="006D5254">
      <w:pPr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է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վարում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քաղաքացիներից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ստացված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դիմումների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գրանցամատյանը</w:t>
      </w:r>
      <w:r w:rsidRPr="00864A6F">
        <w:rPr>
          <w:rFonts w:ascii="Sylfaen" w:eastAsiaTheme="minorEastAsia" w:hAnsi="Sylfaen" w:cs="Calibri"/>
          <w:color w:val="000000"/>
          <w:sz w:val="24"/>
          <w:szCs w:val="24"/>
          <w:shd w:val="clear" w:color="auto" w:fill="EAF1F5"/>
          <w:lang w:val="fr-FR" w:eastAsia="ru-RU"/>
        </w:rPr>
        <w:t> 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: </w:t>
      </w:r>
    </w:p>
    <w:p w14:paraId="6B5970C6" w14:textId="77777777" w:rsidR="006D5254" w:rsidRPr="00864A6F" w:rsidRDefault="006D5254" w:rsidP="006D5254">
      <w:pPr>
        <w:spacing w:after="0" w:line="360" w:lineRule="auto"/>
        <w:ind w:right="-284"/>
        <w:jc w:val="both"/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ը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)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տրամադրում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Գեղամասար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բնակավայրի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վիճակագրական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վարչության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հաշվետվությունները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:</w:t>
      </w:r>
      <w:r w:rsidRPr="00864A6F">
        <w:rPr>
          <w:rFonts w:ascii="Sylfaen" w:eastAsiaTheme="minorEastAsia" w:hAnsi="Sylfaen" w:cs="Calibri"/>
          <w:color w:val="000000"/>
          <w:sz w:val="24"/>
          <w:szCs w:val="24"/>
          <w:shd w:val="clear" w:color="auto" w:fill="EAF1F5"/>
          <w:lang w:val="fr-FR" w:eastAsia="ru-RU"/>
        </w:rPr>
        <w:t> </w:t>
      </w:r>
    </w:p>
    <w:p w14:paraId="61485649" w14:textId="77777777" w:rsidR="006D5254" w:rsidRPr="00864A6F" w:rsidRDefault="006D5254" w:rsidP="006D5254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Sylfaen" w:eastAsiaTheme="minorEastAsia" w:hAnsi="Sylfaen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color w:val="000000"/>
          <w:sz w:val="24"/>
          <w:szCs w:val="24"/>
          <w:lang w:val="hy-AM" w:eastAsia="ru-RU"/>
        </w:rPr>
        <w:t>թ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կազմում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է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eastAsia="ru-RU"/>
        </w:rPr>
        <w:t>Գեղամասար</w:t>
      </w:r>
      <w:proofErr w:type="spellEnd"/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ru-RU" w:eastAsia="ru-RU"/>
        </w:rPr>
        <w:t>բնակավայրի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քաղաքացիական</w:t>
      </w:r>
      <w:proofErr w:type="spellEnd"/>
      <w:r w:rsidRPr="00864A6F">
        <w:rPr>
          <w:rFonts w:ascii="Sylfaen" w:eastAsiaTheme="minorEastAsia" w:hAnsi="Sylfaen" w:cs="Arial"/>
          <w:sz w:val="24"/>
          <w:szCs w:val="24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պաշտպանության</w:t>
      </w:r>
      <w:proofErr w:type="spellEnd"/>
      <w:r w:rsidRPr="00864A6F">
        <w:rPr>
          <w:rFonts w:ascii="Sylfaen" w:eastAsiaTheme="minorEastAsia" w:hAnsi="Sylfaen"/>
          <w:sz w:val="24"/>
          <w:szCs w:val="24"/>
          <w:lang w:val="fr-FR" w:eastAsia="ru-RU"/>
        </w:rPr>
        <w:t xml:space="preserve">,                                </w:t>
      </w:r>
    </w:p>
    <w:p w14:paraId="2F232030" w14:textId="77777777" w:rsidR="006D5254" w:rsidRPr="00864A6F" w:rsidRDefault="006D5254" w:rsidP="006D5254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b/>
          <w:color w:val="000000"/>
          <w:sz w:val="24"/>
          <w:szCs w:val="24"/>
          <w:lang w:val="fr-FR" w:eastAsia="ru-RU"/>
        </w:rPr>
      </w:pPr>
      <w:proofErr w:type="spellStart"/>
      <w:proofErr w:type="gramStart"/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զորահավաքային</w:t>
      </w:r>
      <w:proofErr w:type="spellEnd"/>
      <w:proofErr w:type="gramEnd"/>
      <w:r w:rsidRPr="00864A6F">
        <w:rPr>
          <w:rFonts w:ascii="Sylfaen" w:eastAsiaTheme="minorEastAsia" w:hAnsi="Sylfaen" w:cs="Arial"/>
          <w:sz w:val="24"/>
          <w:szCs w:val="24"/>
          <w:lang w:val="hy-AM" w:eastAsia="ru-RU"/>
        </w:rPr>
        <w:t xml:space="preserve"> </w:t>
      </w:r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և</w:t>
      </w:r>
      <w:r w:rsidRPr="00864A6F">
        <w:rPr>
          <w:rFonts w:ascii="Sylfaen" w:eastAsiaTheme="minorEastAsia" w:hAnsi="Sylfaen" w:cs="Arial"/>
          <w:sz w:val="24"/>
          <w:szCs w:val="24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տարհանման</w:t>
      </w:r>
      <w:proofErr w:type="spellEnd"/>
      <w:r w:rsidRPr="00864A6F">
        <w:rPr>
          <w:rFonts w:ascii="Sylfaen" w:eastAsiaTheme="minorEastAsia" w:hAnsi="Sylfaen" w:cs="Arial"/>
          <w:sz w:val="24"/>
          <w:szCs w:val="24"/>
          <w:lang w:val="hy-AM" w:eastAsia="ru-RU"/>
        </w:rPr>
        <w:t xml:space="preserve"> </w:t>
      </w:r>
      <w:proofErr w:type="spellStart"/>
      <w:r w:rsidRPr="00864A6F">
        <w:rPr>
          <w:rFonts w:ascii="Sylfaen" w:eastAsiaTheme="minorEastAsia" w:hAnsi="Sylfaen" w:cs="Arial"/>
          <w:sz w:val="24"/>
          <w:szCs w:val="24"/>
          <w:lang w:val="fr-FR" w:eastAsia="ru-RU"/>
        </w:rPr>
        <w:t>պլաննե</w:t>
      </w:r>
      <w:proofErr w:type="spellEnd"/>
      <w:r w:rsidRPr="00864A6F">
        <w:rPr>
          <w:rFonts w:ascii="Sylfaen" w:eastAsiaTheme="minorEastAsia" w:hAnsi="Sylfaen" w:cs="Arial"/>
          <w:sz w:val="24"/>
          <w:szCs w:val="24"/>
          <w:lang w:val="ru-RU" w:eastAsia="ru-RU"/>
        </w:rPr>
        <w:t>րը</w:t>
      </w:r>
      <w:r w:rsidRPr="00864A6F">
        <w:rPr>
          <w:rFonts w:ascii="Sylfaen" w:eastAsiaTheme="minorEastAsia" w:hAnsi="Sylfaen"/>
          <w:sz w:val="24"/>
          <w:szCs w:val="24"/>
          <w:lang w:val="fr-FR" w:eastAsia="ru-RU"/>
        </w:rPr>
        <w:t>:</w:t>
      </w:r>
    </w:p>
    <w:p w14:paraId="719699F7" w14:textId="77777777" w:rsidR="006D5254" w:rsidRPr="00864A6F" w:rsidRDefault="006D5254" w:rsidP="006D5254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b/>
          <w:color w:val="000000"/>
          <w:sz w:val="24"/>
          <w:szCs w:val="24"/>
          <w:lang w:val="fr-FR" w:eastAsia="ru-RU"/>
        </w:rPr>
      </w:pPr>
    </w:p>
    <w:p w14:paraId="399D9257" w14:textId="77777777" w:rsidR="006D5254" w:rsidRPr="00864A6F" w:rsidRDefault="006D5254" w:rsidP="006D5254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Առաջին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կարգի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մասնագետն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ունի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o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րենքով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,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իրավական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այլ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ակտերով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նախատեսված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</w:p>
    <w:p w14:paraId="6D03E5F3" w14:textId="77777777" w:rsidR="006D5254" w:rsidRPr="00864A6F" w:rsidRDefault="006D5254" w:rsidP="006D5254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այլ</w:t>
      </w:r>
      <w:proofErr w:type="gramEnd"/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իրավունքներ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և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կրում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է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այդ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ակտերով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նախատեսված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այլ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fr-FR" w:eastAsia="ru-RU"/>
        </w:rPr>
        <w:t>պարտականություններ</w:t>
      </w:r>
      <w:r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>:</w:t>
      </w:r>
    </w:p>
    <w:p w14:paraId="49998D05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lastRenderedPageBreak/>
        <w:t xml:space="preserve">Նշված  թափուր  պաշտոնը  զբաղեցնելու  համար  մասնագիտական  գիտելիքների  և  աշխատանքային  ունակությունների  տիրապետմանը  ներկայացվող  </w:t>
      </w:r>
      <w:r w:rsidRPr="00864A6F">
        <w:rPr>
          <w:rFonts w:ascii="Sylfaen" w:hAnsi="Sylfaen" w:cs="Arial"/>
          <w:sz w:val="24"/>
          <w:szCs w:val="24"/>
          <w:lang w:val="hy-AM"/>
        </w:rPr>
        <w:t>պահանջներն</w:t>
      </w:r>
      <w:r w:rsidRPr="00864A6F">
        <w:rPr>
          <w:rFonts w:ascii="Sylfaen" w:hAnsi="Sylfaen"/>
          <w:sz w:val="24"/>
          <w:szCs w:val="24"/>
          <w:lang w:val="hy-AM"/>
        </w:rPr>
        <w:t xml:space="preserve">  </w:t>
      </w:r>
      <w:r w:rsidRPr="00864A6F">
        <w:rPr>
          <w:rFonts w:ascii="Sylfaen" w:hAnsi="Sylfaen" w:cs="Arial"/>
          <w:sz w:val="24"/>
          <w:szCs w:val="24"/>
          <w:lang w:val="hy-AM"/>
        </w:rPr>
        <w:t>են</w:t>
      </w:r>
      <w:r w:rsidRPr="00864A6F">
        <w:rPr>
          <w:rFonts w:ascii="Sylfaen" w:hAnsi="Sylfaen"/>
          <w:sz w:val="24"/>
          <w:szCs w:val="24"/>
          <w:lang w:val="hy-AM"/>
        </w:rPr>
        <w:t>`</w:t>
      </w:r>
    </w:p>
    <w:p w14:paraId="22C3C878" w14:textId="374B6070" w:rsidR="006D5254" w:rsidRPr="00864A6F" w:rsidRDefault="00FE11F0" w:rsidP="006D5254">
      <w:pPr>
        <w:widowControl w:val="0"/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hy-AM" w:eastAsia="ru-RU"/>
        </w:rPr>
        <w:t>ա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="006D5254" w:rsidRPr="00864A6F">
        <w:rPr>
          <w:rFonts w:ascii="Sylfaen" w:eastAsiaTheme="minorEastAsia" w:hAnsi="Sylfaen"/>
          <w:iCs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առնվազն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միջնակարգ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կրթություն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.</w:t>
      </w:r>
    </w:p>
    <w:p w14:paraId="4BEE5A4A" w14:textId="08BAA0D8" w:rsidR="006D5254" w:rsidRPr="00864A6F" w:rsidRDefault="00FE11F0" w:rsidP="006D5254">
      <w:pPr>
        <w:shd w:val="clear" w:color="auto" w:fill="FFFFFF"/>
        <w:spacing w:after="0" w:line="360" w:lineRule="auto"/>
        <w:ind w:right="-284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hy-AM" w:eastAsia="ru-RU"/>
        </w:rPr>
        <w:t>բ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ՀՀ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Սահմանադրության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,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 xml:space="preserve"> 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Համայնքային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ծառայության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, 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Հանրային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ծառայության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,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 xml:space="preserve"> 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Տեղական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ինքնակառավարման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, 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Դրամարկղային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գործառույթների 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, 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Զինապարտության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&gt;&gt;, 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&lt;&lt;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Պետական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hy-AM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վ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իճակագրության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մասին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>&gt;&gt;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hy-AM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hy-AM" w:eastAsia="ru-RU"/>
        </w:rPr>
        <w:t>Հայաստանի Հանրապետության օրենքների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shd w:val="clear" w:color="auto" w:fill="EAF1F5"/>
          <w:lang w:val="fr-FR" w:eastAsia="ru-RU"/>
        </w:rPr>
        <w:t xml:space="preserve">, </w:t>
      </w:r>
    </w:p>
    <w:p w14:paraId="120AB9A7" w14:textId="77777777" w:rsidR="006D5254" w:rsidRPr="00864A6F" w:rsidRDefault="006D5254" w:rsidP="006D5254">
      <w:pPr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աշխատակազմի</w:t>
      </w:r>
      <w:proofErr w:type="gramEnd"/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կանոնադրության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և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իր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լիազորությունների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հետ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կապված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այլ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</w:p>
    <w:p w14:paraId="4080FD4E" w14:textId="77777777" w:rsidR="006D5254" w:rsidRPr="00864A6F" w:rsidRDefault="006D5254" w:rsidP="006D5254">
      <w:pPr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իրավական</w:t>
      </w:r>
      <w:proofErr w:type="gramEnd"/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ակտերի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անհրաժեշտ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իմացություն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,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ինչպես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նաև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տրամաբանելու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,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տարբեր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</w:p>
    <w:p w14:paraId="2F8277AC" w14:textId="77777777" w:rsidR="006D5254" w:rsidRPr="00864A6F" w:rsidRDefault="006D5254" w:rsidP="006D5254">
      <w:pPr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 w:cs="Tahoma"/>
          <w:color w:val="000000"/>
          <w:sz w:val="24"/>
          <w:szCs w:val="24"/>
          <w:shd w:val="clear" w:color="auto" w:fill="EAF1F5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իրավիճակներում</w:t>
      </w:r>
      <w:proofErr w:type="gramEnd"/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կողմնորոշվելու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ունակություն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.</w:t>
      </w:r>
    </w:p>
    <w:p w14:paraId="3B35CF43" w14:textId="2BF1F748" w:rsidR="006D5254" w:rsidRPr="00864A6F" w:rsidRDefault="00FE11F0" w:rsidP="006D5254">
      <w:pPr>
        <w:widowControl w:val="0"/>
        <w:shd w:val="clear" w:color="auto" w:fill="FFFFFF"/>
        <w:spacing w:after="0" w:line="360" w:lineRule="auto"/>
        <w:ind w:left="-567" w:right="-284" w:firstLine="567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hy-AM" w:eastAsia="ru-RU"/>
        </w:rPr>
        <w:t>գ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տիրապետում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անհրաժեշտ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տեղեկատվությանը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.</w:t>
      </w:r>
    </w:p>
    <w:p w14:paraId="1A5D05A6" w14:textId="5D99E4A0" w:rsidR="006D5254" w:rsidRPr="00864A6F" w:rsidRDefault="00FE11F0" w:rsidP="006D5254">
      <w:pPr>
        <w:widowControl w:val="0"/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r w:rsidRPr="00864A6F">
        <w:rPr>
          <w:rFonts w:ascii="Sylfaen" w:eastAsiaTheme="minorEastAsia" w:hAnsi="Sylfaen" w:cs="Arial"/>
          <w:iCs/>
          <w:color w:val="000000"/>
          <w:sz w:val="24"/>
          <w:szCs w:val="24"/>
          <w:lang w:val="hy-AM" w:eastAsia="ru-RU"/>
        </w:rPr>
        <w:t>դ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shd w:val="clear" w:color="auto" w:fill="EAF1F5"/>
          <w:lang w:val="fr-FR" w:eastAsia="ru-RU"/>
        </w:rPr>
        <w:t>)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համակարգչով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և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ժամանակակից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այլ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տեխնիկական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միջոցներով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 </w:t>
      </w:r>
      <w:r w:rsidR="006D5254"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աշխատելու</w:t>
      </w:r>
      <w:r w:rsidR="006D5254"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 xml:space="preserve"> </w:t>
      </w:r>
    </w:p>
    <w:p w14:paraId="7DAE6FA4" w14:textId="77777777" w:rsidR="006D5254" w:rsidRPr="00864A6F" w:rsidRDefault="006D5254" w:rsidP="006D5254">
      <w:pPr>
        <w:widowControl w:val="0"/>
        <w:shd w:val="clear" w:color="auto" w:fill="FFFFFF"/>
        <w:spacing w:after="0" w:line="360" w:lineRule="auto"/>
        <w:ind w:left="-567" w:right="-284" w:firstLine="567"/>
        <w:jc w:val="both"/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</w:pPr>
      <w:proofErr w:type="gramStart"/>
      <w:r w:rsidRPr="00864A6F">
        <w:rPr>
          <w:rFonts w:ascii="Sylfaen" w:eastAsiaTheme="minorEastAsia" w:hAnsi="Sylfaen" w:cs="Arial"/>
          <w:color w:val="000000"/>
          <w:sz w:val="24"/>
          <w:szCs w:val="24"/>
          <w:lang w:val="fr-FR" w:eastAsia="ru-RU"/>
        </w:rPr>
        <w:t>ունակություն</w:t>
      </w:r>
      <w:r w:rsidRPr="00864A6F">
        <w:rPr>
          <w:rFonts w:ascii="Sylfaen" w:eastAsiaTheme="minorEastAsia" w:hAnsi="Sylfaen"/>
          <w:color w:val="000000"/>
          <w:sz w:val="24"/>
          <w:szCs w:val="24"/>
          <w:lang w:val="fr-FR" w:eastAsia="ru-RU"/>
        </w:rPr>
        <w:t>:</w:t>
      </w:r>
      <w:proofErr w:type="gramEnd"/>
    </w:p>
    <w:p w14:paraId="27FDEB94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Մրցույթին  մասնակցելու  համար  դիմողները  պետք  է  ներկայացնեն  հետևյալ  փաստաթղթերը`</w:t>
      </w:r>
    </w:p>
    <w:p w14:paraId="53435020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1.  գրավոր  դիմում` մրցութային  հանձնաժողովի  անունով,</w:t>
      </w:r>
    </w:p>
    <w:p w14:paraId="5865C0C7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2. մասնագիտական  գիտելիքների  և  աշխատանքային  ունակությունների  տիրապետմանը  ներկայացվող  պահանջների  բավարարումը  հավաստող  փաստաթղթերի` դիպլոմի /ների/, վկայականի /ների/ պատճենները` բնօրինակների  հետ  միասին,</w:t>
      </w:r>
    </w:p>
    <w:p w14:paraId="52A17460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 xml:space="preserve">3. հայտարարություն  այն  մասին, որ  ինքը  չի  տառապում  Հայաստանի  Հանրապետության  կառավարության  2011 թվականի դեկտեմբերի 15-ի N 1801-ն որոշմամբ  հաստատված  ցանկում  ընդգրկված  հիվանդություններից  որևէ  մեկով, </w:t>
      </w:r>
    </w:p>
    <w:p w14:paraId="16FA57CD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4. հայտարարություն  այն  մասին, որ  ինքը  դատական  կարգով  չի  ճանաչվել  անգործունակ  կամ  սահմանափակ  գործունակ,</w:t>
      </w:r>
    </w:p>
    <w:p w14:paraId="1D070D8B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5. &lt;&lt;Համայնքային  ծառայության  մասին&gt;&gt;  ՀՀ  օրենքի  12-րդ  հոդվածի  &lt;&lt;ե&gt;&gt;  կետի  պահանջը  բավարարելու  նպատակով  արական  սեռի  անձինք  ներկայացնում  են  նաև  զինգրքույկի  կամ  դրան  փոխարինող  ժամանակավոր  զորակոչային  տեղամասի կցագրման  վկայականի  պատճենները  կամ  համապատասխան  տեղեկանք,</w:t>
      </w:r>
    </w:p>
    <w:p w14:paraId="329F5E92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lastRenderedPageBreak/>
        <w:t>6. մեկ  լուսանկար  / 3x4  չափսի/,</w:t>
      </w:r>
    </w:p>
    <w:p w14:paraId="26FBCF0C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7. անձնագրի  պատճենը:</w:t>
      </w:r>
    </w:p>
    <w:p w14:paraId="2542C831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Մրցույթին  մասնակցելու  համար  փաստաթղթերը  ներկայացնել  անձամբ` անձնագրով  կամ  անձը  հաստատող  փաստաթղթով: Ներկայացված  փաստաթղթերը, պատճենները  հետ  չեն  վերադարձվում:</w:t>
      </w:r>
    </w:p>
    <w:p w14:paraId="0E06C88F" w14:textId="77777777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>Դիմողները  փաստաթղթերը  կարող  են  ներկայացնել, ինչպես  նաև   ծանոթանալ պաշտոնի  անձնագրին  և  հարցաշարին, նշված հասցեով՝  ամեն  օր,  ժամը  10.00-ից  մինչև  15.00-ն, բացի  շաբաթ, կիրակի  օրերից `</w:t>
      </w:r>
    </w:p>
    <w:p w14:paraId="3548D7BD" w14:textId="4F80633A" w:rsidR="006D5254" w:rsidRPr="00864A6F" w:rsidRDefault="006D5254" w:rsidP="006D5254">
      <w:pPr>
        <w:spacing w:line="252" w:lineRule="auto"/>
        <w:rPr>
          <w:rFonts w:ascii="Sylfaen" w:hAnsi="Sylfaen"/>
          <w:sz w:val="24"/>
          <w:szCs w:val="24"/>
          <w:lang w:val="hy-AM"/>
        </w:rPr>
      </w:pPr>
      <w:r w:rsidRPr="00864A6F">
        <w:rPr>
          <w:rFonts w:ascii="Sylfaen" w:hAnsi="Sylfaen"/>
          <w:sz w:val="24"/>
          <w:szCs w:val="24"/>
          <w:lang w:val="hy-AM"/>
        </w:rPr>
        <w:t xml:space="preserve">ՀՀ  Գեղարքունիքի  մարզ, գ. ՍՈԹՔ՝ ԳԵՂԱՄԱՍԱՐԻ համայնքապետարան, համայնքապետարանի  աշխատակազմ: </w:t>
      </w:r>
    </w:p>
    <w:p w14:paraId="46893391" w14:textId="357602AB" w:rsidR="006D5254" w:rsidRPr="00864A6F" w:rsidRDefault="006D5254" w:rsidP="006D5254">
      <w:pPr>
        <w:spacing w:line="252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864A6F">
        <w:rPr>
          <w:rFonts w:ascii="Sylfaen" w:hAnsi="Sylfaen"/>
          <w:b/>
          <w:bCs/>
          <w:sz w:val="24"/>
          <w:szCs w:val="24"/>
          <w:lang w:val="hy-AM"/>
        </w:rPr>
        <w:t>Մրցույթը  կկայանա  2020  թվականի դեկտեմբերի 2</w:t>
      </w:r>
      <w:r w:rsidR="00587639" w:rsidRPr="00864A6F"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864A6F">
        <w:rPr>
          <w:rFonts w:ascii="Sylfaen" w:hAnsi="Sylfaen"/>
          <w:b/>
          <w:bCs/>
          <w:sz w:val="24"/>
          <w:szCs w:val="24"/>
          <w:lang w:val="hy-AM"/>
        </w:rPr>
        <w:t>-ին, ժամը  12.00-ին`                      Գեղամասարի համայնքապետարանում:</w:t>
      </w:r>
    </w:p>
    <w:p w14:paraId="188C2D93" w14:textId="77777777" w:rsidR="006D5254" w:rsidRPr="00864A6F" w:rsidRDefault="006D5254" w:rsidP="006D5254">
      <w:pPr>
        <w:spacing w:line="252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864A6F">
        <w:rPr>
          <w:rFonts w:ascii="Sylfaen" w:hAnsi="Sylfaen"/>
          <w:b/>
          <w:bCs/>
          <w:sz w:val="24"/>
          <w:szCs w:val="24"/>
          <w:lang w:val="hy-AM"/>
        </w:rPr>
        <w:t>Դիմումների  ընդունման  վերջին  ժամկետն  է  2020  թվականի դեկտեմբերի 09- ը:</w:t>
      </w:r>
    </w:p>
    <w:p w14:paraId="54BD2975" w14:textId="77777777" w:rsidR="006D5254" w:rsidRPr="00864A6F" w:rsidRDefault="006D5254" w:rsidP="006D5254">
      <w:pPr>
        <w:rPr>
          <w:rFonts w:ascii="Sylfaen" w:hAnsi="Sylfaen"/>
          <w:lang w:val="hy-AM"/>
        </w:rPr>
      </w:pPr>
    </w:p>
    <w:p w14:paraId="4F8D9A49" w14:textId="77777777" w:rsidR="006462FE" w:rsidRPr="00864A6F" w:rsidRDefault="006462FE">
      <w:pPr>
        <w:rPr>
          <w:rFonts w:ascii="Sylfaen" w:hAnsi="Sylfaen"/>
          <w:lang w:val="hy-AM"/>
        </w:rPr>
      </w:pPr>
    </w:p>
    <w:sectPr w:rsidR="006462FE" w:rsidRPr="00864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FE"/>
    <w:rsid w:val="00033582"/>
    <w:rsid w:val="0004217A"/>
    <w:rsid w:val="000770D0"/>
    <w:rsid w:val="00503426"/>
    <w:rsid w:val="00587639"/>
    <w:rsid w:val="0059284C"/>
    <w:rsid w:val="005A11E7"/>
    <w:rsid w:val="006462FE"/>
    <w:rsid w:val="006D17F7"/>
    <w:rsid w:val="006D5254"/>
    <w:rsid w:val="00723A2C"/>
    <w:rsid w:val="00864A6F"/>
    <w:rsid w:val="008737CD"/>
    <w:rsid w:val="009435FE"/>
    <w:rsid w:val="009B52A5"/>
    <w:rsid w:val="009E5304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6531"/>
  <w15:chartTrackingRefBased/>
  <w15:docId w15:val="{A9120487-6ED2-471C-AA26-36DC7FB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2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Register</cp:lastModifiedBy>
  <cp:revision>30</cp:revision>
  <dcterms:created xsi:type="dcterms:W3CDTF">2020-11-23T07:49:00Z</dcterms:created>
  <dcterms:modified xsi:type="dcterms:W3CDTF">2020-11-23T13:46:00Z</dcterms:modified>
</cp:coreProperties>
</file>