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9A21B1" w:rsidRDefault="009A21B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</w:pPr>
      <w:r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&lt;&lt;</w:t>
      </w:r>
      <w:r w:rsidR="009B73C4"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>01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&gt;&gt;</w:t>
      </w:r>
      <w:r w:rsidR="00005B72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9B73C4"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>դեկտեմբեր</w:t>
      </w:r>
      <w:r w:rsidR="007B6CAD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20</w:t>
      </w:r>
      <w:r w:rsidR="00FF379C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>20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թ.                            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ab/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ab/>
        <w:t xml:space="preserve">                  </w:t>
      </w:r>
      <w:r>
        <w:rPr>
          <w:rFonts w:ascii="GHEA Grapalat" w:eastAsia="Times New Roman" w:hAnsi="GHEA Grapalat"/>
          <w:i/>
          <w:iCs/>
          <w:noProof/>
          <w:sz w:val="20"/>
          <w:szCs w:val="20"/>
          <w:lang w:eastAsia="ru-RU"/>
        </w:rPr>
        <w:t xml:space="preserve">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="00185244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        </w:t>
      </w:r>
      <w:r w:rsidR="00EF5241" w:rsidRPr="009A21B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2B2D41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  <w:r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Հարկադիր կատարումն ապահովող  ծառայության Արարատի </w:t>
      </w:r>
      <w:r w:rsidR="00FF379C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և Վայոց Ձորի </w:t>
      </w:r>
      <w:r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մարզային բաժնի ավագ հարկադիր կատարող, արդարադատության մայոր` Ա. Գևորգյանս ուսումնասիրելով </w:t>
      </w:r>
      <w:r w:rsidR="009B73C4" w:rsidRPr="009B73C4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30.11</w:t>
      </w:r>
      <w:r w:rsidR="002B2D41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.2020</w:t>
      </w:r>
      <w:r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թ. </w:t>
      </w:r>
      <w:r w:rsidR="00073A6A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վերսկսված </w:t>
      </w:r>
      <w:r w:rsidR="00185244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թիվ</w:t>
      </w:r>
      <w:r w:rsidR="0080023B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</w:t>
      </w:r>
      <w:r w:rsidR="009B73C4" w:rsidRPr="009B73C4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06468271 և 06469341</w:t>
      </w:r>
      <w:r w:rsidR="00FF379C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</w:t>
      </w:r>
      <w:r w:rsidR="00DC28F5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կատարողական վարույթ</w:t>
      </w:r>
      <w:r w:rsidR="003E4662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ներ</w:t>
      </w:r>
      <w:r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ի նյութերը.</w:t>
      </w:r>
    </w:p>
    <w:p w:rsidR="00EF5241" w:rsidRPr="002B2D41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16"/>
          <w:szCs w:val="16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2D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sz w:val="20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274047" w:rsidRPr="002B2D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ՀՀ </w:t>
      </w:r>
      <w:r w:rsidR="0080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Արարատի և Վայոց Ձորի մարզերի </w:t>
      </w:r>
      <w:r w:rsidR="00FF379C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առաջին ատյանի ընդհանուր իրավասության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դատարանի կողմից 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13.07.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020</w:t>
      </w:r>
      <w:r w:rsidR="007B6CAD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. տրված թիվ </w:t>
      </w:r>
      <w:r w:rsidR="0080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ԱՎԴ1/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1435/02/19</w:t>
      </w:r>
      <w:r w:rsidR="00DC28F5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կատարողական թերթով պետք է 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Ռոման Սերգեյի Գրիգորյանից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</w:t>
      </w:r>
      <w:r w:rsidR="00073A6A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հօգուտ </w:t>
      </w:r>
      <w:r w:rsidR="00E82EAA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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ՎՏԲ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Հայաստանբանկ</w:t>
      </w:r>
      <w:r w:rsidR="00E82EAA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 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ՓԲԸ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ի</w:t>
      </w:r>
      <w:r w:rsidR="00005B7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բռնագանձել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2.086.317,20 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ՀՀ դրամ,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13.07.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2020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 տրված թիվ ԱՎԴ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1446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/02/19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կատարողական թերթով 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2.198.130,50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ՀՀ դրա</w:t>
      </w:r>
      <w:r w:rsidR="009B73C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մ</w:t>
      </w:r>
      <w:r w:rsidR="003E4662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,</w:t>
      </w:r>
      <w:r w:rsidR="002B2D41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</w:t>
      </w:r>
      <w:r w:rsidR="0033023B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հաշվարկվող տոկոսներ</w:t>
      </w:r>
      <w:r w:rsidR="007B6CAD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, </w:t>
      </w:r>
      <w:r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ինչպես նաև </w:t>
      </w:r>
      <w:r w:rsidR="00E82EAA" w:rsidRPr="002B2D41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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Դատական </w:t>
      </w:r>
      <w:r w:rsidR="00E82EAA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>ակտերի հարկադրի կատարման  մասին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 ՀՀ օրենքի 67  հոդվածի 2-րդ մասի </w:t>
      </w:r>
      <w:r w:rsidRPr="002B2D41">
        <w:rPr>
          <w:rFonts w:ascii="GHEA Grapalat" w:eastAsia="Times New Roman" w:hAnsi="GHEA Grapalat"/>
          <w:i/>
          <w:iCs/>
          <w:noProof/>
          <w:lang w:val="hy-AM" w:eastAsia="ru-RU"/>
        </w:rPr>
        <w:t>«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>ա</w:t>
      </w:r>
      <w:r w:rsidRPr="002B2D41">
        <w:rPr>
          <w:rFonts w:ascii="GHEA Grapalat" w:eastAsia="Times New Roman" w:hAnsi="GHEA Grapalat"/>
          <w:i/>
          <w:iCs/>
          <w:noProof/>
          <w:lang w:val="hy-AM" w:eastAsia="ru-RU"/>
        </w:rPr>
        <w:t>»</w:t>
      </w: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  <w:r w:rsidR="009D0042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</w:p>
    <w:p w:rsidR="00EF5241" w:rsidRPr="002B2D41" w:rsidRDefault="003E4662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Կատարողական գործողությունների ընթացքում </w:t>
      </w:r>
      <w:r w:rsidR="002B2D41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փորձագետի կողմից գնահատվել է պարտապան </w:t>
      </w:r>
      <w:r w:rsidR="009B73C4">
        <w:rPr>
          <w:rFonts w:ascii="GHEA Grapalat" w:eastAsia="Times New Roman" w:hAnsi="GHEA Grapalat"/>
          <w:i/>
          <w:iCs/>
          <w:noProof/>
          <w:lang w:val="af-ZA" w:eastAsia="ru-RU"/>
        </w:rPr>
        <w:t>Ռոման Գրիգորյանին</w:t>
      </w:r>
      <w:r w:rsidR="002B2D41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կողմից &lt;&lt;ՎՏԲ-Հայաստանբանկ&gt;&gt; ՓԲԸ-ում գրավադրված ոսկյա իրերը</w:t>
      </w:r>
      <w:r w:rsidR="00274047" w:rsidRPr="002B2D41">
        <w:rPr>
          <w:rFonts w:ascii="GHEA Grapalat" w:eastAsia="Times New Roman" w:hAnsi="GHEA Grapalat"/>
          <w:i/>
          <w:iCs/>
          <w:noProof/>
          <w:lang w:val="af-ZA" w:eastAsia="ru-RU"/>
        </w:rPr>
        <w:t>: Պարտապանի անվամբ այլ անշարժ և շարժական գույքեր չի հայտնաբերվել:</w:t>
      </w:r>
    </w:p>
    <w:p w:rsidR="002B2D41" w:rsidRPr="002B2D41" w:rsidRDefault="002B2D41" w:rsidP="002B2D41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lang w:val="af-ZA" w:eastAsia="ru-RU"/>
        </w:rPr>
      </w:pPr>
      <w:r w:rsidRPr="002B2D41">
        <w:rPr>
          <w:rFonts w:ascii="GHEA Grapalat" w:eastAsia="Times New Roman" w:hAnsi="GHEA Grapalat"/>
          <w:i/>
          <w:lang w:val="af-ZA" w:eastAsia="ru-RU"/>
        </w:rPr>
        <w:t xml:space="preserve">Կատարողական գործողությունների արդյունքում պարզվել, որ պարտապանի կողմից գրավադրված  ողջ գույքի վրա բռնագանձում տարածելու պարագայում այդ գույքը </w:t>
      </w:r>
      <w:r w:rsidRPr="002B2D41">
        <w:rPr>
          <w:rFonts w:ascii="GHEA Grapalat" w:eastAsia="Times New Roman" w:hAnsi="GHEA Grapalat"/>
          <w:i/>
          <w:lang w:val="hy-AM"/>
        </w:rPr>
        <w:t xml:space="preserve">օրենքով սահմանված նվազագույն աշխատավարձի </w:t>
      </w:r>
      <w:r w:rsidRPr="002B2D41">
        <w:rPr>
          <w:rFonts w:ascii="GHEA Grapalat" w:eastAsia="Times New Roman" w:hAnsi="GHEA Grapalat"/>
          <w:i/>
        </w:rPr>
        <w:t>երկու</w:t>
      </w:r>
      <w:r w:rsidRPr="002B2D41">
        <w:rPr>
          <w:rFonts w:ascii="GHEA Grapalat" w:eastAsia="Times New Roman" w:hAnsi="GHEA Grapalat"/>
          <w:i/>
          <w:lang w:val="hy-AM"/>
        </w:rPr>
        <w:t>հազարապատիկի և ավելի չափով բավարար չէ պահանջատիրոջ հանդեպ պարտավորությունների ամբողջական կատարումը ապահովելու համար կամ Հարկադիր կատարումն ապահովող ծառայության որևէ կատարողական վարույթով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որևէ այլ պահանջատիրոջ հանդեպ պարտավորությունների ամբողջական կատարումը։</w:t>
      </w:r>
    </w:p>
    <w:p w:rsidR="009A21B1" w:rsidRPr="007D6A02" w:rsidRDefault="009A21B1" w:rsidP="009A21B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af-ZA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2D41" w:rsidRDefault="00EF5241" w:rsidP="009A21B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0"/>
          <w:szCs w:val="20"/>
          <w:lang w:val="hy-AM"/>
        </w:rPr>
      </w:pPr>
      <w:r w:rsidRPr="009A21B1">
        <w:rPr>
          <w:rFonts w:ascii="GHEA Grapalat" w:eastAsia="Times New Roman" w:hAnsi="GHEA Grapalat"/>
          <w:i/>
          <w:noProof/>
          <w:sz w:val="18"/>
          <w:szCs w:val="18"/>
          <w:lang w:val="hy-AM"/>
        </w:rPr>
        <w:t xml:space="preserve">   </w:t>
      </w:r>
      <w:r w:rsidRPr="009A21B1">
        <w:rPr>
          <w:rFonts w:ascii="GHEA Grapalat" w:eastAsia="Times New Roman" w:hAnsi="GHEA Grapalat"/>
          <w:i/>
          <w:noProof/>
          <w:sz w:val="18"/>
          <w:szCs w:val="18"/>
          <w:lang w:val="af-ZA"/>
        </w:rPr>
        <w:t xml:space="preserve"> 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Վերոգրյալի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հիման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վրա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և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ղեկավարվելով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Սնանկության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մասին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»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ՀՀ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օրենքի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6-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 հոդվածի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2-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մասի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, 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Դատական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ակտերի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հարկադիր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կատարման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մասին</w:t>
      </w:r>
      <w:r w:rsidRPr="002B2D41">
        <w:rPr>
          <w:rFonts w:ascii="Sylfaen" w:eastAsia="Times New Roman" w:hAnsi="Sylfaen"/>
          <w:i/>
          <w:iCs/>
          <w:noProof/>
          <w:sz w:val="20"/>
          <w:szCs w:val="20"/>
          <w:lang w:val="hy-AM"/>
        </w:rPr>
        <w:t>»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ՀՀ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օրենքի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28-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հոդվածով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և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37-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հոդվածի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 8-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րդ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hy-AM"/>
        </w:rPr>
        <w:t>կետով</w:t>
      </w:r>
      <w:r w:rsidRPr="002B2D41">
        <w:rPr>
          <w:rFonts w:ascii="GHEA Grapalat" w:eastAsia="Times New Roman" w:hAnsi="GHEA Grapalat"/>
          <w:i/>
          <w:noProof/>
          <w:sz w:val="20"/>
          <w:szCs w:val="20"/>
          <w:lang w:val="af-ZA"/>
        </w:rPr>
        <w:t>.</w:t>
      </w:r>
    </w:p>
    <w:p w:rsidR="00EF5241" w:rsidRPr="002B0044" w:rsidRDefault="00EF5241" w:rsidP="009A21B1">
      <w:pPr>
        <w:spacing w:after="0" w:line="240" w:lineRule="auto"/>
        <w:ind w:firstLine="1080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9A21B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0"/>
          <w:szCs w:val="20"/>
          <w:u w:val="single"/>
          <w:lang w:val="hy-AM"/>
        </w:rPr>
      </w:pPr>
    </w:p>
    <w:p w:rsidR="00EF5241" w:rsidRPr="002B2D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  <w:t>Կասեցնել</w:t>
      </w:r>
      <w:r w:rsidR="00FF379C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="009B73C4" w:rsidRPr="009B73C4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30.</w:t>
      </w:r>
      <w:r w:rsidR="002B2D41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11.2020</w:t>
      </w:r>
      <w:r w:rsidR="00274047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թ. վերսկսված  թիվ </w:t>
      </w:r>
      <w:r w:rsidR="009B73C4" w:rsidRPr="009B73C4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06468271 և 06469341</w:t>
      </w:r>
      <w:r w:rsidR="009B73C4" w:rsidRPr="009B73C4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 xml:space="preserve"> </w:t>
      </w:r>
      <w:r w:rsidR="00274047" w:rsidRPr="002B2D4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  <w:t>կատարողական վարույթները</w:t>
      </w:r>
      <w:r w:rsidR="00274047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="009A21B1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9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0-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օրյա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ժամկետով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.</w:t>
      </w:r>
    </w:p>
    <w:p w:rsidR="00EF5241" w:rsidRPr="002B2D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Առաջարկել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պահանջատիրոջը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և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պարտապանին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նրանցից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որևէ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մեկի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նախաձեռնությամբ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="009A21B1"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9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0-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օրյա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ժամկետում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սնանկության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հայց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ներկայացնել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hy-AM"/>
        </w:rPr>
        <w:t>դատարան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>:</w:t>
      </w:r>
    </w:p>
    <w:p w:rsidR="00EF5241" w:rsidRPr="002B2D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Սույն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որոշումը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երկու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աշխատանքային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օրվա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ընթացքում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հրապարակել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 </w:t>
      </w:r>
      <w:r w:rsidRPr="002B2D41">
        <w:rPr>
          <w:rFonts w:ascii="GHEA Grapalat" w:eastAsia="Times New Roman" w:hAnsi="GHEA Grapalat"/>
          <w:i/>
          <w:iCs/>
          <w:noProof/>
          <w:color w:val="8DB3E2"/>
          <w:sz w:val="24"/>
          <w:szCs w:val="24"/>
          <w:u w:val="single"/>
          <w:lang w:val="af-ZA"/>
        </w:rPr>
        <w:t>www.azdarar.am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ինտերնետային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կայքում</w:t>
      </w:r>
      <w:bookmarkStart w:id="0" w:name="_GoBack"/>
      <w:bookmarkEnd w:id="0"/>
    </w:p>
    <w:p w:rsidR="00EF5241" w:rsidRPr="002B2D4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2D41" w:rsidRDefault="00EF5241" w:rsidP="00643A59">
      <w:pPr>
        <w:spacing w:after="0" w:line="240" w:lineRule="auto"/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</w:pP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Որոշման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պատճեն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ուղարկել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  <w:lang w:val="af-ZA"/>
        </w:rPr>
        <w:t xml:space="preserve"> </w:t>
      </w:r>
      <w:r w:rsidRPr="002B2D41">
        <w:rPr>
          <w:rFonts w:ascii="GHEA Grapalat" w:eastAsia="Times New Roman" w:hAnsi="GHEA Grapalat"/>
          <w:i/>
          <w:iCs/>
          <w:noProof/>
          <w:sz w:val="24"/>
          <w:szCs w:val="24"/>
        </w:rPr>
        <w:t>կողմերին</w:t>
      </w:r>
    </w:p>
    <w:p w:rsidR="00EF5241" w:rsidRPr="002B2D41" w:rsidRDefault="00643A59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 w:eastAsia="ru-RU"/>
        </w:rPr>
      </w:pPr>
      <w:r w:rsidRPr="002B2D41">
        <w:rPr>
          <w:rFonts w:ascii="GHEA Grapalat" w:hAnsi="GHEA Grapalat" w:cs="Sylfaen"/>
          <w:i/>
          <w:color w:val="000000"/>
          <w:sz w:val="24"/>
          <w:szCs w:val="24"/>
          <w:lang w:val="hy-AM"/>
        </w:rPr>
        <w:t>Որոշումը կարող է բողոքարկվել վերադասության կարգով, որոշումը ուժի մեջ մտնելու օրվանից հետո՝ երկամսյա ժամկետում կամ վարչական դատարան՝ օրենքով սահմանված ժամկետներում:</w:t>
      </w:r>
      <w:r w:rsidR="00EF5241"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EF5241"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af-ZA" w:eastAsia="ru-RU"/>
        </w:rPr>
        <w:tab/>
        <w:t xml:space="preserve">              </w:t>
      </w:r>
      <w:r w:rsidR="00EF5241"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af-ZA" w:eastAsia="ru-RU"/>
        </w:rPr>
        <w:tab/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2D41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 w:eastAsia="ru-RU"/>
        </w:rPr>
        <w:t xml:space="preserve">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2B2D41">
      <w:pgSz w:w="12240" w:h="15840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005B72"/>
    <w:rsid w:val="00073A6A"/>
    <w:rsid w:val="00185244"/>
    <w:rsid w:val="00185BA7"/>
    <w:rsid w:val="00274047"/>
    <w:rsid w:val="002B0044"/>
    <w:rsid w:val="002B2D41"/>
    <w:rsid w:val="0033023B"/>
    <w:rsid w:val="00387B8A"/>
    <w:rsid w:val="003E4662"/>
    <w:rsid w:val="00467E55"/>
    <w:rsid w:val="00485BC2"/>
    <w:rsid w:val="00487F37"/>
    <w:rsid w:val="006225B1"/>
    <w:rsid w:val="00641B1E"/>
    <w:rsid w:val="00643A59"/>
    <w:rsid w:val="007B6CAD"/>
    <w:rsid w:val="007D6A02"/>
    <w:rsid w:val="0080023B"/>
    <w:rsid w:val="008B778D"/>
    <w:rsid w:val="00947BCA"/>
    <w:rsid w:val="009A21B1"/>
    <w:rsid w:val="009B73C4"/>
    <w:rsid w:val="009C3625"/>
    <w:rsid w:val="009D0042"/>
    <w:rsid w:val="009D71AC"/>
    <w:rsid w:val="00A83CC2"/>
    <w:rsid w:val="00AD49E1"/>
    <w:rsid w:val="00B62A3F"/>
    <w:rsid w:val="00DC28F5"/>
    <w:rsid w:val="00E008B2"/>
    <w:rsid w:val="00E82EAA"/>
    <w:rsid w:val="00EF5241"/>
    <w:rsid w:val="00F50166"/>
    <w:rsid w:val="00F60CF9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29</cp:revision>
  <cp:lastPrinted>2020-12-01T07:26:00Z</cp:lastPrinted>
  <dcterms:created xsi:type="dcterms:W3CDTF">2018-11-23T08:07:00Z</dcterms:created>
  <dcterms:modified xsi:type="dcterms:W3CDTF">2020-12-01T07:26:00Z</dcterms:modified>
</cp:coreProperties>
</file>