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C384" w14:textId="565BEE7E" w:rsidR="00A108EC" w:rsidRPr="007D079A" w:rsidRDefault="00A108EC" w:rsidP="00A108E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50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14:paraId="6F6B75F1" w14:textId="77777777" w:rsidR="00A108EC" w:rsidRPr="007D079A" w:rsidRDefault="00A108EC" w:rsidP="00A108E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14:paraId="08989A56" w14:textId="77777777" w:rsidR="00A108EC" w:rsidRPr="007D079A" w:rsidRDefault="00A108EC" w:rsidP="00A108EC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14:paraId="1FE24AE6" w14:textId="603F687B" w:rsidR="0043122E" w:rsidRPr="00F007C1" w:rsidRDefault="0047448F" w:rsidP="0047448F">
      <w:pPr>
        <w:pStyle w:val="NoSpacing"/>
        <w:jc w:val="right"/>
        <w:rPr>
          <w:rFonts w:ascii="GHEA Grapalat" w:eastAsia="GHEA Grapalat" w:hAnsi="GHEA Grapalat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6B42C9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14:paraId="4760284E" w14:textId="77777777" w:rsidR="0043122E" w:rsidRPr="00F007C1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4EF70E81" w14:textId="77777777" w:rsidR="0043122E" w:rsidRPr="00F007C1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F007C1"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14:paraId="76F4405A" w14:textId="77777777" w:rsidR="0043122E" w:rsidRPr="00F007C1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14:paraId="1355C691" w14:textId="4E66D7D2" w:rsidR="0043122E" w:rsidRPr="00F007C1" w:rsidRDefault="00052B3F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F007C1"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</w:t>
      </w:r>
      <w:r w:rsidR="00243484" w:rsidRPr="00F007C1">
        <w:rPr>
          <w:rFonts w:ascii="GHEA Grapalat" w:eastAsia="Sylfaen" w:hAnsi="GHEA Grapalat" w:cs="Sylfaen"/>
          <w:b/>
          <w:sz w:val="24"/>
          <w:lang w:val="hy-AM"/>
        </w:rPr>
        <w:t xml:space="preserve"> ՄԱՐՄՆԻ</w:t>
      </w:r>
      <w:r w:rsidR="00593EC5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F2714C" w:rsidRPr="00F007C1">
        <w:rPr>
          <w:rFonts w:ascii="GHEA Grapalat" w:eastAsia="Sylfaen" w:hAnsi="GHEA Grapalat" w:cs="Sylfaen"/>
          <w:b/>
          <w:sz w:val="24"/>
          <w:lang w:val="hy-AM"/>
        </w:rPr>
        <w:t xml:space="preserve">ԻՐԱՎԱԿԱՆ ԱՋԱԿՑՈՒԹՅԱՆ ԵՎ ՓԱՍՏԱԹՂԹԱՇՐՋԱՆԱՌՈՒԹՅԱՆ </w:t>
      </w:r>
      <w:r w:rsidR="0043122E" w:rsidRPr="00F007C1">
        <w:rPr>
          <w:rFonts w:ascii="GHEA Grapalat" w:eastAsia="Sylfaen" w:hAnsi="GHEA Grapalat" w:cs="Sylfaen"/>
          <w:b/>
          <w:sz w:val="24"/>
          <w:lang w:val="hy-AM"/>
        </w:rPr>
        <w:t>ՎԱՐՉՈՒԹՅԱՆՊԵՏ</w:t>
      </w:r>
    </w:p>
    <w:p w14:paraId="5CAF648B" w14:textId="77777777" w:rsidR="0043122E" w:rsidRPr="00F007C1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F007C1" w:rsidRPr="00F007C1" w14:paraId="55740640" w14:textId="77777777" w:rsidTr="00CD764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1075B" w14:textId="1A86D952" w:rsidR="0043122E" w:rsidRPr="00F007C1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F007C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06508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F007C1" w:rsidRPr="006B42C9" w14:paraId="21EA01BA" w14:textId="77777777" w:rsidTr="00CD764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09712" w14:textId="77777777" w:rsidR="0043122E" w:rsidRPr="00F007C1" w:rsidRDefault="0043122E" w:rsidP="0009347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Պաշտոնիանվանումը</w:t>
            </w: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14:paraId="005074DF" w14:textId="5A726077" w:rsidR="0043122E" w:rsidRPr="00F007C1" w:rsidRDefault="001C7604" w:rsidP="006A7A0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F007C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F2714C" w:rsidRPr="00F007C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աջակցության և փաստաթղթաշրջանառության </w:t>
            </w:r>
            <w:r w:rsidRPr="00F007C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F007C1">
              <w:rPr>
                <w:rFonts w:ascii="GHEA Grapalat" w:hAnsi="GHEA Grapalat"/>
                <w:sz w:val="24"/>
                <w:szCs w:val="24"/>
                <w:lang w:val="hy-AM"/>
              </w:rPr>
              <w:t>(այսուհետ՝ Վարչություն) պետ</w:t>
            </w:r>
            <w:r w:rsidR="00593E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3122E" w:rsidRPr="00F007C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F007C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="00F2714C"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27.6</w:t>
            </w:r>
            <w:r w:rsidR="0043122E" w:rsidRPr="00F007C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3122E"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E911C2">
              <w:rPr>
                <w:rFonts w:ascii="GHEA Grapalat" w:eastAsia="Sylfaen" w:hAnsi="GHEA Grapalat" w:cs="Sylfaen"/>
                <w:sz w:val="24"/>
                <w:szCs w:val="24"/>
              </w:rPr>
              <w:t>4</w:t>
            </w:r>
            <w:r w:rsidR="0043122E" w:rsidRPr="00F007C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="00BF1372" w:rsidRPr="00F007C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29A02EA2" w14:textId="77777777" w:rsidR="0043122E" w:rsidRPr="00F007C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Ենթակաևհաշվետուէ</w:t>
            </w:r>
          </w:p>
          <w:p w14:paraId="0129C95C" w14:textId="77777777" w:rsidR="001C7604" w:rsidRPr="00F007C1" w:rsidRDefault="001C7604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0E2CF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պետն անմիջական</w:t>
            </w:r>
            <w:r w:rsidRPr="00F007C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ենթակա և հաշվետու է Տեսչական մարմնի ղեկավարին</w:t>
            </w:r>
            <w:r w:rsidR="00BF1372" w:rsidRPr="00F007C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:</w:t>
            </w:r>
          </w:p>
          <w:p w14:paraId="3B1E7B61" w14:textId="77777777" w:rsidR="0043122E" w:rsidRPr="00F007C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Ենթակաևհաշվետուպաշտոններ</w:t>
            </w:r>
          </w:p>
          <w:p w14:paraId="1B70117B" w14:textId="2DDCCB9D" w:rsidR="0043122E" w:rsidRPr="00F007C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836D46"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="0006508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Բաժնի պետերը</w:t>
            </w:r>
            <w:r w:rsidR="00164F1B"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355B6770" w14:textId="77777777" w:rsidR="0023770E" w:rsidRPr="00F007C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Փոխարինողպաշտոնիկամպաշտոններիանվանումները</w:t>
            </w:r>
          </w:p>
          <w:p w14:paraId="0E9BFFAB" w14:textId="4E5793E2" w:rsidR="0023770E" w:rsidRPr="00F007C1" w:rsidRDefault="0023770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</w:t>
            </w:r>
            <w:r w:rsidRPr="00F00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պետի բացակայության դեպքում նրան փոխարինում է</w:t>
            </w:r>
            <w:r w:rsidR="00BF1372" w:rsidRPr="00F007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1372" w:rsidRPr="00DE632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13B67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2C7552" w:rsidRPr="00DE632F">
              <w:rPr>
                <w:rFonts w:ascii="GHEA Grapalat" w:hAnsi="GHEA Grapalat"/>
                <w:sz w:val="24"/>
                <w:szCs w:val="24"/>
                <w:lang w:val="hy-AM"/>
              </w:rPr>
              <w:t>աժ</w:t>
            </w:r>
            <w:r w:rsidR="002E2B78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2C7552" w:rsidRPr="00DE632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E2B78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2C7552" w:rsidRPr="00DE632F">
              <w:rPr>
                <w:rFonts w:ascii="GHEA Grapalat" w:hAnsi="GHEA Grapalat"/>
                <w:sz w:val="24"/>
                <w:szCs w:val="24"/>
                <w:lang w:val="hy-AM"/>
              </w:rPr>
              <w:t>ի պետ</w:t>
            </w:r>
            <w:r w:rsidR="002E2B78">
              <w:rPr>
                <w:rFonts w:ascii="GHEA Grapalat" w:hAnsi="GHEA Grapalat"/>
                <w:sz w:val="24"/>
                <w:szCs w:val="24"/>
                <w:lang w:val="hy-AM"/>
              </w:rPr>
              <w:t>երից մեկը կամ Տեսչական մարմնի այլ կառուցվածքային ստորաբաժանման ղեկավարը</w:t>
            </w:r>
            <w:r w:rsidRPr="00DE632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1ABFDA5" w14:textId="77777777" w:rsidR="0043122E" w:rsidRPr="00F007C1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0E2E511A" w14:textId="77777777" w:rsidR="00F54B54" w:rsidRPr="00F007C1" w:rsidRDefault="001C7604" w:rsidP="00E1319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 w:rsidR="006C41C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F007C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  <w:r w:rsidR="00BF1372" w:rsidRPr="00F007C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</w:tc>
      </w:tr>
      <w:tr w:rsidR="00F007C1" w:rsidRPr="006B42C9" w14:paraId="29128119" w14:textId="77777777" w:rsidTr="00CD764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107A6" w14:textId="77777777" w:rsidR="00943BC2" w:rsidRPr="00943BC2" w:rsidRDefault="00943BC2" w:rsidP="00943BC2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43B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43BC2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Պաշտոնիբնութագիրը</w:t>
            </w:r>
          </w:p>
          <w:p w14:paraId="249F454C" w14:textId="77777777" w:rsidR="00943BC2" w:rsidRPr="00D77377" w:rsidRDefault="00943BC2" w:rsidP="00943B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43B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 w:rsidRPr="00943B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43B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0D322DDC" w14:textId="77777777" w:rsidR="00F007C1" w:rsidRPr="00D77377" w:rsidRDefault="00F007C1" w:rsidP="00943BC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5915FBB4" w14:textId="79D4882B" w:rsidR="00876159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եսչական մարմնի կանոնադրությամբ, Հայաստանի Հանրապետության օրենքներով և այլ իրավական ակտերով նախատեսված բնակչության սանիտարահամաճարակային անվտանգության ապահովման, բժշկական օգնության և սպասարկման, դեղերի շրջանառության և դեղատնային  գործունեության, </w:t>
            </w:r>
            <w:r w:rsidR="0046120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ներառյալ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վերահսկողության նկատմամբ իրավական աջակցության տրամադրում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3B661DBB" w14:textId="01C12316" w:rsidR="00876159" w:rsidRPr="00305717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վարչական վարույթների հարուցման, ստուգումների իրականացման </w:t>
            </w:r>
            <w:r w:rsidR="00E77BBB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ընթացքում </w:t>
            </w:r>
            <w:r w:rsidR="002D0D77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կառուցվածքային ստորաբաժանումներին </w:t>
            </w:r>
            <w:r w:rsidR="00876159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 հիմքերի և</w:t>
            </w:r>
            <w:r w:rsidR="002D0D77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եզրակացությունների տրամադրման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2D0D77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աշխատանքները</w:t>
            </w:r>
            <w:r w:rsidR="00876159" w:rsidRPr="0030571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78F53A4" w14:textId="0B817DBB" w:rsidR="00876159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իրավաբանական և ֆիզիկական անձանց կողմից ստացված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դիմում-բողոքների, ինչպես նաև Տեսչական մարմնի նախաձեռնության հիման վրա բնակչության սանիտարահամաճարակային անվտանգության ապահովման, բժշկական օգնության և սպասարկման, դեղերի շրջանառության և դեղատնային  գործունեության, </w:t>
            </w:r>
            <w:r w:rsidR="00AD07B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ապահովման, օրենքով Տեսչական մարմնի իրավասությանը վերապահված գովազդի նկատմամբ իրականացվող վերահսկողության շրջանակներում՝ ներառյալ հատուկ նշանակության սննդամթերքի գովազդի բնագավառում, հարուցված վարչական վարույթների և Հայաստանի Հանրապետությունում ստուգումների կազմակերպման և անցկացման մասին ՀՀ օրենքով սահմանված կարգով իրականացվող ստուգումների, ուսումնասիրությունների իրականացման հետ կապված իրավական աջակցության տրամադրում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3088AA13" w14:textId="0F3F215D" w:rsidR="00876159" w:rsidRPr="00305717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վարչական վարույթների, ստուգումների ընթացքում այլ կառուցվածային ստորաբաժանումների կողմից կազմվող և ներկայացվող փաստաթղթերի Վարչության իրավաբանների կողմից ուսումնասիրման և իրավական աջակցման աշխատանքները,</w:t>
            </w:r>
          </w:p>
          <w:p w14:paraId="05F1592C" w14:textId="1C9EA819" w:rsidR="00876159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վերահսկողության վերցված ժամկետային փաստաթղթերի, հանձնարարականների, հրամանների, դիմում-բողոքների համար սահմանված ժամկետներում կատար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16F69E4A" w14:textId="5630F422" w:rsidR="00876159" w:rsidRPr="00305717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</w:t>
            </w:r>
            <w:r w:rsidR="00876159" w:rsidRPr="00305717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վերադասության կարգով բերված բողոքների ուսումնասիրությունը, բողոքարկման արդյունքում ընդունվող իրավական ակտի նախագծի մշակման աշխատանքները,</w:t>
            </w:r>
          </w:p>
          <w:p w14:paraId="0E23444B" w14:textId="79F2C69F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դատարաններ Տեսչական մարմնի անունից հայցադիմումների, բողոքների, միջնորդությունների, դիրքորոշումների, ինչպես նաև Տեսչական մարմնի դեմ ներկայացված հայցադիմումների, վերաքննիչ և վճռաբեկ բողոքների պատասխանների կազմման աշխատանքներ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79FFA8B1" w14:textId="22FB0623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օրենսդրությամբ սահմանված կարգով Տեսչական մարմնի շահերի ներկայացում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ՀՀ դատական բոլոր ատյաններում,</w:t>
            </w:r>
          </w:p>
          <w:p w14:paraId="5FF77806" w14:textId="61EAA85D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վարչական վարույթների ընթացքում լսումներին և վարչական իրավախախտումների վերաբերյալ գործի քննություններին համապատասխան մասնագետների մասնակցություն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33C46369" w14:textId="67CA5877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առողջապահության (բժշկական օգնության և սպասարկման, դեղերի և դեղագործական արտադրատեսակների շրջանառության, բնակչության սանիտարահամաճարակային անվտանգության ապահովման), </w:t>
            </w:r>
            <w:r w:rsidR="00AD07B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նախապատրաստ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102675D5" w14:textId="0CC9BD6C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օրենքների և դրանց համապատասխան ընդունված այլ իրավական ակտերի դրույթների կիրառման վերաբերյալ բացատրական աշխատանքների իրականացում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տնտեսավարող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սուբյեկտներին իրենց իրավունքների և պարտականություննե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րի մասին տեղեկացման աշխատանքները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2E83392F" w14:textId="3EB2D92C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գործառույթներից և խնդիրներից բխող իրավական ակտերի նախագծերի, դրանց վերաբերյալ առաջարկությունների, եզրակացությունների և այլ փաստաթղթերի նախապատրաստ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 ինչպես նաև իրավական ակտերի վերաբերյալ մեթոդական պարզաբանումների և ուղեցույցերի մշակ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7B357A84" w14:textId="01DFE498" w:rsidR="00876159" w:rsidRPr="003605E4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 գործունեության ոլորտներին առնչվող՝ կառավարության և Վարչապետի քննարկմանը կամ կարծիքին ներկայացված իրավական ակտերի նախագծերի, ինչպես նաև առանձին հարցերի հետ կապված մասնագիտական փորձաքննության,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 աշխատանքները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4DAA0DDE" w14:textId="190BADF3" w:rsidR="00876159" w:rsidRPr="000B2573" w:rsidRDefault="00AD5900" w:rsidP="000B257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կառավարման խորհրդի աշխատանքներ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 նիստերի հրավիրման և անցկացման կազմակերպական աշխատանքներ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14:paraId="0FE2D77E" w14:textId="2160E941" w:rsidR="00876159" w:rsidRDefault="00AD5900" w:rsidP="0087615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876159" w:rsidRPr="003605E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Տեսչական մարմնի փաստաթղթաշրջանառության</w:t>
            </w:r>
            <w:r w:rsidR="0087615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աշխատանքները,</w:t>
            </w:r>
          </w:p>
          <w:p w14:paraId="0C71A816" w14:textId="6135A9B6" w:rsidR="000B2573" w:rsidRPr="00305717" w:rsidRDefault="00AD5900" w:rsidP="000B257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</w:t>
            </w:r>
            <w:r w:rsidR="00876159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փաստաթղթավարների կողմից Վարչությ</w:t>
            </w:r>
            <w:r w:rsidR="000B2573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ան </w:t>
            </w:r>
            <w:r w:rsidR="00D11AAA">
              <w:rPr>
                <w:rFonts w:ascii="GHEA Grapalat" w:hAnsi="GHEA Grapalat"/>
                <w:sz w:val="24"/>
                <w:szCs w:val="24"/>
                <w:lang w:val="hy-AM"/>
              </w:rPr>
              <w:t>կողմից ելից համարներ ստացվող, փոստային ծառայության և էլեկտրոնային փոստի միջոցով առաքման ենթակա փաստաթղթերի հաշվառման</w:t>
            </w:r>
            <w:r w:rsidR="000B2573" w:rsidRPr="003057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աշխատանքները,</w:t>
            </w:r>
          </w:p>
          <w:p w14:paraId="7F4A0704" w14:textId="77777777" w:rsidR="00876159" w:rsidRPr="000B2573" w:rsidRDefault="000B2573" w:rsidP="000B257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0B2573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կառավարման խորհրդի քարտուղարի պարտականությունները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։</w:t>
            </w:r>
          </w:p>
          <w:p w14:paraId="55FC190A" w14:textId="77777777" w:rsidR="00876159" w:rsidRDefault="00876159" w:rsidP="0087615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435986C0" w14:textId="77777777" w:rsidR="00876159" w:rsidRPr="00F007C1" w:rsidRDefault="00876159" w:rsidP="0087615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C933FBA" w14:textId="77777777" w:rsidR="00876159" w:rsidRPr="00943BC2" w:rsidRDefault="00876159" w:rsidP="00876159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14:paraId="1800A375" w14:textId="4BF12D84" w:rsidR="00876159" w:rsidRPr="00A14035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Տեսչական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մարմնի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կառուցվածքային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և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տարածքային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ստորաբաժանումներից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ստանալ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համապատասխան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տեղեկատվություն</w:t>
            </w:r>
            <w:r w:rsidRPr="00784C26">
              <w:rPr>
                <w:rFonts w:ascii="GHEA Grapalat" w:eastAsia="Calibri" w:hAnsi="GHEA Grapalat" w:cs="Sylfaen"/>
                <w:sz w:val="24"/>
                <w:szCs w:val="24"/>
              </w:rPr>
              <w:t>,</w:t>
            </w:r>
          </w:p>
          <w:p w14:paraId="6B8B6DA8" w14:textId="2058B013" w:rsidR="00876159" w:rsidRPr="00784C26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Վարչության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առջև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դրված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գործառույթների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և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խնդիրների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իրականացման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նպատակով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հրավի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</w:t>
            </w:r>
            <w:r w:rsidRPr="00784C2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ել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խորհրդակցություններ՝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դրանց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մասնակից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դարձնելով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համապատաս</w:t>
            </w:r>
            <w:r w:rsidRPr="00943BC2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խան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մարմինների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պաշտոնատար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ան</w:t>
            </w:r>
            <w:r w:rsidRPr="00943BC2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ձանց</w:t>
            </w:r>
            <w:r w:rsidRPr="00943BC2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մասնագետների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և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943BC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փորձագետների</w:t>
            </w:r>
            <w:r w:rsidRPr="00943BC2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>.</w:t>
            </w:r>
          </w:p>
          <w:p w14:paraId="5EFAC209" w14:textId="77777777" w:rsidR="00876159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E748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95101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պաշտոնատար անձանցից և կառուցվածքային ստորաբաժանումներից </w:t>
            </w:r>
            <w:r w:rsidRPr="00FE748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վարչական վարույթների, ստուգումների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FE748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 տեղեկատվություն,</w:t>
            </w:r>
          </w:p>
          <w:p w14:paraId="54F2C4C9" w14:textId="77777777" w:rsidR="00876159" w:rsidRPr="00FE7484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E748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Տեսչական մարմնի կառուցվածքային և տարածքային ստորաբաժանումների կատարած աշխատանքների վերաբերյալ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մեթոդական աջակցության շրջանակներում</w:t>
            </w:r>
            <w:r w:rsidRPr="00FE748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ներկայացնել առաջարկություններ,</w:t>
            </w:r>
          </w:p>
          <w:p w14:paraId="007433FB" w14:textId="77777777" w:rsidR="00876159" w:rsidRPr="004C23C2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C23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պահանջել և ստանալ խորհրդի նիստի օրակարգին առնչվող փաստաթղթերը,</w:t>
            </w:r>
          </w:p>
          <w:p w14:paraId="04FAD950" w14:textId="77777777" w:rsidR="00876159" w:rsidRPr="004C23C2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4C23C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ներկայացնել առաջարկություններ խորհրդի նիստի օրակարգի հարցերի և դրանց առնչվող փաստաթղթերի ձևակերպումների վերաբերյալ,</w:t>
            </w:r>
          </w:p>
          <w:p w14:paraId="266F7D39" w14:textId="3AE8C4D5" w:rsidR="00876159" w:rsidRPr="001A17A8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Տեսչական մարմնի ղեկավարին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ներկայացն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ել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առաջարկություններ՝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 xml:space="preserve">վարչական 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lastRenderedPageBreak/>
              <w:t xml:space="preserve">վարույթների, ստուգումների հետ կապված աշխատանքները լիարժեք կատարելու նպատակով անհրաժեշտության դեպքում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Վարչության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խատանքներին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="00AD5900">
              <w:rPr>
                <w:rFonts w:ascii="GHEA Grapalat" w:eastAsia="Calibri" w:hAnsi="GHEA Grapalat" w:cs="Times Armenian"/>
                <w:sz w:val="24"/>
                <w:szCs w:val="24"/>
                <w:lang w:val="hy-AM"/>
              </w:rPr>
              <w:t>ն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ագետ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ներ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փո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ձագետներ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ներգրավելու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ինչպես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նաև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խմբեր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կազ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</w:t>
            </w:r>
            <w:r w:rsidRPr="001A17A8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softHyphen/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վորելու</w:t>
            </w:r>
            <w:r w:rsidR="00AD590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1A17A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համար</w:t>
            </w:r>
            <w:r w:rsidRPr="001A17A8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>։</w:t>
            </w:r>
          </w:p>
          <w:p w14:paraId="1E23CAA9" w14:textId="77777777" w:rsidR="00876159" w:rsidRDefault="00876159" w:rsidP="00876159">
            <w:pPr>
              <w:spacing w:after="0" w:line="240" w:lineRule="auto"/>
              <w:ind w:left="720" w:right="31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</w:p>
          <w:p w14:paraId="5E226C81" w14:textId="77777777" w:rsidR="00876159" w:rsidRPr="00943BC2" w:rsidRDefault="00876159" w:rsidP="00876159">
            <w:pPr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943B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943BC2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14:paraId="69A96E69" w14:textId="77777777" w:rsidR="00876159" w:rsidRPr="006007BF" w:rsidRDefault="00876159" w:rsidP="00876159">
            <w:pPr>
              <w:spacing w:after="0" w:line="240" w:lineRule="auto"/>
              <w:ind w:left="720"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</w:p>
          <w:p w14:paraId="23FD96B3" w14:textId="77777777" w:rsidR="00876159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86437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ստուգել</w:t>
            </w:r>
            <w:r w:rsidRPr="00DB72B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Տեսչական մարմնի շահերի ներկայացուցչ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ի կողմից ներկայացվող փաստաթղթերի փաթեթների </w:t>
            </w:r>
            <w:r w:rsidRPr="0086437E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իրավական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հիմքերը,</w:t>
            </w:r>
          </w:p>
          <w:p w14:paraId="528B21B9" w14:textId="77777777" w:rsidR="00876159" w:rsidRPr="00943BC2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վերահսկել վարչական վարույթների և ստուգումների ամբողջ ընթացքը,</w:t>
            </w:r>
          </w:p>
          <w:p w14:paraId="3E99A819" w14:textId="77777777" w:rsidR="00876159" w:rsidRPr="00943BC2" w:rsidRDefault="00876159" w:rsidP="0087615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ստուգել</w:t>
            </w:r>
            <w:r w:rsidRPr="00943BC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յան համար անհրաժեշտ փաստաթղթերի, </w:t>
            </w:r>
            <w:r w:rsidRPr="00943BC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վարչական իրավախախտումների տուգանքի որոշման նախագծերի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իրավական հիմքերը և ներկայացնել Տեսչական մարմնի ղեկավարին,</w:t>
            </w:r>
          </w:p>
          <w:p w14:paraId="27D2A485" w14:textId="77777777" w:rsidR="00876159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ուսումնասիրել</w:t>
            </w:r>
            <w:r w:rsidRPr="00943BC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ՀՀ օրենսդրությամբ նախատեսված դեպքերում վարչական վարույթ հարուցելու, վարույթ իրականացնելու համար անհրաժեշտ  գրությունների, իրավական ակտերի նախագծերի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համապատասխանությունն օրենսդրությանը,</w:t>
            </w:r>
          </w:p>
          <w:p w14:paraId="56FE4933" w14:textId="77777777" w:rsidR="00876159" w:rsidRPr="003B0159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 առաջարկություն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խ</w:t>
            </w:r>
            <w:r w:rsidRPr="00786ED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ախտումների առկայության դեպքում տույժի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տեսակի</w:t>
            </w:r>
            <w:r w:rsidRPr="00786ED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չափի</w:t>
            </w:r>
            <w:r w:rsidRPr="00786ED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տույժի կիրառման իրավական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հիմքերի</w:t>
            </w:r>
            <w:r w:rsidRPr="00786EDE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ժամկետների վերաբերյալ</w:t>
            </w:r>
          </w:p>
          <w:p w14:paraId="744AFCEB" w14:textId="6EC3F67A" w:rsidR="00876159" w:rsidRPr="005321D8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943B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ուսումնասիրել առողջապահության </w:t>
            </w:r>
            <w:r w:rsidRPr="00A4278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</w:t>
            </w:r>
            <w:r w:rsidRPr="00943B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բժշկականօգնությանևսպասարկման</w:t>
            </w:r>
            <w:r w:rsidRPr="00943B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943B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դեղերիևդեղագործականարտադրատեսակներիշրջանառության</w:t>
            </w:r>
            <w:r w:rsidRPr="00943B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943B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բնակչությանսանիտարահամաճարակայինանվտանգությանապահովման</w:t>
            </w:r>
            <w:r w:rsidRPr="00A4278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)</w:t>
            </w:r>
            <w:r w:rsidRPr="00943B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և </w:t>
            </w:r>
            <w:r w:rsidR="00AD07B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իրավունքի՝ </w:t>
            </w:r>
            <w:r w:rsidRPr="00943B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աշխատողների առողջության պահպանման և անվտանգության ապահովման  ոլորտները կարգավորող իրավական ակտերը և ներկայացնել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համապատասխան առաջարկություններ,</w:t>
            </w:r>
          </w:p>
          <w:p w14:paraId="7BD5C9F0" w14:textId="77777777" w:rsidR="00876159" w:rsidRPr="00DE632F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DE632F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վերադասության կարգով բերված բողոքները, բողոքը քննող անձին  ներկայացնել բողոքարկման արդյունքում ընդունվող իրավական ակտի նախագիծը,</w:t>
            </w:r>
          </w:p>
          <w:p w14:paraId="53B10515" w14:textId="25430D6A" w:rsidR="00876159" w:rsidRPr="00725A24" w:rsidRDefault="00876159" w:rsidP="00725A24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նախապատրաստել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725A24" w:rsidRPr="00725A2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խորհրդի նիստի օրակարգի նախագիծը,</w:t>
            </w:r>
            <w:r w:rsidR="00725A2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725A2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խորհրդի նիստի օրակարգին վերաբերող համապատասխան նյութերը ու տրամադրել խորհրդի անդամներին,</w:t>
            </w:r>
          </w:p>
          <w:p w14:paraId="491CCB13" w14:textId="77777777" w:rsidR="00876159" w:rsidRPr="00CC5A7B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9D7B7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արձանագրել 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խորհրդի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նիստերը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, </w:t>
            </w:r>
            <w:r w:rsidRPr="009D7B7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կազմել 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նիստում ընդունված՝ խորհրդի որոշումների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նախագծերը</w:t>
            </w:r>
            <w:r w:rsidRPr="009D7B7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14:paraId="70A76693" w14:textId="39F90D9B" w:rsidR="00876159" w:rsidRPr="00CC5A7B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խորհրդի նիստից հետո մեկ աշխատանքային օրվա ընթացքում խորհրդի նիստի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արձանագրությու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ն</w:t>
            </w:r>
            <w:r w:rsidRPr="009D7B7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ը</w:t>
            </w:r>
            <w:r w:rsidR="00B47548" w:rsidRPr="00B47548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տրամադրել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խորհրդի անդամներին և հրավիրված անձանց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14:paraId="61170AF7" w14:textId="49A7807D" w:rsidR="00876159" w:rsidRPr="00CC5A7B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խորհրդի նիստերի արդյունքում ընդունված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որոշումները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և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հանձնարարականները</w:t>
            </w:r>
            <w:r w:rsidR="00B47548" w:rsidRPr="00B47548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տրամադրել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համապատասխան պաշտոնատար անձանց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14:paraId="4C0C7F6B" w14:textId="228BD71D" w:rsidR="00876159" w:rsidRPr="00CC5A7B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խորհրդի նիստից հետո երեք աշխատանքային օրվա ընթացքում</w:t>
            </w:r>
            <w:r w:rsidR="00B47548" w:rsidRPr="00B47548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Տեսչական մարմնի պաշտոնական կայքէջում հրապարակել խորհրդի նիստերի արձանագրություններն ու խորհրդի ընդունած որոշումները.</w:t>
            </w:r>
          </w:p>
          <w:p w14:paraId="168115F9" w14:textId="77777777" w:rsidR="00876159" w:rsidRPr="00506877" w:rsidRDefault="00876159" w:rsidP="00876159">
            <w:pPr>
              <w:numPr>
                <w:ilvl w:val="0"/>
                <w:numId w:val="22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</w:pP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խորհրդի անունից նախապատրաստ</w:t>
            </w:r>
            <w:r w:rsidRPr="00721094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 xml:space="preserve">ել </w:t>
            </w:r>
            <w:r w:rsidRPr="00CC5A7B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հարցումներ՝ ուղղված պետական մարմիններին և հասարակական միավորումներին՝ խորհրդի իրավասությանը վերապահված հարցերի վերաբերյալ</w:t>
            </w:r>
            <w:r w:rsidRPr="009D7B77">
              <w:rPr>
                <w:rFonts w:ascii="GHEA Grapalat" w:eastAsia="Calibri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14:paraId="0CD3290D" w14:textId="77777777" w:rsidR="00F2714C" w:rsidRPr="00782BE5" w:rsidRDefault="00876159" w:rsidP="00876159">
            <w:pPr>
              <w:numPr>
                <w:ilvl w:val="0"/>
                <w:numId w:val="21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վերահսկել</w:t>
            </w:r>
            <w:r w:rsidRPr="00943B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տնտեսվարող սուբյեկտների գործունեությանն առնչվողիրավական </w:t>
            </w:r>
            <w:r w:rsidRPr="00943B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ակտերի մասին վերջիններիս իրազեկ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ումն ապահովելու</w:t>
            </w:r>
            <w:r w:rsidRPr="00943BC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նպատակով նյութերի նախապատրաստմանաշխատանքներ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 և բովանդակությունը։</w:t>
            </w:r>
          </w:p>
          <w:p w14:paraId="1BDA844F" w14:textId="77777777" w:rsidR="00F2714C" w:rsidRPr="00F007C1" w:rsidRDefault="00F2714C" w:rsidP="00F2714C">
            <w:pPr>
              <w:spacing w:after="0" w:line="240" w:lineRule="auto"/>
              <w:ind w:left="720" w:right="-108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F007C1" w:rsidRPr="00F007C1" w14:paraId="14644D22" w14:textId="77777777" w:rsidTr="00CD764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F70FA" w14:textId="77777777" w:rsidR="007627FF" w:rsidRPr="00F007C1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007C1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</w:p>
          <w:p w14:paraId="0DCDF8F2" w14:textId="77777777"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</w:p>
          <w:p w14:paraId="31D41263" w14:textId="77777777" w:rsidR="00F06B9F" w:rsidRPr="00F007C1" w:rsidRDefault="00F06B9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F06B9F" w:rsidRPr="006B42C9" w14:paraId="2847C21A" w14:textId="77777777" w:rsidTr="00261721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3BD4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E0204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030AA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F06B9F" w:rsidRPr="006B42C9" w14:paraId="75ACBA3A" w14:textId="77777777" w:rsidTr="00261721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E18D7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BCF31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85188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F06B9F" w:rsidRPr="006B42C9" w14:paraId="4CB49F58" w14:textId="77777777" w:rsidTr="00261721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2B84" w14:textId="77777777" w:rsidR="00F06B9F" w:rsidRPr="00A84A4C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E21F72" w:rsidRPr="00A84A4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6F3F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BAD50" w14:textId="77777777" w:rsidR="00F06B9F" w:rsidRPr="00283D95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F06B9F" w:rsidRPr="006B42C9" w14:paraId="5223EEBE" w14:textId="77777777" w:rsidTr="00261721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BF2C" w14:textId="77777777" w:rsidR="00F06B9F" w:rsidRPr="00A84A4C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="00E21F72" w:rsidRPr="00A84A4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FCA6A" w14:textId="77777777" w:rsidR="00F06B9F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4E64C" w14:textId="77777777" w:rsidR="00F06B9F" w:rsidRDefault="00F06B9F" w:rsidP="00F06B9F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042101.00.6 </w:t>
                  </w:r>
                  <w:r w:rsidRPr="00F12E8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478AC69D" w14:textId="61FE4887" w:rsidR="00F06B9F" w:rsidRDefault="003E008C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3E008C" w:rsidRPr="006B42C9" w14:paraId="1A50382F" w14:textId="77777777" w:rsidTr="00B55A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96512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72C25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61A8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3E008C" w:rsidRPr="006B42C9" w14:paraId="30873332" w14:textId="77777777" w:rsidTr="00B55A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827DD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DF306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0E752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3E008C" w:rsidRPr="006B42C9" w14:paraId="7800E37C" w14:textId="77777777" w:rsidTr="00B55A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3C920" w14:textId="77777777" w:rsidR="003E008C" w:rsidRPr="00A84A4C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Pr="00A84A4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A0CC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9996" w14:textId="77777777" w:rsidR="003E008C" w:rsidRPr="00283D95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3E008C" w:rsidRPr="006B42C9" w14:paraId="3F126150" w14:textId="77777777" w:rsidTr="00B55A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FDA3" w14:textId="77777777" w:rsidR="003E008C" w:rsidRPr="00A84A4C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 w:rsidRPr="00A84A4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3E24" w14:textId="77777777" w:rsidR="003E008C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C272" w14:textId="16555580" w:rsidR="003E008C" w:rsidRDefault="003E008C" w:rsidP="003E008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7</w:t>
                  </w:r>
                  <w:r w:rsidRPr="00B146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F12E8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Իրավագիտություն</w:t>
                  </w:r>
                </w:p>
              </w:tc>
            </w:tr>
          </w:tbl>
          <w:p w14:paraId="73315C93" w14:textId="77777777" w:rsidR="003E008C" w:rsidRDefault="003E008C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31F25BD7" w14:textId="77777777" w:rsidR="007627FF" w:rsidRPr="00F007C1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Մասնագիտականգիտելիքները</w:t>
            </w:r>
          </w:p>
          <w:p w14:paraId="39BA02AD" w14:textId="77777777" w:rsidR="007627FF" w:rsidRPr="00F007C1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Ունիգործառույթներիիրականացմանհամարանհրաժեշտգիտելիքներ:</w:t>
            </w:r>
          </w:p>
          <w:p w14:paraId="300569D6" w14:textId="77777777" w:rsidR="007627FF" w:rsidRPr="00F007C1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</w:p>
          <w:p w14:paraId="5AB9F90D" w14:textId="557DC9A6" w:rsidR="007627FF" w:rsidRPr="00F007C1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46E42" w:rsidRPr="00F007C1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երեք</w:t>
            </w:r>
            <w:r w:rsidR="00C2086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06B9F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C2086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16C0E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F007C1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F57D7C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C2086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="00C2086A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07C1">
              <w:rPr>
                <w:rFonts w:ascii="GHEA Grapalat" w:eastAsia="Sylfaen" w:hAnsi="GHEA Grapalat" w:cs="Sylfaen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F007C1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2B945E69" w14:textId="77777777" w:rsidR="00046E42" w:rsidRPr="00F007C1" w:rsidRDefault="00046E42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5F6B131" w14:textId="77777777" w:rsidR="0043122E" w:rsidRPr="00F007C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</w:p>
          <w:p w14:paraId="13F896D8" w14:textId="77777777" w:rsidR="0020743C" w:rsidRPr="00F007C1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42BFA1A1" w14:textId="77777777" w:rsidR="0043122E" w:rsidRPr="00F007C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Ընդհանրականկոմպետենցիաներ՝</w:t>
            </w:r>
          </w:p>
          <w:p w14:paraId="4CA86A11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1. Աշխատակազմի կառավարում</w:t>
            </w:r>
          </w:p>
          <w:p w14:paraId="73F9DA13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2. Քաղաքականության վերլուծություն, մոնիթորինգ</w:t>
            </w:r>
          </w:p>
          <w:p w14:paraId="53300B2E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3. Որոշումների կայացում</w:t>
            </w:r>
          </w:p>
          <w:p w14:paraId="7529BC59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4. Ծրագրերի կառավարում</w:t>
            </w:r>
          </w:p>
          <w:p w14:paraId="5D2B9DF6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5. Խնդրի լուծում</w:t>
            </w:r>
          </w:p>
          <w:p w14:paraId="6D57DB7A" w14:textId="77777777" w:rsidR="0020743C" w:rsidRPr="00F007C1" w:rsidRDefault="0020743C" w:rsidP="002074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6. Բարեվարքություն</w:t>
            </w:r>
          </w:p>
          <w:p w14:paraId="5E8BD3D9" w14:textId="77777777" w:rsidR="0043122E" w:rsidRPr="00F007C1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354B27D7" w14:textId="77777777" w:rsidR="0043122E" w:rsidRPr="00F007C1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</w:t>
            </w:r>
            <w:r w:rsidR="00480311"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14:paraId="1F442E30" w14:textId="77777777" w:rsidR="00F2714C" w:rsidRPr="00F007C1" w:rsidRDefault="00F2714C" w:rsidP="00216C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15AC9B11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Փոփոխություններիկառավարում</w:t>
            </w:r>
          </w:p>
          <w:p w14:paraId="19C5946C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Կոնֆլիկտներիկառավարում</w:t>
            </w:r>
          </w:p>
          <w:p w14:paraId="4BDBC462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Բողոքներիբավարարում</w:t>
            </w:r>
          </w:p>
          <w:p w14:paraId="4909B293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Ժամանակիկառավարում</w:t>
            </w:r>
          </w:p>
          <w:p w14:paraId="14149C7A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Ելույթներինախապատրաստումևկազմակերպում</w:t>
            </w:r>
          </w:p>
          <w:p w14:paraId="75C3BD73" w14:textId="77777777" w:rsidR="00F2714C" w:rsidRPr="00F007C1" w:rsidRDefault="00F2714C" w:rsidP="0017259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Ժողովներիևխորհրդակցություններիկազմակերպումևվարում</w:t>
            </w:r>
          </w:p>
          <w:p w14:paraId="7147C967" w14:textId="77777777" w:rsidR="00AE01D5" w:rsidRPr="00F007C1" w:rsidRDefault="00F2714C" w:rsidP="0017259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5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F007C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Փաստաթղթերինախապատրաստում</w:t>
            </w:r>
          </w:p>
          <w:p w14:paraId="6A067285" w14:textId="77777777" w:rsidR="00393BE3" w:rsidRPr="00F007C1" w:rsidRDefault="00393BE3" w:rsidP="00AE01D5">
            <w:pPr>
              <w:pStyle w:val="ListParagraph"/>
              <w:spacing w:after="0" w:line="240" w:lineRule="auto"/>
              <w:ind w:left="45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07C1" w:rsidRPr="006B42C9" w14:paraId="0306232A" w14:textId="77777777" w:rsidTr="00CD764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FCBA5" w14:textId="77777777" w:rsidR="0043122E" w:rsidRPr="00F007C1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F007C1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14:paraId="18645EEC" w14:textId="77777777" w:rsidR="0043122E" w:rsidRPr="00F007C1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007C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Աշխատանքիկազմակերպմանևղեկավարմանպատասխանատվությունը</w:t>
            </w:r>
          </w:p>
          <w:p w14:paraId="5D9A3F60" w14:textId="37384B21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Պատասխանատու է համապատասխան մարմնի կառուցվածքային</w:t>
            </w:r>
            <w:r w:rsidR="00E026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ստորաբաժանման աշխատանքների կազմակերպման և ղեկավարման համար: </w:t>
            </w:r>
          </w:p>
          <w:p w14:paraId="017E3632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61F1DA5A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Որոշումներկայացնելուլիազորությունները</w:t>
            </w:r>
          </w:p>
          <w:p w14:paraId="1652A5C3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14:paraId="7BADDA77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7A30303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Գործունեությանազդեցությունը</w:t>
            </w:r>
          </w:p>
          <w:p w14:paraId="23B766A1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4DE8EE7A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7C119CCD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</w:p>
          <w:p w14:paraId="4AB9668C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459FEF49" w14:textId="77777777" w:rsidR="00E911C2" w:rsidRDefault="00E911C2" w:rsidP="00E911C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14:paraId="23ABA8F9" w14:textId="77777777" w:rsidR="00E911C2" w:rsidRDefault="00E911C2" w:rsidP="00E911C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</w:p>
          <w:p w14:paraId="0B7E300D" w14:textId="77777777" w:rsidR="002A2255" w:rsidRPr="00F007C1" w:rsidRDefault="00E911C2" w:rsidP="00952FF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 լիազորությունների շրջանակներում բացահայտում, վերլուծում և գնահատում է իր կողմից </w:t>
            </w:r>
            <w:r w:rsidR="00952FF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ղեկավարվող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կառուցվածքային ստորաբաժանման գործառույթներից բխող խնդիրները և դրանց տալիս լուծումներ։</w:t>
            </w:r>
          </w:p>
        </w:tc>
      </w:tr>
    </w:tbl>
    <w:p w14:paraId="1D7FBDD4" w14:textId="77777777" w:rsidR="00765949" w:rsidRPr="00F007C1" w:rsidRDefault="00765949">
      <w:pPr>
        <w:rPr>
          <w:sz w:val="24"/>
          <w:szCs w:val="24"/>
          <w:lang w:val="hy-AM"/>
        </w:rPr>
      </w:pPr>
    </w:p>
    <w:sectPr w:rsidR="00765949" w:rsidRPr="00F007C1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4F"/>
    <w:multiLevelType w:val="hybridMultilevel"/>
    <w:tmpl w:val="54A8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954"/>
    <w:multiLevelType w:val="hybridMultilevel"/>
    <w:tmpl w:val="097C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B8B"/>
    <w:multiLevelType w:val="hybridMultilevel"/>
    <w:tmpl w:val="4410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ED8"/>
    <w:multiLevelType w:val="hybridMultilevel"/>
    <w:tmpl w:val="685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1E0"/>
    <w:multiLevelType w:val="hybridMultilevel"/>
    <w:tmpl w:val="E9A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31C9"/>
    <w:multiLevelType w:val="hybridMultilevel"/>
    <w:tmpl w:val="65F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0AE"/>
    <w:multiLevelType w:val="hybridMultilevel"/>
    <w:tmpl w:val="EC32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12DF"/>
    <w:multiLevelType w:val="hybridMultilevel"/>
    <w:tmpl w:val="5D5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E476A"/>
    <w:multiLevelType w:val="hybridMultilevel"/>
    <w:tmpl w:val="E2C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1723"/>
    <w:multiLevelType w:val="hybridMultilevel"/>
    <w:tmpl w:val="7DC8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04C4"/>
    <w:multiLevelType w:val="hybridMultilevel"/>
    <w:tmpl w:val="EAD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719FD"/>
    <w:multiLevelType w:val="hybridMultilevel"/>
    <w:tmpl w:val="776A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D6F4D"/>
    <w:multiLevelType w:val="hybridMultilevel"/>
    <w:tmpl w:val="519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C7641"/>
    <w:multiLevelType w:val="hybridMultilevel"/>
    <w:tmpl w:val="BFB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95B78"/>
    <w:multiLevelType w:val="hybridMultilevel"/>
    <w:tmpl w:val="919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5165"/>
    <w:multiLevelType w:val="hybridMultilevel"/>
    <w:tmpl w:val="AD6C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37"/>
    <w:multiLevelType w:val="hybridMultilevel"/>
    <w:tmpl w:val="6C0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52B"/>
    <w:multiLevelType w:val="hybridMultilevel"/>
    <w:tmpl w:val="EA68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D08FA"/>
    <w:multiLevelType w:val="hybridMultilevel"/>
    <w:tmpl w:val="032C1948"/>
    <w:lvl w:ilvl="0" w:tplc="5C301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53921"/>
    <w:multiLevelType w:val="hybridMultilevel"/>
    <w:tmpl w:val="CF1C0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CC2792"/>
    <w:multiLevelType w:val="hybridMultilevel"/>
    <w:tmpl w:val="A748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3" w15:restartNumberingAfterBreak="0">
    <w:nsid w:val="6FF44690"/>
    <w:multiLevelType w:val="hybridMultilevel"/>
    <w:tmpl w:val="8E3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4E37"/>
    <w:multiLevelType w:val="hybridMultilevel"/>
    <w:tmpl w:val="AEF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116E5"/>
    <w:multiLevelType w:val="hybridMultilevel"/>
    <w:tmpl w:val="2BB8B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F4012D"/>
    <w:multiLevelType w:val="hybridMultilevel"/>
    <w:tmpl w:val="AD0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50B8C"/>
    <w:multiLevelType w:val="hybridMultilevel"/>
    <w:tmpl w:val="625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46AA"/>
    <w:multiLevelType w:val="hybridMultilevel"/>
    <w:tmpl w:val="0038A7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7762896A">
      <w:start w:val="1"/>
      <w:numFmt w:val="decimal"/>
      <w:lvlText w:val="%2."/>
      <w:lvlJc w:val="left"/>
      <w:pPr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4"/>
  </w:num>
  <w:num w:numId="5">
    <w:abstractNumId w:val="23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18"/>
  </w:num>
  <w:num w:numId="11">
    <w:abstractNumId w:val="28"/>
  </w:num>
  <w:num w:numId="12">
    <w:abstractNumId w:val="5"/>
  </w:num>
  <w:num w:numId="13">
    <w:abstractNumId w:val="20"/>
  </w:num>
  <w:num w:numId="14">
    <w:abstractNumId w:val="0"/>
  </w:num>
  <w:num w:numId="15">
    <w:abstractNumId w:val="16"/>
  </w:num>
  <w:num w:numId="16">
    <w:abstractNumId w:val="21"/>
  </w:num>
  <w:num w:numId="17">
    <w:abstractNumId w:val="24"/>
  </w:num>
  <w:num w:numId="18">
    <w:abstractNumId w:val="11"/>
  </w:num>
  <w:num w:numId="19">
    <w:abstractNumId w:val="25"/>
  </w:num>
  <w:num w:numId="20">
    <w:abstractNumId w:val="14"/>
  </w:num>
  <w:num w:numId="21">
    <w:abstractNumId w:val="12"/>
  </w:num>
  <w:num w:numId="22">
    <w:abstractNumId w:val="8"/>
  </w:num>
  <w:num w:numId="23">
    <w:abstractNumId w:val="10"/>
  </w:num>
  <w:num w:numId="24">
    <w:abstractNumId w:val="2"/>
  </w:num>
  <w:num w:numId="25">
    <w:abstractNumId w:val="26"/>
  </w:num>
  <w:num w:numId="26">
    <w:abstractNumId w:val="19"/>
  </w:num>
  <w:num w:numId="27">
    <w:abstractNumId w:val="9"/>
  </w:num>
  <w:num w:numId="28">
    <w:abstractNumId w:val="7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1985"/>
    <w:rsid w:val="00012964"/>
    <w:rsid w:val="00017FCF"/>
    <w:rsid w:val="000268A6"/>
    <w:rsid w:val="0004426F"/>
    <w:rsid w:val="00046E42"/>
    <w:rsid w:val="00052B3F"/>
    <w:rsid w:val="00062B8B"/>
    <w:rsid w:val="00065080"/>
    <w:rsid w:val="0006594E"/>
    <w:rsid w:val="00071900"/>
    <w:rsid w:val="0009347C"/>
    <w:rsid w:val="00094489"/>
    <w:rsid w:val="000A09C6"/>
    <w:rsid w:val="000A2B83"/>
    <w:rsid w:val="000B2573"/>
    <w:rsid w:val="000B32FB"/>
    <w:rsid w:val="000C7E9E"/>
    <w:rsid w:val="000D5742"/>
    <w:rsid w:val="000E2CFF"/>
    <w:rsid w:val="000F7073"/>
    <w:rsid w:val="000F7508"/>
    <w:rsid w:val="0010098F"/>
    <w:rsid w:val="00146DB4"/>
    <w:rsid w:val="00164F1B"/>
    <w:rsid w:val="00171FD4"/>
    <w:rsid w:val="00172593"/>
    <w:rsid w:val="0017489F"/>
    <w:rsid w:val="001A6A75"/>
    <w:rsid w:val="001C7604"/>
    <w:rsid w:val="001E26D2"/>
    <w:rsid w:val="001E504B"/>
    <w:rsid w:val="0020743C"/>
    <w:rsid w:val="00211698"/>
    <w:rsid w:val="00216C0E"/>
    <w:rsid w:val="0022448C"/>
    <w:rsid w:val="0023770E"/>
    <w:rsid w:val="00237979"/>
    <w:rsid w:val="00240087"/>
    <w:rsid w:val="00240F67"/>
    <w:rsid w:val="00243484"/>
    <w:rsid w:val="00250590"/>
    <w:rsid w:val="00284CCB"/>
    <w:rsid w:val="00286956"/>
    <w:rsid w:val="002A2255"/>
    <w:rsid w:val="002A28B3"/>
    <w:rsid w:val="002C1CE1"/>
    <w:rsid w:val="002C7552"/>
    <w:rsid w:val="002D0D77"/>
    <w:rsid w:val="002D6C10"/>
    <w:rsid w:val="002E2B78"/>
    <w:rsid w:val="002F21DA"/>
    <w:rsid w:val="00305717"/>
    <w:rsid w:val="00353188"/>
    <w:rsid w:val="00357C88"/>
    <w:rsid w:val="003605E4"/>
    <w:rsid w:val="0038027E"/>
    <w:rsid w:val="00393BE3"/>
    <w:rsid w:val="003E008C"/>
    <w:rsid w:val="0042365F"/>
    <w:rsid w:val="0043122E"/>
    <w:rsid w:val="00457E9A"/>
    <w:rsid w:val="00461206"/>
    <w:rsid w:val="004615F0"/>
    <w:rsid w:val="0047448F"/>
    <w:rsid w:val="00480311"/>
    <w:rsid w:val="00482B60"/>
    <w:rsid w:val="00493445"/>
    <w:rsid w:val="00494EB2"/>
    <w:rsid w:val="004A2EE6"/>
    <w:rsid w:val="004C23C2"/>
    <w:rsid w:val="004C6ABF"/>
    <w:rsid w:val="004D1F3C"/>
    <w:rsid w:val="004D3DCC"/>
    <w:rsid w:val="004E7205"/>
    <w:rsid w:val="004F1E5E"/>
    <w:rsid w:val="00502389"/>
    <w:rsid w:val="00527942"/>
    <w:rsid w:val="0057767C"/>
    <w:rsid w:val="00590EBF"/>
    <w:rsid w:val="00593EC5"/>
    <w:rsid w:val="005B26AF"/>
    <w:rsid w:val="005D107B"/>
    <w:rsid w:val="005E1F98"/>
    <w:rsid w:val="00600522"/>
    <w:rsid w:val="006007BF"/>
    <w:rsid w:val="0066248C"/>
    <w:rsid w:val="006A7A09"/>
    <w:rsid w:val="006B42C9"/>
    <w:rsid w:val="006C41CE"/>
    <w:rsid w:val="007029E5"/>
    <w:rsid w:val="00721094"/>
    <w:rsid w:val="00725A24"/>
    <w:rsid w:val="00761E04"/>
    <w:rsid w:val="007627FF"/>
    <w:rsid w:val="007636F3"/>
    <w:rsid w:val="00765949"/>
    <w:rsid w:val="0077080C"/>
    <w:rsid w:val="007749D2"/>
    <w:rsid w:val="00782BE5"/>
    <w:rsid w:val="00783CEC"/>
    <w:rsid w:val="00784C26"/>
    <w:rsid w:val="007C05F0"/>
    <w:rsid w:val="007C3BA8"/>
    <w:rsid w:val="0081330C"/>
    <w:rsid w:val="00836D46"/>
    <w:rsid w:val="0085053F"/>
    <w:rsid w:val="00855EBB"/>
    <w:rsid w:val="0086437E"/>
    <w:rsid w:val="00866AD2"/>
    <w:rsid w:val="00876159"/>
    <w:rsid w:val="008D3100"/>
    <w:rsid w:val="008F6172"/>
    <w:rsid w:val="009032A2"/>
    <w:rsid w:val="00940164"/>
    <w:rsid w:val="0094030E"/>
    <w:rsid w:val="00943BC2"/>
    <w:rsid w:val="00951017"/>
    <w:rsid w:val="00952FF3"/>
    <w:rsid w:val="009954A4"/>
    <w:rsid w:val="009B1881"/>
    <w:rsid w:val="009D7B77"/>
    <w:rsid w:val="009F0007"/>
    <w:rsid w:val="009F5504"/>
    <w:rsid w:val="009F7202"/>
    <w:rsid w:val="00A02A2A"/>
    <w:rsid w:val="00A108EC"/>
    <w:rsid w:val="00A14035"/>
    <w:rsid w:val="00A20558"/>
    <w:rsid w:val="00A42786"/>
    <w:rsid w:val="00A52FF1"/>
    <w:rsid w:val="00A84A4C"/>
    <w:rsid w:val="00A95130"/>
    <w:rsid w:val="00AA5AD0"/>
    <w:rsid w:val="00AB2208"/>
    <w:rsid w:val="00AD07B4"/>
    <w:rsid w:val="00AD5900"/>
    <w:rsid w:val="00AE01D5"/>
    <w:rsid w:val="00B237A4"/>
    <w:rsid w:val="00B47548"/>
    <w:rsid w:val="00B745B9"/>
    <w:rsid w:val="00B93BBC"/>
    <w:rsid w:val="00BA785F"/>
    <w:rsid w:val="00BE0438"/>
    <w:rsid w:val="00BF1372"/>
    <w:rsid w:val="00BF4ACB"/>
    <w:rsid w:val="00C2086A"/>
    <w:rsid w:val="00CC5A7B"/>
    <w:rsid w:val="00CD7645"/>
    <w:rsid w:val="00CF712F"/>
    <w:rsid w:val="00D11AAA"/>
    <w:rsid w:val="00D13B67"/>
    <w:rsid w:val="00D20056"/>
    <w:rsid w:val="00D37636"/>
    <w:rsid w:val="00D473F9"/>
    <w:rsid w:val="00D6565C"/>
    <w:rsid w:val="00D674A2"/>
    <w:rsid w:val="00D77377"/>
    <w:rsid w:val="00D92BC6"/>
    <w:rsid w:val="00D95CC6"/>
    <w:rsid w:val="00DB72BB"/>
    <w:rsid w:val="00DC47CF"/>
    <w:rsid w:val="00DE1BC1"/>
    <w:rsid w:val="00DE632F"/>
    <w:rsid w:val="00E0263B"/>
    <w:rsid w:val="00E04888"/>
    <w:rsid w:val="00E13192"/>
    <w:rsid w:val="00E21F72"/>
    <w:rsid w:val="00E2225E"/>
    <w:rsid w:val="00E65F67"/>
    <w:rsid w:val="00E77BBB"/>
    <w:rsid w:val="00E82335"/>
    <w:rsid w:val="00E911C2"/>
    <w:rsid w:val="00ED673D"/>
    <w:rsid w:val="00ED6B0F"/>
    <w:rsid w:val="00EE305C"/>
    <w:rsid w:val="00EE4513"/>
    <w:rsid w:val="00F007C1"/>
    <w:rsid w:val="00F06B9F"/>
    <w:rsid w:val="00F2714C"/>
    <w:rsid w:val="00F42AD9"/>
    <w:rsid w:val="00F50264"/>
    <w:rsid w:val="00F54B54"/>
    <w:rsid w:val="00F569C4"/>
    <w:rsid w:val="00F57D7C"/>
    <w:rsid w:val="00F67A11"/>
    <w:rsid w:val="00F705F5"/>
    <w:rsid w:val="00F70D3D"/>
    <w:rsid w:val="00FE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759A"/>
  <w15:docId w15:val="{BB630E89-8CB6-4633-810F-AF136E1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70D3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13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191</cp:revision>
  <cp:lastPrinted>2019-08-21T11:41:00Z</cp:lastPrinted>
  <dcterms:created xsi:type="dcterms:W3CDTF">2019-04-10T11:58:00Z</dcterms:created>
  <dcterms:modified xsi:type="dcterms:W3CDTF">2020-10-12T07:45:00Z</dcterms:modified>
</cp:coreProperties>
</file>