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C" w:rsidRPr="00903086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bookmarkStart w:id="0" w:name="_Hlk336802"/>
      <w:bookmarkStart w:id="1" w:name="_GoBack"/>
      <w:bookmarkEnd w:id="1"/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4B34E6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6F20FB97" wp14:editId="5F60CAD0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5F11C6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5F11C6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ԱԶԳԱՅԻՆ ԱՆՎՏԱՆԳՈՒԹՅԱՆ ԾԱՌԱՅՈՒԹՅԱՆ 2020 ԹՎԱԿԱՆԻ ՊԵՏԱԿԱՆ ԲՅՈՒՋԵԻ </w:t>
      </w:r>
      <w:r w:rsidR="00486AAF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ԻՆՆ</w:t>
      </w:r>
      <w:r w:rsidRPr="005F11C6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ԱՄԻՍՆԵՐԻ ԿԱՏԱՐՄԱՆ ՆԿԱՏՄԱ</w:t>
      </w:r>
      <w:r w:rsidR="00D42365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Մ</w:t>
      </w:r>
      <w:r w:rsidRPr="005F11C6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EF067E" w:rsidRPr="00047AE5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047AE5">
        <w:rPr>
          <w:rFonts w:ascii="GHEA Grapalat" w:hAnsi="GHEA Grapalat"/>
          <w:sz w:val="28"/>
          <w:szCs w:val="28"/>
          <w:lang w:val="hy-AM"/>
        </w:rPr>
        <w:t>20</w:t>
      </w:r>
      <w:r w:rsidR="007D586F" w:rsidRPr="00047AE5">
        <w:rPr>
          <w:rFonts w:ascii="GHEA Grapalat" w:hAnsi="GHEA Grapalat"/>
          <w:sz w:val="28"/>
          <w:szCs w:val="28"/>
          <w:lang w:val="hy-AM"/>
        </w:rPr>
        <w:t>21</w:t>
      </w: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047AE5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047AE5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047AE5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27AB6" w:rsidRPr="00047AE5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Default="00827AB6" w:rsidP="00827AB6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365981" w:rsidRPr="00047AE5" w:rsidRDefault="00365981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Ներածական մաս                                                                                          3 էջ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Ամփոփագիր                                                                                                 4 էջ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Հաշվեքննության օբյեկտի </w:t>
      </w:r>
    </w:p>
    <w:p w:rsidR="00365981" w:rsidRPr="00047AE5" w:rsidRDefault="00853E99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ֆ</w:t>
      </w:r>
      <w:r w:rsidR="00365981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ինանսական ցուցանիշները                                                     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365981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5 - 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8</w:t>
      </w:r>
      <w:r w:rsidR="00365981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Անհամապատասխանությունների և խեղաթյուրումների կամ դրանց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բացակայության վերաբերյալ գրառումներ                                     </w:t>
      </w:r>
      <w:r w:rsidR="00853E99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</w:t>
      </w:r>
      <w:r w:rsidR="00853E99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8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-1</w:t>
      </w:r>
      <w:r w:rsidR="00853E99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0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Արձանագրված այլ փաստեր                                                              </w:t>
      </w:r>
      <w:r w:rsidR="00CB6398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7D5722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10 -11 էջեր</w:t>
      </w:r>
    </w:p>
    <w:p w:rsidR="00365981" w:rsidRPr="00047AE5" w:rsidRDefault="00365981" w:rsidP="00365981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Հետհսկողական գործընթաց                                                                       </w:t>
      </w:r>
      <w:r w:rsidR="00853E99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7D5722"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  </w:t>
      </w:r>
    </w:p>
    <w:p w:rsidR="003B4BD0" w:rsidRPr="00047AE5" w:rsidRDefault="003B4BD0" w:rsidP="003B4BD0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47AE5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Առաջարկություններ                                                                                     11 էջ  </w:t>
      </w:r>
    </w:p>
    <w:p w:rsidR="00365981" w:rsidRPr="00047AE5" w:rsidRDefault="00365981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65981" w:rsidRPr="00047AE5" w:rsidRDefault="00365981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65981" w:rsidRPr="00047AE5" w:rsidRDefault="00365981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047AE5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3B4BD0" w:rsidRPr="00047AE5" w:rsidRDefault="003B4BD0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EF067E" w:rsidRDefault="005745AC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 w:rsidRPr="00047AE5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ԵՐԱԾԱԿԱՆ ՄԱՍ</w:t>
      </w:r>
    </w:p>
    <w:tbl>
      <w:tblPr>
        <w:tblpPr w:leftFromText="180" w:rightFromText="180" w:vertAnchor="page" w:horzAnchor="margin" w:tblpY="2661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5745AC" w:rsidRPr="00F0323B" w:rsidTr="005745AC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047AE5">
              <w:rPr>
                <w:rFonts w:ascii="GHEA Grapalat" w:hAnsi="GHEA Grapalat"/>
                <w:b/>
                <w:bCs/>
                <w:color w:val="0070C0"/>
                <w:sz w:val="24"/>
                <w:szCs w:val="24"/>
                <w:lang w:val="hy-AM"/>
              </w:rPr>
              <w:br w:type="page"/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2020 թվականի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նոյեմբերի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20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-ի թիվ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188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-Ա  որոշում: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5745AC" w:rsidRPr="00F0323B" w:rsidTr="005745AC"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ՀՀ </w:t>
            </w:r>
            <w:r w:rsidRPr="00570DAC">
              <w:rPr>
                <w:rFonts w:ascii="GHEA Grapalat" w:hAnsi="GHEA Grapalat" w:cs="Sylfaen"/>
                <w:color w:val="595959"/>
                <w:sz w:val="22"/>
                <w:szCs w:val="22"/>
              </w:rPr>
              <w:t>ազգային անվտանգության ծառայությ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ու</w:t>
            </w:r>
            <w:r w:rsidRPr="00570DAC">
              <w:rPr>
                <w:rFonts w:ascii="GHEA Grapalat" w:hAnsi="GHEA Grapalat" w:cs="Sylfaen"/>
                <w:color w:val="595959"/>
                <w:sz w:val="22"/>
                <w:szCs w:val="22"/>
              </w:rPr>
              <w:t>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։</w:t>
            </w:r>
          </w:p>
        </w:tc>
      </w:tr>
      <w:tr w:rsidR="005745AC" w:rsidRPr="00047AE5" w:rsidTr="005745AC"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047AE5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ինն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</w:tc>
      </w:tr>
      <w:tr w:rsidR="005745AC" w:rsidRPr="00047AE5" w:rsidTr="005745AC">
        <w:tc>
          <w:tcPr>
            <w:tcW w:w="2660" w:type="dxa"/>
            <w:gridSpan w:val="2"/>
            <w:shd w:val="clear" w:color="auto" w:fill="auto"/>
          </w:tcPr>
          <w:p w:rsid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Հաշվեքննության առարկայի </w:t>
            </w:r>
          </w:p>
          <w:p w:rsidR="005745AC" w:rsidRPr="00B633C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>չափանիշները</w:t>
            </w: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047AE5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Աշխատանքային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օրենսգիրք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»,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ծառայույան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զբաղեցնող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անձանց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վարձատրության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Բյուջետային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167C37">
              <w:rPr>
                <w:rFonts w:ascii="GHEA Grapalat" w:hAnsi="GHEA Grapalat" w:cs="Sylfaen"/>
                <w:color w:val="595959"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ամակարգի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Գնումների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գնման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պայմանագրեր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5745AC" w:rsidRPr="00047AE5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</w:tc>
      </w:tr>
      <w:tr w:rsidR="005745AC" w:rsidRPr="00F0323B" w:rsidTr="005745AC"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F0323B" w:rsidRDefault="005745AC" w:rsidP="00486AAF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2020 թվականի  հունվարի 1-ից մինչև 2020 թվականի 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սեպտեմբերի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30-ը :</w:t>
            </w:r>
          </w:p>
        </w:tc>
      </w:tr>
      <w:tr w:rsidR="005745AC" w:rsidRPr="00047AE5" w:rsidTr="005745AC"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F0323B" w:rsidRDefault="005745AC" w:rsidP="00486AAF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Նախատեսված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էր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2020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նոյեմբերի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2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7-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="00486AAF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2021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հունվարի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31-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: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Հաշվեքննությունը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կասեցվել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205-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Ա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որոշմամբ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 w:rsidRP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դեկտեմբերի</w:t>
            </w:r>
            <w:r w:rsidR="00486AAF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3-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ին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վերսկսվել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248-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Ա</w:t>
            </w:r>
            <w:r w:rsidR="00653C6C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653C6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որոշմամբ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486AAF" w:rsidRP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դեկտեմբերի</w:t>
            </w:r>
            <w:r w:rsidR="00486AAF"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25-</w:t>
            </w:r>
            <w:r w:rsidR="00486AAF" w:rsidRP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ի</w:t>
            </w:r>
            <w:r w:rsidR="00486AAF">
              <w:rPr>
                <w:rFonts w:ascii="GHEA Grapalat" w:hAnsi="GHEA Grapalat" w:cs="Sylfaen"/>
                <w:color w:val="595959"/>
                <w:sz w:val="22"/>
                <w:szCs w:val="22"/>
              </w:rPr>
              <w:t>ն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5745AC" w:rsidRPr="00047AE5" w:rsidTr="005745AC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օրենքին, Հաշվեքննիչ պալատի ֆինանսական և 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տասխանության հաշվեքննության մեթոդաբանություններին, «Պետական բյուջեի երեք, վեց, ինն ամիսների և տարեկան կատարման հաշվեքննության ուղեցույցի» համաձայն</w:t>
            </w:r>
            <w:r w:rsidR="00942D98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 w:rsidRPr="00F0323B"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5745AC" w:rsidRPr="005745AC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hy-AM"/>
              </w:rPr>
            </w:pPr>
          </w:p>
        </w:tc>
      </w:tr>
      <w:tr w:rsidR="005745AC" w:rsidRPr="00047AE5" w:rsidTr="005745AC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5745AC" w:rsidRPr="00F0323B" w:rsidRDefault="005745AC" w:rsidP="005745AC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047AE5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Չիբուխչյանը։</w:t>
            </w:r>
            <w:r w:rsidRPr="00F0323B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365981" w:rsidRPr="00047AE5" w:rsidRDefault="00365981" w:rsidP="00365981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7D5F9B" w:rsidRPr="00047AE5" w:rsidRDefault="007D5F9B" w:rsidP="00365981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365981" w:rsidRPr="00047AE5" w:rsidRDefault="00365981" w:rsidP="00365981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ԱՄՓՈՓԱԳԻՐ</w:t>
      </w:r>
    </w:p>
    <w:p w:rsidR="0024071D" w:rsidRDefault="0024071D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A372FC" w:rsidRPr="00047AE5" w:rsidRDefault="00A372FC" w:rsidP="00A372F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047AE5">
        <w:rPr>
          <w:rFonts w:ascii="GHEA Grapalat" w:hAnsi="GHEA Grapalat"/>
          <w:sz w:val="24"/>
          <w:szCs w:val="24"/>
          <w:lang w:val="fr-FR"/>
        </w:rPr>
        <w:tab/>
      </w:r>
      <w:r w:rsidR="00942D98" w:rsidRPr="00047AE5">
        <w:rPr>
          <w:rFonts w:ascii="GHEA Grapalat" w:hAnsi="GHEA Grapalat"/>
          <w:sz w:val="24"/>
          <w:szCs w:val="24"/>
          <w:lang w:val="fr-FR"/>
        </w:rPr>
        <w:t xml:space="preserve">2020 </w:t>
      </w:r>
      <w:r w:rsidR="00942D98">
        <w:rPr>
          <w:rFonts w:ascii="GHEA Grapalat" w:hAnsi="GHEA Grapalat"/>
          <w:sz w:val="24"/>
          <w:szCs w:val="24"/>
        </w:rPr>
        <w:t>թվականի</w:t>
      </w:r>
      <w:r w:rsidR="00942D98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942D98">
        <w:rPr>
          <w:rFonts w:ascii="GHEA Grapalat" w:hAnsi="GHEA Grapalat"/>
          <w:sz w:val="24"/>
          <w:szCs w:val="24"/>
        </w:rPr>
        <w:t>ն</w:t>
      </w:r>
      <w:r w:rsidR="003B4BD0">
        <w:rPr>
          <w:rFonts w:ascii="GHEA Grapalat" w:hAnsi="GHEA Grapalat"/>
          <w:sz w:val="24"/>
          <w:szCs w:val="24"/>
          <w:lang w:val="en-US"/>
        </w:rPr>
        <w:t>ախորդ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հաշվեքննությ</w:t>
      </w:r>
      <w:r w:rsidR="003B4BD0">
        <w:rPr>
          <w:rFonts w:ascii="GHEA Grapalat" w:hAnsi="GHEA Grapalat"/>
          <w:sz w:val="24"/>
          <w:szCs w:val="24"/>
        </w:rPr>
        <w:t>ունով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3B4BD0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րձանագրվել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6C3969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3969">
        <w:rPr>
          <w:rFonts w:ascii="GHEA Grapalat" w:hAnsi="GHEA Grapalat"/>
          <w:sz w:val="24"/>
          <w:szCs w:val="24"/>
          <w:lang w:val="en-US"/>
        </w:rPr>
        <w:t>բնագավառի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3969">
        <w:rPr>
          <w:rFonts w:ascii="GHEA Grapalat" w:hAnsi="GHEA Grapalat"/>
          <w:sz w:val="24"/>
          <w:szCs w:val="24"/>
          <w:lang w:val="en-US"/>
        </w:rPr>
        <w:t>այլ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3969">
        <w:rPr>
          <w:rFonts w:ascii="GHEA Grapalat" w:hAnsi="GHEA Grapalat"/>
          <w:sz w:val="24"/>
          <w:szCs w:val="24"/>
          <w:lang w:val="en-US"/>
        </w:rPr>
        <w:t>ծախսեր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միջոցառման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շրջանակում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այլ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ընթացիկ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դրամաշնորհներ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հոդվածով՝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3,686.5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նախորդ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տարիներից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փոխանցված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դեբիտորական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հուլիսի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մարվել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2,652.4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ևս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 196.1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մարվել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երրորդ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եռամսյակում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և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սեպտեմբերի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30-</w:t>
      </w:r>
      <w:r>
        <w:rPr>
          <w:rFonts w:ascii="GHEA Grapalat" w:hAnsi="GHEA Grapalat"/>
          <w:sz w:val="24"/>
          <w:szCs w:val="24"/>
        </w:rPr>
        <w:t>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</w:rPr>
        <w:t>դեբիտորական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838.0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A372FC" w:rsidRPr="00047AE5" w:rsidRDefault="00A372FC" w:rsidP="00A372F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047AE5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ինն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ամիսների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հաշվետվությունների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</w:rPr>
        <w:t>ուսումնասիրությունից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պարզվել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երրորդ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առաջացել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կրեդիտորական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</w:rPr>
        <w:t>Այսպես</w:t>
      </w:r>
      <w:r w:rsidR="000338EF" w:rsidRPr="00047AE5">
        <w:rPr>
          <w:rFonts w:ascii="GHEA Grapalat" w:hAnsi="GHEA Grapalat"/>
          <w:sz w:val="24"/>
          <w:szCs w:val="24"/>
          <w:lang w:val="fr-FR"/>
        </w:rPr>
        <w:t>,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1448C4">
        <w:rPr>
          <w:rFonts w:ascii="GHEA Grapalat" w:hAnsi="GHEA Grapalat"/>
          <w:sz w:val="24"/>
          <w:szCs w:val="24"/>
        </w:rPr>
        <w:t>Ազգային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անվտանգության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համակարգի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տեխնիկական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հագեցվածության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բարելավում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միջոցառման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վարչական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սարքավորումներ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հոդվածով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Բի</w:t>
      </w:r>
      <w:r w:rsidRPr="00047AE5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Լայն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ՍՊԸ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կրեդիտորական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97,628.8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>: «</w:t>
      </w:r>
      <w:r w:rsidRPr="001448C4">
        <w:rPr>
          <w:rFonts w:ascii="GHEA Grapalat" w:hAnsi="GHEA Grapalat"/>
          <w:sz w:val="24"/>
          <w:szCs w:val="24"/>
        </w:rPr>
        <w:t>Ազգային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անվտանգության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համակարգի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տրանսպորտային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սարքավորումների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հագեցվածության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48C4">
        <w:rPr>
          <w:rFonts w:ascii="GHEA Grapalat" w:hAnsi="GHEA Grapalat"/>
          <w:sz w:val="24"/>
          <w:szCs w:val="24"/>
        </w:rPr>
        <w:t>բարելավում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միջոցառման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տրանսպորտային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սարքավորումներ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հոդվածով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կրեդիտորական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62,900.0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որից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Կապիտալ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Մոթորս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ՍՊԸ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կրեդիտորական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34,500.0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>, «</w:t>
      </w:r>
      <w:r>
        <w:rPr>
          <w:rFonts w:ascii="GHEA Grapalat" w:hAnsi="GHEA Grapalat"/>
          <w:sz w:val="24"/>
          <w:szCs w:val="24"/>
        </w:rPr>
        <w:t>Մեգամոթ</w:t>
      </w:r>
      <w:r w:rsidR="00942D98">
        <w:rPr>
          <w:rFonts w:ascii="GHEA Grapalat" w:hAnsi="GHEA Grapalat"/>
          <w:sz w:val="24"/>
          <w:szCs w:val="24"/>
        </w:rPr>
        <w:t>որս</w:t>
      </w:r>
      <w:r w:rsidR="00942D98"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42D98">
        <w:rPr>
          <w:rFonts w:ascii="GHEA Grapalat" w:hAnsi="GHEA Grapalat"/>
          <w:sz w:val="24"/>
          <w:szCs w:val="24"/>
        </w:rPr>
        <w:t>ՍՊԸ՝</w:t>
      </w:r>
      <w:r w:rsidR="00942D98" w:rsidRPr="00047AE5">
        <w:rPr>
          <w:rFonts w:ascii="GHEA Grapalat" w:hAnsi="GHEA Grapalat"/>
          <w:sz w:val="24"/>
          <w:szCs w:val="24"/>
          <w:lang w:val="fr-FR"/>
        </w:rPr>
        <w:t xml:space="preserve"> 19,600.0 </w:t>
      </w:r>
      <w:r w:rsidR="00942D98">
        <w:rPr>
          <w:rFonts w:ascii="GHEA Grapalat" w:hAnsi="GHEA Grapalat"/>
          <w:sz w:val="24"/>
          <w:szCs w:val="24"/>
        </w:rPr>
        <w:t>հազ</w:t>
      </w:r>
      <w:r w:rsidR="00942D98"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 w:rsidR="00942D98"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</w:rPr>
        <w:t>Կարկոմավտո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ՍՊԸ՝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0338EF" w:rsidRPr="00047AE5">
        <w:rPr>
          <w:rFonts w:ascii="GHEA Grapalat" w:hAnsi="GHEA Grapalat"/>
          <w:sz w:val="24"/>
          <w:szCs w:val="24"/>
          <w:lang w:val="fr-FR"/>
        </w:rPr>
        <w:t>8,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800.0 </w:t>
      </w:r>
      <w:r>
        <w:rPr>
          <w:rFonts w:ascii="GHEA Grapalat" w:hAnsi="GHEA Grapalat"/>
          <w:sz w:val="24"/>
          <w:szCs w:val="24"/>
        </w:rPr>
        <w:t>հազ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դրամ</w:t>
      </w:r>
      <w:r w:rsidRPr="00047AE5">
        <w:rPr>
          <w:rFonts w:ascii="GHEA Grapalat" w:hAnsi="GHEA Grapalat"/>
          <w:sz w:val="24"/>
          <w:szCs w:val="24"/>
          <w:lang w:val="fr-FR"/>
        </w:rPr>
        <w:t>:</w:t>
      </w:r>
    </w:p>
    <w:p w:rsidR="00A372FC" w:rsidRPr="00047AE5" w:rsidRDefault="00A372FC" w:rsidP="00A372F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047AE5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Հաշվեքննության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ինն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ամիսների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գործունեության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կապված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հաշվետվությունների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ցուցանիշները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համադրվել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առանձին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հոդվածներով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հիմնավորող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փաստաթղթերի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խեղաթյուրումներ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անհամապատասխանություններ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չեն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արձանագրվել</w:t>
      </w:r>
      <w:r w:rsidRPr="00047AE5">
        <w:rPr>
          <w:rFonts w:ascii="GHEA Grapalat" w:hAnsi="GHEA Grapalat"/>
          <w:sz w:val="24"/>
          <w:szCs w:val="24"/>
          <w:lang w:val="fr-FR"/>
        </w:rPr>
        <w:t>:</w:t>
      </w:r>
    </w:p>
    <w:p w:rsidR="003B4BD0" w:rsidRPr="00047AE5" w:rsidRDefault="003B4BD0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bookmarkStart w:id="2" w:name="_Hlk337719"/>
      <w:bookmarkEnd w:id="0"/>
    </w:p>
    <w:p w:rsidR="003B4BD0" w:rsidRPr="00047AE5" w:rsidRDefault="003B4BD0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853E99" w:rsidRPr="00047AE5" w:rsidRDefault="00853E99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ՀԱՇՎԵՔՆՆՎՈՂ</w:t>
      </w:r>
      <w:r w:rsidRPr="00047AE5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ՕԲՅԵԿՏԻ</w:t>
      </w:r>
      <w:r w:rsidR="00EF067E" w:rsidRPr="00047AE5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="00EF067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ՖԻՆԱՆՍԱԿԱՆ</w:t>
      </w:r>
      <w:r w:rsidR="00EF067E" w:rsidRPr="00047AE5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</w:p>
    <w:p w:rsidR="00EF067E" w:rsidRPr="00047AE5" w:rsidRDefault="00853E99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ՑՈՒՑԱՆԻՇՆԵՐԸ</w:t>
      </w:r>
    </w:p>
    <w:p w:rsidR="00570DAC" w:rsidRPr="00047AE5" w:rsidRDefault="00570DAC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570DAC" w:rsidRPr="00047AE5" w:rsidRDefault="007C3F94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2020 </w:t>
      </w:r>
      <w:r w:rsidR="00570DAC">
        <w:rPr>
          <w:rFonts w:ascii="GHEA Grapalat" w:hAnsi="GHEA Grapalat"/>
          <w:sz w:val="24"/>
          <w:szCs w:val="24"/>
          <w:lang w:val="en-US"/>
        </w:rPr>
        <w:t>թվականի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428F">
        <w:rPr>
          <w:rFonts w:ascii="GHEA Grapalat" w:hAnsi="GHEA Grapalat"/>
          <w:sz w:val="24"/>
          <w:szCs w:val="24"/>
          <w:lang w:val="en-US"/>
        </w:rPr>
        <w:t>ինն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ամիսների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համար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ՀՀ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ազգային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անվտանգության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ծառայությանը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պետական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բյուջեի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 w:rsidR="00570DAC">
        <w:rPr>
          <w:rFonts w:ascii="GHEA Grapalat" w:hAnsi="GHEA Grapalat"/>
          <w:sz w:val="24"/>
          <w:szCs w:val="24"/>
          <w:lang w:val="en-US"/>
        </w:rPr>
        <w:t>Ա</w:t>
      </w:r>
      <w:r w:rsidR="00570DAC">
        <w:rPr>
          <w:rFonts w:ascii="GHEA Grapalat" w:hAnsi="GHEA Grapalat"/>
          <w:sz w:val="24"/>
          <w:szCs w:val="24"/>
        </w:rPr>
        <w:t>զգային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անվտանգություն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 w:rsidR="00570DAC">
        <w:rPr>
          <w:rFonts w:ascii="GHEA Grapalat" w:hAnsi="GHEA Grapalat"/>
          <w:sz w:val="24"/>
          <w:szCs w:val="24"/>
          <w:lang w:val="en-US"/>
        </w:rPr>
        <w:t>ծրագրով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ճշտված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պլանը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կազմել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է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C1137B" w:rsidRPr="00047AE5">
        <w:rPr>
          <w:rFonts w:ascii="GHEA Grapalat" w:hAnsi="GHEA Grapalat"/>
          <w:sz w:val="24"/>
          <w:szCs w:val="24"/>
          <w:lang w:val="fr-FR"/>
        </w:rPr>
        <w:t>22,521,139.3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հազ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 w:rsidR="00570DAC">
        <w:rPr>
          <w:rFonts w:ascii="GHEA Grapalat" w:hAnsi="GHEA Grapalat"/>
          <w:sz w:val="24"/>
          <w:szCs w:val="24"/>
          <w:lang w:val="en-US"/>
        </w:rPr>
        <w:t>դրամ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, </w:t>
      </w:r>
      <w:r w:rsidR="00570DAC">
        <w:rPr>
          <w:rFonts w:ascii="GHEA Grapalat" w:hAnsi="GHEA Grapalat"/>
          <w:sz w:val="24"/>
          <w:szCs w:val="24"/>
          <w:lang w:val="en-US"/>
        </w:rPr>
        <w:t>ֆինանսավորվել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է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C1137B" w:rsidRPr="00047AE5">
        <w:rPr>
          <w:rFonts w:ascii="GHEA Grapalat" w:hAnsi="GHEA Grapalat"/>
          <w:sz w:val="24"/>
          <w:szCs w:val="24"/>
          <w:lang w:val="fr-FR"/>
        </w:rPr>
        <w:t>22,200,500.5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570DAC">
        <w:rPr>
          <w:rFonts w:ascii="GHEA Grapalat" w:hAnsi="GHEA Grapalat"/>
          <w:sz w:val="24"/>
          <w:szCs w:val="24"/>
          <w:lang w:val="en-US"/>
        </w:rPr>
        <w:t>հազ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. </w:t>
      </w:r>
      <w:r w:rsidR="00570DAC">
        <w:rPr>
          <w:rFonts w:ascii="GHEA Grapalat" w:hAnsi="GHEA Grapalat"/>
          <w:sz w:val="24"/>
          <w:szCs w:val="24"/>
          <w:lang w:val="en-US"/>
        </w:rPr>
        <w:t>դրամ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(</w:t>
      </w:r>
      <w:r w:rsidR="00570DAC">
        <w:rPr>
          <w:rFonts w:ascii="GHEA Grapalat" w:hAnsi="GHEA Grapalat"/>
          <w:sz w:val="24"/>
          <w:szCs w:val="24"/>
          <w:lang w:val="en-US"/>
        </w:rPr>
        <w:t>աղյուսակ</w:t>
      </w:r>
      <w:r w:rsidR="00570DAC" w:rsidRPr="00047AE5">
        <w:rPr>
          <w:rFonts w:ascii="GHEA Grapalat" w:hAnsi="GHEA Grapalat"/>
          <w:sz w:val="24"/>
          <w:szCs w:val="24"/>
          <w:lang w:val="fr-FR"/>
        </w:rPr>
        <w:t xml:space="preserve"> 1):</w:t>
      </w:r>
    </w:p>
    <w:p w:rsidR="00570DAC" w:rsidRDefault="00570DAC" w:rsidP="00570DA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Աղյուսակ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1</w:t>
      </w:r>
    </w:p>
    <w:p w:rsidR="00570DAC" w:rsidRPr="00047AE5" w:rsidRDefault="00570DAC" w:rsidP="00570DAC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fr-FR"/>
        </w:rPr>
      </w:pPr>
      <w:r w:rsidRPr="003B0898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2020 թվականի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 w:rsidR="002C3C9D">
        <w:rPr>
          <w:rFonts w:ascii="GHEA Grapalat" w:hAnsi="GHEA Grapalat"/>
          <w:sz w:val="24"/>
          <w:szCs w:val="24"/>
          <w:lang w:val="en-US"/>
        </w:rPr>
        <w:t>ինն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ամիսների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ֆինանսավորումը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զգային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</w:t>
      </w:r>
      <w:r w:rsidR="00942D98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ն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ծրագրի</w:t>
      </w:r>
      <w:r w:rsidRPr="00047AE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միջոցառումներով</w:t>
      </w:r>
    </w:p>
    <w:p w:rsidR="00570DAC" w:rsidRPr="003B0898" w:rsidRDefault="00570DAC" w:rsidP="00570DAC">
      <w:pPr>
        <w:tabs>
          <w:tab w:val="left" w:pos="720"/>
        </w:tabs>
        <w:ind w:right="-60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057"/>
        <w:gridCol w:w="1620"/>
        <w:gridCol w:w="1549"/>
        <w:gridCol w:w="1289"/>
      </w:tblGrid>
      <w:tr w:rsidR="00570DAC" w:rsidRPr="00B53067" w:rsidTr="00114CEC">
        <w:trPr>
          <w:trHeight w:val="792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Ծրագրային միջոցառում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Ֆինանսավորում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Դրամարկղային ծախս 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Փաստացի ծախս </w:t>
            </w:r>
          </w:p>
        </w:tc>
      </w:tr>
      <w:tr w:rsidR="00570DAC" w:rsidRPr="00B53067" w:rsidTr="002C3C9D">
        <w:trPr>
          <w:trHeight w:val="998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16,720,013.9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16,432,127.7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15,594,618.5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15,951,976.7</w:t>
            </w:r>
          </w:p>
        </w:tc>
      </w:tr>
      <w:tr w:rsidR="00570DAC" w:rsidRPr="00B53067" w:rsidTr="002C3C9D">
        <w:trPr>
          <w:trHeight w:val="233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Ազգային անվտանգության համակարգի ստորաբաժանումների համար դեղորայքի ձեռքբերում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21,871.1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3C9D" w:rsidRPr="006C3969" w:rsidRDefault="002C3C9D" w:rsidP="002C3C9D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14,985.2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14,985.2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70DAC" w:rsidRPr="006C3969" w:rsidRDefault="002C3C9D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15,628.4</w:t>
            </w:r>
          </w:p>
        </w:tc>
      </w:tr>
      <w:tr w:rsidR="002C3C9D" w:rsidRPr="00B53067" w:rsidTr="002C3C9D">
        <w:trPr>
          <w:trHeight w:val="386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2C3C9D" w:rsidRPr="006C3969" w:rsidRDefault="002C3C9D" w:rsidP="002C3C9D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ՀՀ տարածքում երկաթուղով իրականացվող միջպետական ռազմական փոխադրումների, երկաթուղային կայարաններում կատարվող սպասարկման ծառայություններ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C3C9D" w:rsidRPr="006C3969" w:rsidRDefault="002C3C9D" w:rsidP="002C3C9D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13,000.0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3C9D" w:rsidRPr="006C3969" w:rsidRDefault="002C3C9D" w:rsidP="002C3C9D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5,309.6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C3C9D" w:rsidRPr="006C3969" w:rsidRDefault="002C3C9D" w:rsidP="002C3C9D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5,309.6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3C9D" w:rsidRPr="006C3969" w:rsidRDefault="002C3C9D" w:rsidP="002C3C9D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5,309.6</w:t>
            </w:r>
          </w:p>
        </w:tc>
      </w:tr>
      <w:tr w:rsidR="00E55DE6" w:rsidRPr="00B53067" w:rsidTr="00D34687">
        <w:trPr>
          <w:trHeight w:val="116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E55DE6" w:rsidRPr="006C3969" w:rsidRDefault="00E55DE6" w:rsidP="00E55DE6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Պաշտպանության բնագավառի այլ ծախսեր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55DE6" w:rsidRPr="006C3969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5,494,727.9</w:t>
            </w:r>
          </w:p>
        </w:tc>
        <w:tc>
          <w:tcPr>
            <w:tcW w:w="1620" w:type="dxa"/>
            <w:shd w:val="clear" w:color="auto" w:fill="auto"/>
          </w:tcPr>
          <w:p w:rsidR="00E55DE6" w:rsidRDefault="00E55DE6" w:rsidP="00E55DE6">
            <w:pPr>
              <w:jc w:val="right"/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5,494,727.8</w:t>
            </w:r>
          </w:p>
        </w:tc>
        <w:tc>
          <w:tcPr>
            <w:tcW w:w="1549" w:type="dxa"/>
            <w:shd w:val="clear" w:color="auto" w:fill="auto"/>
          </w:tcPr>
          <w:p w:rsidR="00E55DE6" w:rsidRDefault="00E55DE6" w:rsidP="00E55DE6">
            <w:pPr>
              <w:jc w:val="right"/>
            </w:pPr>
            <w:r w:rsidRPr="00BF61A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5,494,727.9</w:t>
            </w:r>
          </w:p>
        </w:tc>
        <w:tc>
          <w:tcPr>
            <w:tcW w:w="1289" w:type="dxa"/>
            <w:shd w:val="clear" w:color="auto" w:fill="auto"/>
          </w:tcPr>
          <w:p w:rsidR="00E55DE6" w:rsidRDefault="00E55DE6" w:rsidP="00E55DE6">
            <w:pPr>
              <w:jc w:val="right"/>
            </w:pPr>
            <w:r w:rsidRPr="00BF61A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5,49</w:t>
            </w: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7</w:t>
            </w:r>
            <w:r w:rsidRPr="00BF61A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576.4</w:t>
            </w:r>
          </w:p>
        </w:tc>
      </w:tr>
      <w:tr w:rsidR="00570DAC" w:rsidRPr="00B53067" w:rsidTr="00114CEC">
        <w:trPr>
          <w:trHeight w:val="242"/>
          <w:jc w:val="center"/>
        </w:trPr>
        <w:tc>
          <w:tcPr>
            <w:tcW w:w="4117" w:type="dxa"/>
            <w:shd w:val="clear" w:color="auto" w:fill="auto"/>
            <w:vAlign w:val="center"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Ազգային անվտանգության համակարգի </w:t>
            </w: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տեխնիկական հագեցվածության</w:t>
            </w: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բարելավում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82,923.0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80,869.6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80,869.6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196,498.4</w:t>
            </w:r>
          </w:p>
        </w:tc>
      </w:tr>
      <w:tr w:rsidR="00570DAC" w:rsidRPr="00B53067" w:rsidTr="002C3C9D">
        <w:trPr>
          <w:trHeight w:val="242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570DAC" w:rsidRPr="006C3969" w:rsidRDefault="00570DAC" w:rsidP="008D22E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Ազգային անվտանգության համակարգի շենքային ապահովվածության բարելավում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118,926.4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105,775.7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105,775.7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70DAC" w:rsidRPr="006C3969" w:rsidRDefault="00E55DE6" w:rsidP="008D22E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115,743.4</w:t>
            </w:r>
          </w:p>
        </w:tc>
      </w:tr>
      <w:tr w:rsidR="00E55DE6" w:rsidRPr="00B53067" w:rsidTr="00114CEC">
        <w:trPr>
          <w:trHeight w:val="242"/>
          <w:jc w:val="center"/>
        </w:trPr>
        <w:tc>
          <w:tcPr>
            <w:tcW w:w="4117" w:type="dxa"/>
            <w:shd w:val="clear" w:color="auto" w:fill="auto"/>
            <w:vAlign w:val="center"/>
          </w:tcPr>
          <w:p w:rsidR="00E55DE6" w:rsidRPr="006C3969" w:rsidRDefault="00E55DE6" w:rsidP="00E55DE6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Ազգային անվտանգության համակարգի </w:t>
            </w: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տրանսպորտային սարքավորումների հագեցվածության բարելավում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64,330.0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61,650.0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61,650.0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124,550.0</w:t>
            </w:r>
          </w:p>
        </w:tc>
      </w:tr>
      <w:tr w:rsidR="00E55DE6" w:rsidRPr="00B53067" w:rsidTr="00114CEC">
        <w:trPr>
          <w:trHeight w:val="242"/>
          <w:jc w:val="center"/>
        </w:trPr>
        <w:tc>
          <w:tcPr>
            <w:tcW w:w="4117" w:type="dxa"/>
            <w:shd w:val="clear" w:color="auto" w:fill="auto"/>
            <w:vAlign w:val="center"/>
          </w:tcPr>
          <w:p w:rsidR="00E55DE6" w:rsidRPr="006C3969" w:rsidRDefault="00E55DE6" w:rsidP="00E55DE6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Ազգային անվտանգության համակարգի </w:t>
            </w: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կողմից ծառայությունների մատուցման ապահովման համար ոչ նյութական հիմնական միջոցների ձեռքբերում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5,347.0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5,054.9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5,054.9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55D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9,359.9</w:t>
            </w:r>
          </w:p>
        </w:tc>
      </w:tr>
      <w:tr w:rsidR="00E55DE6" w:rsidRPr="00B53067" w:rsidTr="00E55DE6">
        <w:trPr>
          <w:trHeight w:val="288"/>
          <w:jc w:val="center"/>
        </w:trPr>
        <w:tc>
          <w:tcPr>
            <w:tcW w:w="4117" w:type="dxa"/>
            <w:shd w:val="clear" w:color="auto" w:fill="auto"/>
            <w:vAlign w:val="center"/>
            <w:hideMark/>
          </w:tcPr>
          <w:p w:rsidR="00E55DE6" w:rsidRPr="006C3969" w:rsidRDefault="00E55DE6" w:rsidP="00E55DE6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E55DE6" w:rsidRPr="002705E6" w:rsidRDefault="00E55DE6" w:rsidP="00E55D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22,521,139.3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DE6" w:rsidRPr="002705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22,200,500.5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55DE6" w:rsidRPr="002705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21,362,991.4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55DE6" w:rsidRPr="002705E6" w:rsidRDefault="00E55DE6" w:rsidP="00E55DE6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21,916,642.8</w:t>
            </w:r>
          </w:p>
        </w:tc>
      </w:tr>
    </w:tbl>
    <w:p w:rsidR="00A372FC" w:rsidRDefault="00A372F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70DAC" w:rsidRDefault="00570DA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ab/>
        <w:t>Դրամարկղային և փաստացի ծախսերի տարբերությունը</w:t>
      </w:r>
      <w:r w:rsidR="00FC0492">
        <w:rPr>
          <w:rFonts w:ascii="GHEA Grapalat" w:hAnsi="GHEA Grapalat"/>
          <w:sz w:val="24"/>
          <w:szCs w:val="24"/>
          <w:lang w:val="en-US"/>
        </w:rPr>
        <w:t xml:space="preserve"> հիմնականում</w:t>
      </w:r>
      <w:r>
        <w:rPr>
          <w:rFonts w:ascii="GHEA Grapalat" w:hAnsi="GHEA Grapalat"/>
          <w:sz w:val="24"/>
          <w:szCs w:val="24"/>
          <w:lang w:val="en-US"/>
        </w:rPr>
        <w:t xml:space="preserve"> պայմանավորվել է նախորդ տարվա ընթացքում պահեստավորված միջոցների օգտագործումով, ինչպես նաև կրեդիտորական պարտքերի</w:t>
      </w:r>
      <w:r w:rsidR="00FC0492">
        <w:rPr>
          <w:rFonts w:ascii="GHEA Grapalat" w:hAnsi="GHEA Grapalat"/>
          <w:sz w:val="24"/>
          <w:szCs w:val="24"/>
          <w:lang w:val="en-US"/>
        </w:rPr>
        <w:t xml:space="preserve"> առաջացումով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570DAC" w:rsidRPr="007760CB" w:rsidRDefault="00570DA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«Ա</w:t>
      </w:r>
      <w:r>
        <w:rPr>
          <w:rFonts w:ascii="GHEA Grapalat" w:hAnsi="GHEA Grapalat"/>
          <w:sz w:val="24"/>
          <w:szCs w:val="24"/>
        </w:rPr>
        <w:t>զգային անվտանգություն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ծրագ</w:t>
      </w:r>
      <w:r>
        <w:rPr>
          <w:rFonts w:ascii="GHEA Grapalat" w:hAnsi="GHEA Grapalat"/>
          <w:sz w:val="24"/>
          <w:szCs w:val="24"/>
          <w:lang w:val="en-US"/>
        </w:rPr>
        <w:t>րով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2020 թվականի </w:t>
      </w:r>
      <w:r w:rsidR="00232BAA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 </w:t>
      </w:r>
      <w:r w:rsidRPr="007760CB">
        <w:rPr>
          <w:rFonts w:ascii="GHEA Grapalat" w:hAnsi="GHEA Grapalat"/>
          <w:sz w:val="24"/>
          <w:szCs w:val="24"/>
          <w:lang w:val="en-US"/>
        </w:rPr>
        <w:t>ճշտված պլան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942D98">
        <w:rPr>
          <w:rFonts w:ascii="GHEA Grapalat" w:hAnsi="GHEA Grapalat"/>
          <w:sz w:val="24"/>
          <w:szCs w:val="24"/>
          <w:lang w:val="en-US"/>
        </w:rPr>
        <w:t xml:space="preserve"> նկատմամբ կատարվել է </w:t>
      </w:r>
      <w:r>
        <w:rPr>
          <w:rFonts w:ascii="GHEA Grapalat" w:hAnsi="GHEA Grapalat"/>
          <w:sz w:val="24"/>
          <w:szCs w:val="24"/>
          <w:lang w:val="en-US"/>
        </w:rPr>
        <w:t>9</w:t>
      </w:r>
      <w:r w:rsidR="00FC0492">
        <w:rPr>
          <w:rFonts w:ascii="GHEA Grapalat" w:hAnsi="GHEA Grapalat"/>
          <w:sz w:val="24"/>
          <w:szCs w:val="24"/>
          <w:lang w:val="en-US"/>
        </w:rPr>
        <w:t>8</w:t>
      </w:r>
      <w:r w:rsidRPr="007760CB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6 %</w:t>
      </w:r>
      <w:r w:rsidR="00942D98">
        <w:rPr>
          <w:rFonts w:ascii="GHEA Grapalat" w:hAnsi="GHEA Grapalat"/>
          <w:sz w:val="24"/>
          <w:szCs w:val="24"/>
          <w:lang w:val="en-US"/>
        </w:rPr>
        <w:t>-ով</w:t>
      </w:r>
      <w:r>
        <w:rPr>
          <w:rFonts w:ascii="GHEA Grapalat" w:hAnsi="GHEA Grapalat"/>
          <w:sz w:val="24"/>
          <w:szCs w:val="24"/>
          <w:lang w:val="en-US"/>
        </w:rPr>
        <w:t>, դրամարկղային ծախսը</w:t>
      </w:r>
      <w:r w:rsidR="00942D98">
        <w:rPr>
          <w:rFonts w:ascii="GHEA Grapalat" w:hAnsi="GHEA Grapalat"/>
          <w:sz w:val="24"/>
          <w:szCs w:val="24"/>
          <w:lang w:val="en-US"/>
        </w:rPr>
        <w:t xml:space="preserve"> կազմել է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21,362,991.4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 կամ ճշտված պլան</w:t>
      </w:r>
      <w:r w:rsidR="00942D98">
        <w:rPr>
          <w:rFonts w:ascii="GHEA Grapalat" w:hAnsi="GHEA Grapalat"/>
          <w:sz w:val="24"/>
          <w:szCs w:val="24"/>
          <w:lang w:val="en-US"/>
        </w:rPr>
        <w:t>ը կատարվել է</w:t>
      </w:r>
      <w:r>
        <w:rPr>
          <w:rFonts w:ascii="GHEA Grapalat" w:hAnsi="GHEA Grapalat"/>
          <w:sz w:val="24"/>
          <w:szCs w:val="24"/>
          <w:lang w:val="en-US"/>
        </w:rPr>
        <w:t xml:space="preserve"> 9</w:t>
      </w:r>
      <w:r w:rsidR="00FC0492">
        <w:rPr>
          <w:rFonts w:ascii="GHEA Grapalat" w:hAnsi="GHEA Grapalat"/>
          <w:sz w:val="24"/>
          <w:szCs w:val="24"/>
          <w:lang w:val="en-US"/>
        </w:rPr>
        <w:t>4</w:t>
      </w:r>
      <w:r w:rsidRPr="007760CB">
        <w:rPr>
          <w:rFonts w:ascii="GHEA Grapalat" w:hAnsi="GHEA Grapalat"/>
          <w:sz w:val="24"/>
          <w:szCs w:val="24"/>
          <w:lang w:val="en-US"/>
        </w:rPr>
        <w:t>.</w:t>
      </w:r>
      <w:r w:rsidR="00FC0492">
        <w:rPr>
          <w:rFonts w:ascii="GHEA Grapalat" w:hAnsi="GHEA Grapalat"/>
          <w:sz w:val="24"/>
          <w:szCs w:val="24"/>
          <w:lang w:val="en-US"/>
        </w:rPr>
        <w:t>9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%</w:t>
      </w:r>
      <w:r w:rsidR="00942D98">
        <w:rPr>
          <w:rFonts w:ascii="GHEA Grapalat" w:hAnsi="GHEA Grapalat"/>
          <w:sz w:val="24"/>
          <w:szCs w:val="24"/>
          <w:lang w:val="en-US"/>
        </w:rPr>
        <w:t>-ով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Ծ</w:t>
      </w:r>
      <w:r w:rsidRPr="007760CB">
        <w:rPr>
          <w:rFonts w:ascii="GHEA Grapalat" w:hAnsi="GHEA Grapalat"/>
          <w:sz w:val="24"/>
          <w:szCs w:val="24"/>
          <w:lang w:val="en-US"/>
        </w:rPr>
        <w:t>րագրի</w:t>
      </w:r>
      <w:r>
        <w:rPr>
          <w:rFonts w:ascii="GHEA Grapalat" w:hAnsi="GHEA Grapalat"/>
          <w:sz w:val="24"/>
          <w:szCs w:val="24"/>
          <w:lang w:val="en-US"/>
        </w:rPr>
        <w:t xml:space="preserve"> կատարողականը գնահատելու համար նախատեսված են արդյունքի (կատարողական) 9 չափորոշիչներ: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</w:t>
      </w:r>
      <w:r w:rsidRPr="007760CB">
        <w:rPr>
          <w:rFonts w:ascii="GHEA Grapalat" w:hAnsi="GHEA Grapalat"/>
          <w:sz w:val="24"/>
          <w:szCs w:val="24"/>
          <w:lang w:val="en-US"/>
        </w:rPr>
        <w:t>րագրի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միջոցառումները </w:t>
      </w:r>
      <w:r>
        <w:rPr>
          <w:rFonts w:ascii="GHEA Grapalat" w:hAnsi="GHEA Grapalat"/>
          <w:sz w:val="24"/>
          <w:szCs w:val="24"/>
          <w:lang w:val="en-US"/>
        </w:rPr>
        <w:t>ութն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են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:rsidR="00570DAC" w:rsidRPr="00516E9D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516E9D"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» միջոցառման կատարման համար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16,720,013.9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դրամ, ֆինանսավորումը կազմել է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16,432,127.7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>
        <w:rPr>
          <w:rFonts w:ascii="GHEA Grapalat" w:hAnsi="GHEA Grapalat"/>
          <w:sz w:val="24"/>
          <w:szCs w:val="24"/>
          <w:lang w:val="en-US"/>
        </w:rPr>
        <w:t>9</w:t>
      </w:r>
      <w:r w:rsidR="00FC0492">
        <w:rPr>
          <w:rFonts w:ascii="GHEA Grapalat" w:hAnsi="GHEA Grapalat"/>
          <w:sz w:val="24"/>
          <w:szCs w:val="24"/>
          <w:lang w:val="en-US"/>
        </w:rPr>
        <w:t>8</w:t>
      </w:r>
      <w:r w:rsidRPr="00516E9D">
        <w:rPr>
          <w:rFonts w:ascii="GHEA Grapalat" w:hAnsi="GHEA Grapalat"/>
          <w:sz w:val="24"/>
          <w:szCs w:val="24"/>
          <w:lang w:val="en-US"/>
        </w:rPr>
        <w:t>.</w:t>
      </w:r>
      <w:r w:rsidR="00FC0492">
        <w:rPr>
          <w:rFonts w:ascii="GHEA Grapalat" w:hAnsi="GHEA Grapalat"/>
          <w:sz w:val="24"/>
          <w:szCs w:val="24"/>
          <w:lang w:val="en-US"/>
        </w:rPr>
        <w:t>3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%-ը, դրամարկղային ծախսը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15,594,618.5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 կամ ճշտված պլանի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>
        <w:rPr>
          <w:rFonts w:ascii="GHEA Grapalat" w:hAnsi="GHEA Grapalat"/>
          <w:sz w:val="24"/>
          <w:szCs w:val="24"/>
          <w:lang w:val="en-US"/>
        </w:rPr>
        <w:t>93.3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%-ը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="00344028">
        <w:rPr>
          <w:rFonts w:ascii="GHEA Grapalat" w:hAnsi="GHEA Grapalat"/>
          <w:sz w:val="24"/>
          <w:szCs w:val="24"/>
          <w:lang w:val="en-US"/>
        </w:rPr>
        <w:t xml:space="preserve"> Միջոցառման համար արդյունքի չափորոշիչներ նախատեսված չեն:</w:t>
      </w:r>
    </w:p>
    <w:p w:rsidR="00570DAC" w:rsidRPr="007760CB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Ազգային անվտանգության համակարգի ստորաբաժանումների համար դեղորայքի ձեռքբերում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</w:t>
      </w:r>
      <w:r>
        <w:rPr>
          <w:rFonts w:ascii="GHEA Grapalat" w:hAnsi="GHEA Grapalat"/>
          <w:sz w:val="24"/>
          <w:szCs w:val="24"/>
          <w:lang w:val="en-US"/>
        </w:rPr>
        <w:t>ախսը ճշտված պլանով նախատեսվել է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21,871.1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>դրամ, 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FC0492">
        <w:rPr>
          <w:rFonts w:ascii="GHEA Grapalat" w:hAnsi="GHEA Grapalat"/>
          <w:sz w:val="24"/>
          <w:szCs w:val="24"/>
          <w:lang w:val="en-US"/>
        </w:rPr>
        <w:t>14,985.2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>
        <w:rPr>
          <w:rFonts w:ascii="GHEA Grapalat" w:hAnsi="GHEA Grapalat"/>
          <w:sz w:val="24"/>
          <w:szCs w:val="24"/>
          <w:lang w:val="en-US"/>
        </w:rPr>
        <w:t xml:space="preserve">              6</w:t>
      </w:r>
      <w:r w:rsidR="00FC0492">
        <w:rPr>
          <w:rFonts w:ascii="GHEA Grapalat" w:hAnsi="GHEA Grapalat"/>
          <w:sz w:val="24"/>
          <w:szCs w:val="24"/>
          <w:lang w:val="en-US"/>
        </w:rPr>
        <w:t>8.5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%-ը:</w:t>
      </w:r>
      <w:r w:rsidR="00C101EE">
        <w:rPr>
          <w:rFonts w:ascii="GHEA Grapalat" w:hAnsi="GHEA Grapalat"/>
          <w:sz w:val="24"/>
          <w:szCs w:val="24"/>
          <w:lang w:val="en-US"/>
        </w:rPr>
        <w:t xml:space="preserve"> Միջոցառման ինն ամիսների համար նախատեսված է «ձեռք բերված դեղերի անվանատեսակ» արդյունքի չափորոշիչ՝ 217 անվանում դեղորայք:</w:t>
      </w:r>
    </w:p>
    <w:p w:rsidR="00570DAC" w:rsidRPr="00BF5794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ՀՀ տարածքում երկաթուղով իրականացվող միջպետական ռազմական փոխադրումների, երկաթուղային կայարաններում կատարվող սպասարկման ծառայություններ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="00FC0492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,000.0 հազ.դրամ, 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>ֆինանսավորումը</w:t>
      </w:r>
      <w:r w:rsidR="00FC0492">
        <w:rPr>
          <w:rFonts w:ascii="GHEA Grapalat" w:hAnsi="GHEA Grapalat"/>
          <w:sz w:val="24"/>
          <w:szCs w:val="24"/>
          <w:lang w:val="en-US"/>
        </w:rPr>
        <w:t xml:space="preserve"> և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 w:rsidR="00FC0492">
        <w:rPr>
          <w:rFonts w:ascii="GHEA Grapalat" w:hAnsi="GHEA Grapalat"/>
          <w:sz w:val="24"/>
          <w:szCs w:val="24"/>
          <w:lang w:val="en-US"/>
        </w:rPr>
        <w:t>են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996078">
        <w:rPr>
          <w:rFonts w:ascii="GHEA Grapalat" w:hAnsi="GHEA Grapalat"/>
          <w:sz w:val="24"/>
          <w:szCs w:val="24"/>
          <w:lang w:val="en-US"/>
        </w:rPr>
        <w:t xml:space="preserve">5,309.6 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>հազ.</w:t>
      </w:r>
      <w:r w:rsidR="00FC0492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 w:rsidR="00FC0492">
        <w:rPr>
          <w:rFonts w:ascii="GHEA Grapalat" w:hAnsi="GHEA Grapalat"/>
          <w:sz w:val="24"/>
          <w:szCs w:val="24"/>
          <w:lang w:val="en-US"/>
        </w:rPr>
        <w:t xml:space="preserve">              40.8</w:t>
      </w:r>
      <w:r w:rsidR="00FC0492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>
        <w:rPr>
          <w:rFonts w:ascii="GHEA Grapalat" w:hAnsi="GHEA Grapalat"/>
          <w:sz w:val="24"/>
          <w:szCs w:val="24"/>
          <w:lang w:val="en-US"/>
        </w:rPr>
        <w:t>%-ը: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101EE">
        <w:rPr>
          <w:rFonts w:ascii="GHEA Grapalat" w:hAnsi="GHEA Grapalat"/>
          <w:sz w:val="24"/>
          <w:szCs w:val="24"/>
          <w:lang w:val="en-US"/>
        </w:rPr>
        <w:t>Միջոցառման համար արդյունքի չափորոշիչներ նախատեսված չեն:</w:t>
      </w:r>
    </w:p>
    <w:p w:rsidR="00570DAC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Պաշտպանության բնագավառի այլ ծախսեր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5,494,727.9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>դրամ, 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</w:t>
      </w:r>
      <w:r>
        <w:rPr>
          <w:rFonts w:ascii="GHEA Grapalat" w:hAnsi="GHEA Grapalat"/>
          <w:sz w:val="24"/>
          <w:szCs w:val="24"/>
          <w:lang w:val="en-US"/>
        </w:rPr>
        <w:t>կատարվել է 100 %-ով:</w:t>
      </w:r>
    </w:p>
    <w:p w:rsidR="00570DAC" w:rsidRDefault="00570DAC" w:rsidP="00F4032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«Ազգային անվտանգության համակարգի տեխնիկական հագեցվածության բարելավում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 2020 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82,923.0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հազ.դրամ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760CB">
        <w:rPr>
          <w:rFonts w:ascii="GHEA Grapalat" w:hAnsi="GHEA Grapalat"/>
          <w:sz w:val="24"/>
          <w:szCs w:val="24"/>
          <w:lang w:val="en-US"/>
        </w:rPr>
        <w:t>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80,869.6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>դրամ</w:t>
      </w:r>
      <w:r>
        <w:rPr>
          <w:rFonts w:ascii="GHEA Grapalat" w:hAnsi="GHEA Grapalat"/>
          <w:sz w:val="24"/>
          <w:szCs w:val="24"/>
          <w:lang w:val="en-US"/>
        </w:rPr>
        <w:t xml:space="preserve"> կամ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ճշտված պլանի </w:t>
      </w:r>
      <w:r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996078">
        <w:rPr>
          <w:rFonts w:ascii="GHEA Grapalat" w:hAnsi="GHEA Grapalat"/>
          <w:sz w:val="24"/>
          <w:szCs w:val="24"/>
          <w:lang w:val="en-US"/>
        </w:rPr>
        <w:t>97.5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%-ը:</w:t>
      </w:r>
      <w:r w:rsidR="00996078">
        <w:rPr>
          <w:rFonts w:ascii="GHEA Grapalat" w:hAnsi="GHEA Grapalat"/>
          <w:sz w:val="24"/>
          <w:szCs w:val="24"/>
          <w:lang w:val="en-US"/>
        </w:rPr>
        <w:t xml:space="preserve"> Միջոցառման փաստսացի ծախսը կազմել է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196,498.4</w:t>
      </w:r>
      <w:r w:rsidR="00996078">
        <w:rPr>
          <w:rFonts w:ascii="GHEA Grapalat" w:hAnsi="GHEA Grapalat"/>
          <w:sz w:val="24"/>
          <w:szCs w:val="24"/>
          <w:lang w:val="en-US"/>
        </w:rPr>
        <w:t xml:space="preserve"> հազ. դրամ և</w:t>
      </w:r>
      <w:r w:rsidR="00265601">
        <w:rPr>
          <w:rFonts w:ascii="GHEA Grapalat" w:hAnsi="GHEA Grapalat"/>
          <w:sz w:val="24"/>
          <w:szCs w:val="24"/>
          <w:lang w:val="en-US"/>
        </w:rPr>
        <w:t>,</w:t>
      </w:r>
      <w:r w:rsidR="00996078">
        <w:rPr>
          <w:rFonts w:ascii="GHEA Grapalat" w:hAnsi="GHEA Grapalat"/>
          <w:sz w:val="24"/>
          <w:szCs w:val="24"/>
          <w:lang w:val="en-US"/>
        </w:rPr>
        <w:t xml:space="preserve"> արդյունքում, հաշվի առնելով 18,000.0 հազ. դրամի դեբիտորական պարտքի մարումը, 2020 թվականի սեպտեմբերի 30-ի դրությամբ առաջացել է 97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,628.8</w:t>
      </w:r>
      <w:r w:rsidR="00996078">
        <w:rPr>
          <w:rFonts w:ascii="GHEA Grapalat" w:hAnsi="GHEA Grapalat"/>
          <w:sz w:val="24"/>
          <w:szCs w:val="24"/>
          <w:lang w:val="en-US"/>
        </w:rPr>
        <w:t xml:space="preserve"> հազ. դրամի կրեդիտորական պարտք:</w:t>
      </w:r>
      <w:r w:rsidR="00C101EE">
        <w:rPr>
          <w:rFonts w:ascii="GHEA Grapalat" w:hAnsi="GHEA Grapalat"/>
          <w:sz w:val="24"/>
          <w:szCs w:val="24"/>
          <w:lang w:val="en-US"/>
        </w:rPr>
        <w:t xml:space="preserve"> Միջոցառման ինն ամիսների</w:t>
      </w:r>
      <w:r w:rsidR="00C101EE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C101EE">
        <w:rPr>
          <w:rFonts w:ascii="GHEA Grapalat" w:hAnsi="GHEA Grapalat"/>
          <w:sz w:val="24"/>
          <w:szCs w:val="24"/>
          <w:lang w:val="en-US"/>
        </w:rPr>
        <w:t>համար նախատեսված են չորս արդյունքի չափորոշիչներ՝ «համակարգչային սարքավորումների քանակ»՝ 257 հատ, «գրասենյակային գույքի միավոր քանակ»՝ 288 հատ, «այլ սարքավորումների քանակ»՝ 30 հատ և «</w:t>
      </w:r>
      <w:r w:rsidR="00F4032D">
        <w:rPr>
          <w:rFonts w:ascii="GHEA Grapalat" w:hAnsi="GHEA Grapalat"/>
          <w:sz w:val="24"/>
          <w:szCs w:val="24"/>
          <w:lang w:val="en-US"/>
        </w:rPr>
        <w:t>համակարգչային սարքավորումների ծառայության նախատեսվող միջին ժամկետ»՝ 5 տարի:</w:t>
      </w:r>
    </w:p>
    <w:p w:rsidR="00570DAC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Ազգային անվտանգության համակարգի շենքային ապահովվածության բարելավում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</w:t>
      </w:r>
      <w:r>
        <w:rPr>
          <w:rFonts w:ascii="GHEA Grapalat" w:hAnsi="GHEA Grapalat"/>
          <w:sz w:val="24"/>
          <w:szCs w:val="24"/>
          <w:lang w:val="en-US"/>
        </w:rPr>
        <w:t xml:space="preserve"> 2020 թվականի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118,926.4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հազ.դրամ, 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996078" w:rsidRPr="00996078">
        <w:rPr>
          <w:rFonts w:ascii="GHEA Grapalat" w:hAnsi="GHEA Grapalat"/>
          <w:sz w:val="24"/>
          <w:szCs w:val="24"/>
          <w:lang w:val="en-US"/>
        </w:rPr>
        <w:t>105,775.7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 w:rsidR="00996078">
        <w:rPr>
          <w:rFonts w:ascii="GHEA Grapalat" w:hAnsi="GHEA Grapalat"/>
          <w:sz w:val="24"/>
          <w:szCs w:val="24"/>
          <w:lang w:val="en-US"/>
        </w:rPr>
        <w:t xml:space="preserve">      88.9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%-ը:</w:t>
      </w:r>
      <w:r w:rsidR="00F4032D">
        <w:rPr>
          <w:rFonts w:ascii="GHEA Grapalat" w:hAnsi="GHEA Grapalat"/>
          <w:sz w:val="24"/>
          <w:szCs w:val="24"/>
          <w:lang w:val="en-US"/>
        </w:rPr>
        <w:t xml:space="preserve"> Միջոցառման ինն ամիսների</w:t>
      </w:r>
      <w:r w:rsidR="00F4032D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4032D">
        <w:rPr>
          <w:rFonts w:ascii="GHEA Grapalat" w:hAnsi="GHEA Grapalat"/>
          <w:sz w:val="24"/>
          <w:szCs w:val="24"/>
          <w:lang w:val="en-US"/>
        </w:rPr>
        <w:t>համար նախատեսված է «կառուցվող շենքերի և շինությունների ընդհանուր մակերես» արդյունքի չափորոշիչ՝ 1097 քմ:</w:t>
      </w:r>
    </w:p>
    <w:p w:rsidR="00570DAC" w:rsidRDefault="00570DAC" w:rsidP="00570DA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Ազգային անվտանգության համակարգի</w:t>
      </w:r>
      <w:r w:rsidRPr="00516E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տրանսպորտային սարքավորումների հագեցվածության բարելավում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կատարման համար 2020 թվականի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ծախսը ճշտված պլանով նախատեսվել է </w:t>
      </w:r>
      <w:r w:rsidR="00CE2FBC" w:rsidRPr="00CE2FBC">
        <w:rPr>
          <w:rFonts w:ascii="GHEA Grapalat" w:hAnsi="GHEA Grapalat"/>
          <w:sz w:val="24"/>
          <w:szCs w:val="24"/>
          <w:lang w:val="en-US"/>
        </w:rPr>
        <w:t>64,330.0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>դրամ, 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CE2FBC" w:rsidRPr="00CE2FBC">
        <w:rPr>
          <w:rFonts w:ascii="GHEA Grapalat" w:hAnsi="GHEA Grapalat"/>
          <w:sz w:val="24"/>
          <w:szCs w:val="24"/>
          <w:lang w:val="en-US"/>
        </w:rPr>
        <w:t>61,650.0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>
        <w:rPr>
          <w:rFonts w:ascii="GHEA Grapalat" w:hAnsi="GHEA Grapalat"/>
          <w:sz w:val="24"/>
          <w:szCs w:val="24"/>
          <w:lang w:val="en-US"/>
        </w:rPr>
        <w:t>9</w:t>
      </w:r>
      <w:r w:rsidR="00CE2FBC">
        <w:rPr>
          <w:rFonts w:ascii="GHEA Grapalat" w:hAnsi="GHEA Grapalat"/>
          <w:sz w:val="24"/>
          <w:szCs w:val="24"/>
          <w:lang w:val="en-US"/>
        </w:rPr>
        <w:t>5.8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%-ը: Միջոցառման փաստսացի ծախսը կազմել է </w:t>
      </w:r>
      <w:r w:rsidR="00CE2FBC" w:rsidRPr="00CE2FBC">
        <w:rPr>
          <w:rFonts w:ascii="GHEA Grapalat" w:hAnsi="GHEA Grapalat"/>
          <w:sz w:val="24"/>
          <w:szCs w:val="24"/>
          <w:lang w:val="en-US"/>
        </w:rPr>
        <w:t>124,550.0</w:t>
      </w:r>
      <w:r w:rsidR="00265601">
        <w:rPr>
          <w:rFonts w:ascii="GHEA Grapalat" w:hAnsi="GHEA Grapalat"/>
          <w:sz w:val="24"/>
          <w:szCs w:val="24"/>
          <w:lang w:val="en-US"/>
        </w:rPr>
        <w:t xml:space="preserve"> հազ. դրամ</w:t>
      </w:r>
      <w:r>
        <w:rPr>
          <w:rFonts w:ascii="GHEA Grapalat" w:hAnsi="GHEA Grapalat"/>
          <w:sz w:val="24"/>
          <w:szCs w:val="24"/>
          <w:lang w:val="en-US"/>
        </w:rPr>
        <w:t xml:space="preserve"> և արդյունքում 2020 թվականի </w:t>
      </w:r>
      <w:r w:rsidR="00CE2FBC">
        <w:rPr>
          <w:rFonts w:ascii="GHEA Grapalat" w:hAnsi="GHEA Grapalat"/>
          <w:sz w:val="24"/>
          <w:szCs w:val="24"/>
          <w:lang w:val="en-US"/>
        </w:rPr>
        <w:t>սեպտեմբերի 30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="00167C37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 xml:space="preserve"> դրությամբ առաջացել</w:t>
      </w:r>
      <w:r w:rsidR="00CE2FBC">
        <w:rPr>
          <w:rFonts w:ascii="GHEA Grapalat" w:hAnsi="GHEA Grapalat"/>
          <w:sz w:val="24"/>
          <w:szCs w:val="24"/>
          <w:lang w:val="en-US"/>
        </w:rPr>
        <w:t xml:space="preserve"> 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E2FBC">
        <w:rPr>
          <w:rFonts w:ascii="GHEA Grapalat" w:hAnsi="GHEA Grapalat"/>
          <w:sz w:val="24"/>
          <w:szCs w:val="24"/>
          <w:lang w:val="en-US"/>
        </w:rPr>
        <w:t>62.9</w:t>
      </w:r>
      <w:r>
        <w:rPr>
          <w:rFonts w:ascii="GHEA Grapalat" w:hAnsi="GHEA Grapalat"/>
          <w:sz w:val="24"/>
          <w:szCs w:val="24"/>
          <w:lang w:val="en-US"/>
        </w:rPr>
        <w:t>00.0 հազ. դրամի կրեդիտորական պարտք:</w:t>
      </w:r>
      <w:r w:rsidR="00F4032D">
        <w:rPr>
          <w:rFonts w:ascii="GHEA Grapalat" w:hAnsi="GHEA Grapalat"/>
          <w:sz w:val="24"/>
          <w:szCs w:val="24"/>
          <w:lang w:val="en-US"/>
        </w:rPr>
        <w:t xml:space="preserve"> Միջոցառման ինն ամիսների</w:t>
      </w:r>
      <w:r w:rsidR="00F4032D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4032D">
        <w:rPr>
          <w:rFonts w:ascii="GHEA Grapalat" w:hAnsi="GHEA Grapalat"/>
          <w:sz w:val="24"/>
          <w:szCs w:val="24"/>
          <w:lang w:val="en-US"/>
        </w:rPr>
        <w:t xml:space="preserve">համար նախատեսված է </w:t>
      </w:r>
      <w:r w:rsidR="00F4032D">
        <w:rPr>
          <w:rFonts w:ascii="GHEA Grapalat" w:hAnsi="GHEA Grapalat"/>
          <w:sz w:val="24"/>
          <w:szCs w:val="24"/>
          <w:lang w:val="en-US"/>
        </w:rPr>
        <w:lastRenderedPageBreak/>
        <w:t>«տրանսպորտային սարքավորումների քանակ» արդյունքի չափորոշիչ՝ 12 հատ, որը կատարվել:</w:t>
      </w:r>
    </w:p>
    <w:p w:rsidR="00570DAC" w:rsidRDefault="00570DAC" w:rsidP="00570DAC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844A74">
        <w:rPr>
          <w:rFonts w:ascii="GHEA Grapalat" w:hAnsi="GHEA Grapalat"/>
          <w:sz w:val="24"/>
          <w:szCs w:val="24"/>
          <w:lang w:val="en-US"/>
        </w:rPr>
        <w:t xml:space="preserve">«Ազգային անվտանգության համակարգի կողմից ծառայությունների մատուցման ապահովման համար ոչ նյութական հիմնական միջոցների ձեռք բերում» միջոցառման կատարման համար 2020 թվականի </w:t>
      </w:r>
      <w:r w:rsidR="00FC0492">
        <w:rPr>
          <w:rFonts w:ascii="GHEA Grapalat" w:hAnsi="GHEA Grapalat"/>
          <w:sz w:val="24"/>
          <w:szCs w:val="24"/>
          <w:lang w:val="en-US"/>
        </w:rPr>
        <w:t>ինն</w:t>
      </w:r>
      <w:r w:rsidRPr="00844A74">
        <w:rPr>
          <w:rFonts w:ascii="GHEA Grapalat" w:hAnsi="GHEA Grapalat"/>
          <w:sz w:val="24"/>
          <w:szCs w:val="24"/>
          <w:lang w:val="en-US"/>
        </w:rPr>
        <w:t xml:space="preserve"> ամիսների ծախսը ճշտված պլանով նախատեսվել է </w:t>
      </w:r>
      <w:r w:rsidR="00CE2FBC" w:rsidRPr="00CE2FBC">
        <w:rPr>
          <w:rFonts w:ascii="GHEA Grapalat" w:hAnsi="GHEA Grapalat"/>
          <w:sz w:val="24"/>
          <w:szCs w:val="24"/>
          <w:lang w:val="en-US"/>
        </w:rPr>
        <w:t>5,347.0</w:t>
      </w:r>
      <w:r w:rsidRPr="00844A74">
        <w:rPr>
          <w:rFonts w:ascii="GHEA Grapalat" w:hAnsi="GHEA Grapalat"/>
          <w:sz w:val="24"/>
          <w:szCs w:val="24"/>
          <w:lang w:val="en-US"/>
        </w:rPr>
        <w:t xml:space="preserve"> հազ.դրամ,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>ֆինանսավորումը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դրամարկղային ծախսը կազմել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CE2FBC" w:rsidRPr="00CE2FBC">
        <w:rPr>
          <w:rFonts w:ascii="GHEA Grapalat" w:hAnsi="GHEA Grapalat"/>
          <w:sz w:val="24"/>
          <w:szCs w:val="24"/>
          <w:lang w:val="en-US"/>
        </w:rPr>
        <w:t>5,054.9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հազ.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դրամ կամ ճշտված պլանի </w:t>
      </w: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CE2FBC">
        <w:rPr>
          <w:rFonts w:ascii="GHEA Grapalat" w:hAnsi="GHEA Grapalat"/>
          <w:sz w:val="24"/>
          <w:szCs w:val="24"/>
          <w:lang w:val="en-US"/>
        </w:rPr>
        <w:t xml:space="preserve">94.5 </w:t>
      </w:r>
      <w:r>
        <w:rPr>
          <w:rFonts w:ascii="GHEA Grapalat" w:hAnsi="GHEA Grapalat"/>
          <w:sz w:val="24"/>
          <w:szCs w:val="24"/>
          <w:lang w:val="en-US"/>
        </w:rPr>
        <w:t>%-ը:</w:t>
      </w:r>
      <w:r w:rsidR="00F4032D">
        <w:rPr>
          <w:rFonts w:ascii="GHEA Grapalat" w:hAnsi="GHEA Grapalat"/>
          <w:sz w:val="24"/>
          <w:szCs w:val="24"/>
          <w:lang w:val="en-US"/>
        </w:rPr>
        <w:t xml:space="preserve"> Միջոցառման ինն ամիսների</w:t>
      </w:r>
      <w:r w:rsidR="00F4032D"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 w:rsidR="00F4032D">
        <w:rPr>
          <w:rFonts w:ascii="GHEA Grapalat" w:hAnsi="GHEA Grapalat"/>
          <w:sz w:val="24"/>
          <w:szCs w:val="24"/>
          <w:lang w:val="en-US"/>
        </w:rPr>
        <w:t>համար նախատեսված են երկու արդյունքի չափորոշիչներ՝ «ձեռք բերվող լիցենզիաների թիվ»՝ 4 հատ և «ոչ նյութական հիմնական միջոցների օգտագործման կանխատեսվող ժամկետ»՝ 1 տարի:</w:t>
      </w:r>
    </w:p>
    <w:p w:rsidR="00093D1A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093D1A" w:rsidRDefault="00093D1A" w:rsidP="00093D1A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 ԿԱՄ ԴՐԱՆՑ ԲԱՑԱԿԱՅՈՒԹՅԱՆ</w:t>
      </w: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ՎԵՐԱԲԵՐՅԱԼ ԳՐԱՌՈՒՄՆԵՐ</w:t>
      </w:r>
    </w:p>
    <w:p w:rsidR="00093D1A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B4BD0" w:rsidRPr="00844A74" w:rsidRDefault="003B4BD0" w:rsidP="003B4BD0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Pr="00844A74">
        <w:rPr>
          <w:rFonts w:ascii="GHEA Grapalat" w:hAnsi="GHEA Grapalat"/>
          <w:sz w:val="24"/>
          <w:szCs w:val="24"/>
          <w:lang w:val="en-US"/>
        </w:rPr>
        <w:t xml:space="preserve">ՀՀ հաշվեքննիչ պալատի «Պետական բյուջեի երեք, վեց, ինն ամիսների և տարեկան կատարման հաշվեքննության» ուղեցույցով ՀՀ </w:t>
      </w:r>
      <w:r w:rsidRPr="00844A74">
        <w:rPr>
          <w:rFonts w:ascii="GHEA Grapalat" w:hAnsi="GHEA Grapalat"/>
          <w:sz w:val="24"/>
          <w:szCs w:val="24"/>
        </w:rPr>
        <w:t>ազգային անվտանգության ծառայության</w:t>
      </w:r>
      <w:r w:rsidRPr="00844A74">
        <w:rPr>
          <w:rFonts w:ascii="GHEA Grapalat" w:hAnsi="GHEA Grapalat"/>
          <w:sz w:val="24"/>
          <w:szCs w:val="24"/>
          <w:lang w:val="en-US"/>
        </w:rPr>
        <w:t xml:space="preserve"> 2020 թվականի պետական բյուջեի </w:t>
      </w:r>
      <w:r>
        <w:rPr>
          <w:rFonts w:ascii="GHEA Grapalat" w:hAnsi="GHEA Grapalat"/>
          <w:sz w:val="24"/>
          <w:szCs w:val="24"/>
          <w:lang w:val="en-US"/>
        </w:rPr>
        <w:t>ինն</w:t>
      </w:r>
      <w:r w:rsidRPr="00844A74">
        <w:rPr>
          <w:rFonts w:ascii="GHEA Grapalat" w:hAnsi="GHEA Grapalat"/>
          <w:sz w:val="24"/>
          <w:szCs w:val="24"/>
          <w:lang w:val="en-US"/>
        </w:rPr>
        <w:t xml:space="preserve"> ամիսների կատարման հաշվեքննության նվազագույն ծածկույթ է նախատեսվել </w:t>
      </w:r>
      <w:r w:rsidR="000338EF">
        <w:rPr>
          <w:rFonts w:ascii="GHEA Grapalat" w:hAnsi="GHEA Grapalat"/>
          <w:sz w:val="24"/>
          <w:szCs w:val="24"/>
          <w:lang w:val="en-US"/>
        </w:rPr>
        <w:t>12,409,179.8</w:t>
      </w:r>
      <w:r w:rsidRPr="00844A74">
        <w:rPr>
          <w:rFonts w:ascii="GHEA Grapalat" w:hAnsi="GHEA Grapalat"/>
          <w:sz w:val="24"/>
          <w:szCs w:val="24"/>
          <w:lang w:val="en-US"/>
        </w:rPr>
        <w:t xml:space="preserve"> հազ. դրամ, որը ապահովելու համար հաշվեքննության են ենթարկվել պետական բյուջեի «Ա</w:t>
      </w:r>
      <w:r w:rsidRPr="00844A74">
        <w:rPr>
          <w:rFonts w:ascii="GHEA Grapalat" w:hAnsi="GHEA Grapalat"/>
          <w:sz w:val="24"/>
          <w:szCs w:val="24"/>
        </w:rPr>
        <w:t>զգային անվտանգություն</w:t>
      </w:r>
      <w:r w:rsidRPr="00844A74">
        <w:rPr>
          <w:rFonts w:ascii="GHEA Grapalat" w:hAnsi="GHEA Grapalat"/>
          <w:sz w:val="24"/>
          <w:szCs w:val="24"/>
          <w:lang w:val="en-US"/>
        </w:rPr>
        <w:t>» ծրագրի միջոցառումներով կատարված հետևյալ ծախսերը՝</w:t>
      </w:r>
    </w:p>
    <w:p w:rsidR="003B4BD0" w:rsidRDefault="003B4BD0" w:rsidP="003B4BD0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516E9D"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</w:r>
      <w:r w:rsidRPr="00516E9D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միջոցառման շրջանակում աշխատողների աշխատավարձերի և հավելավճարների ծախսեր՝ 11,053,625.8 հազ. դրամ,</w:t>
      </w:r>
    </w:p>
    <w:p w:rsidR="003B4BD0" w:rsidRDefault="003B4BD0" w:rsidP="003B4BD0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Պաշտպանության բնագավառի այլ ծախսեր</w:t>
      </w:r>
      <w:r w:rsidRPr="00516E9D">
        <w:rPr>
          <w:rFonts w:ascii="GHEA Grapalat" w:hAnsi="GHEA Grapalat"/>
          <w:sz w:val="24"/>
          <w:szCs w:val="24"/>
          <w:lang w:val="en-US"/>
        </w:rPr>
        <w:t>»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միջո</w:t>
      </w:r>
      <w:r w:rsidR="00265601">
        <w:rPr>
          <w:rFonts w:ascii="GHEA Grapalat" w:hAnsi="GHEA Grapalat"/>
          <w:sz w:val="24"/>
          <w:szCs w:val="24"/>
          <w:lang w:val="en-US"/>
        </w:rPr>
        <w:t>ցառման շրջանակում կատարված ծախս</w:t>
      </w:r>
      <w:r>
        <w:rPr>
          <w:rFonts w:ascii="GHEA Grapalat" w:hAnsi="GHEA Grapalat"/>
          <w:sz w:val="24"/>
          <w:szCs w:val="24"/>
          <w:lang w:val="en-US"/>
        </w:rPr>
        <w:t>՝ 5,494,725.9</w:t>
      </w:r>
      <w:r w:rsidRPr="007760C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հազ. դրամ:</w:t>
      </w:r>
    </w:p>
    <w:p w:rsidR="003B4BD0" w:rsidRPr="00D12C66" w:rsidRDefault="003B4BD0" w:rsidP="003B4BD0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Ընդհանուր առմամբ, հաշվեքննության են ենթարկվել ՀՀ </w:t>
      </w:r>
      <w:r>
        <w:rPr>
          <w:rFonts w:ascii="GHEA Grapalat" w:hAnsi="GHEA Grapalat"/>
          <w:sz w:val="24"/>
          <w:szCs w:val="24"/>
        </w:rPr>
        <w:t>ազգային անվտանգության ծառայության</w:t>
      </w:r>
      <w:r>
        <w:rPr>
          <w:rFonts w:ascii="GHEA Grapalat" w:hAnsi="GHEA Grapalat"/>
          <w:sz w:val="24"/>
          <w:szCs w:val="24"/>
          <w:lang w:val="en-US"/>
        </w:rPr>
        <w:t xml:space="preserve"> կողմից 2020 թվականի ինն ամիսներին կատարված </w:t>
      </w:r>
      <w:r w:rsidRPr="007C19EE">
        <w:rPr>
          <w:rFonts w:ascii="GHEA Grapalat" w:hAnsi="GHEA Grapalat"/>
          <w:sz w:val="24"/>
          <w:szCs w:val="24"/>
          <w:lang w:val="en-US"/>
        </w:rPr>
        <w:t>16,548,351.7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դրամի ծախսերը: </w:t>
      </w:r>
    </w:p>
    <w:p w:rsidR="00570DAC" w:rsidRDefault="00570DAC" w:rsidP="00570D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4B3907">
        <w:rPr>
          <w:rFonts w:ascii="GHEA Grapalat" w:hAnsi="GHEA Grapalat"/>
          <w:sz w:val="24"/>
          <w:szCs w:val="24"/>
          <w:lang w:val="en-US"/>
        </w:rPr>
        <w:tab/>
        <w:t xml:space="preserve">Հաշվեքննության ընթացքում կատարվել է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 անվտանգության ծառայության</w:t>
      </w:r>
      <w:r>
        <w:rPr>
          <w:rFonts w:ascii="GHEA Grapalat" w:hAnsi="GHEA Grapalat"/>
          <w:sz w:val="24"/>
          <w:szCs w:val="24"/>
          <w:lang w:val="en-US"/>
        </w:rPr>
        <w:t xml:space="preserve"> ա</w:t>
      </w:r>
      <w:r w:rsidRPr="004B3907">
        <w:rPr>
          <w:rFonts w:ascii="GHEA Grapalat" w:hAnsi="GHEA Grapalat"/>
          <w:sz w:val="24"/>
          <w:szCs w:val="24"/>
          <w:lang w:val="en-US"/>
        </w:rPr>
        <w:t>շխատող</w:t>
      </w:r>
      <w:r>
        <w:rPr>
          <w:rFonts w:ascii="GHEA Grapalat" w:hAnsi="GHEA Grapalat"/>
          <w:sz w:val="24"/>
          <w:szCs w:val="24"/>
          <w:lang w:val="en-US"/>
        </w:rPr>
        <w:t xml:space="preserve">ների աշխատավարձերի և </w:t>
      </w:r>
      <w:r w:rsidR="00DD77AE">
        <w:rPr>
          <w:rFonts w:ascii="GHEA Grapalat" w:hAnsi="GHEA Grapalat"/>
          <w:sz w:val="24"/>
          <w:szCs w:val="24"/>
          <w:lang w:val="en-US"/>
        </w:rPr>
        <w:t>հավել</w:t>
      </w:r>
      <w:r>
        <w:rPr>
          <w:rFonts w:ascii="GHEA Grapalat" w:hAnsi="GHEA Grapalat"/>
          <w:sz w:val="24"/>
          <w:szCs w:val="24"/>
          <w:lang w:val="en-US"/>
        </w:rPr>
        <w:t xml:space="preserve">ավճարների հաշվարկի և վճարման ճշտության ընտրանքային ուսումնասիրություն: ՀՀ </w:t>
      </w:r>
      <w:r>
        <w:rPr>
          <w:rFonts w:ascii="GHEA Grapalat" w:hAnsi="GHEA Grapalat"/>
          <w:sz w:val="24"/>
          <w:szCs w:val="24"/>
        </w:rPr>
        <w:t>ազգային անվտանգության ծառայության</w:t>
      </w:r>
      <w:r w:rsidRPr="007824E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16E9D"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</w:r>
      <w:r w:rsidRPr="00516E9D">
        <w:rPr>
          <w:rFonts w:ascii="GHEA Grapalat" w:hAnsi="GHEA Grapalat"/>
          <w:sz w:val="24"/>
          <w:szCs w:val="24"/>
          <w:lang w:val="en-US"/>
        </w:rPr>
        <w:t>»</w:t>
      </w:r>
      <w:r w:rsidRPr="007824E7">
        <w:rPr>
          <w:rFonts w:ascii="GHEA Grapalat" w:hAnsi="GHEA Grapalat"/>
          <w:sz w:val="24"/>
          <w:szCs w:val="24"/>
          <w:lang w:val="en-US"/>
        </w:rPr>
        <w:t xml:space="preserve"> բյուջետային ծրագրային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միջոցառում</w:t>
      </w:r>
      <w:r>
        <w:rPr>
          <w:rFonts w:ascii="GHEA Grapalat" w:hAnsi="GHEA Grapalat"/>
          <w:sz w:val="24"/>
          <w:szCs w:val="24"/>
          <w:lang w:val="en-US"/>
        </w:rPr>
        <w:t xml:space="preserve">ով հատկացված միջոցներով վարձատրվող </w:t>
      </w:r>
      <w:r w:rsidRPr="00F04566">
        <w:rPr>
          <w:rFonts w:ascii="GHEA Grapalat" w:hAnsi="GHEA Grapalat"/>
          <w:sz w:val="24"/>
          <w:szCs w:val="24"/>
          <w:lang w:val="en-US"/>
        </w:rPr>
        <w:t>աշխատ</w:t>
      </w:r>
      <w:r>
        <w:rPr>
          <w:rFonts w:ascii="GHEA Grapalat" w:hAnsi="GHEA Grapalat"/>
          <w:sz w:val="24"/>
          <w:szCs w:val="24"/>
          <w:lang w:val="en-US"/>
        </w:rPr>
        <w:t>ողների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հաստիքացուցակից համակարգչային Excel ծրագրի միջոցով կատարվել է</w:t>
      </w:r>
      <w:r>
        <w:rPr>
          <w:rFonts w:ascii="GHEA Grapalat" w:hAnsi="GHEA Grapalat"/>
          <w:sz w:val="24"/>
          <w:szCs w:val="24"/>
          <w:lang w:val="en-US"/>
        </w:rPr>
        <w:t xml:space="preserve"> 73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աշխատ</w:t>
      </w:r>
      <w:r>
        <w:rPr>
          <w:rFonts w:ascii="GHEA Grapalat" w:hAnsi="GHEA Grapalat"/>
          <w:sz w:val="24"/>
          <w:szCs w:val="24"/>
          <w:lang w:val="en-US"/>
        </w:rPr>
        <w:t>ողների պատահական ընտրություն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ընդհանուր </w:t>
      </w:r>
      <w:r>
        <w:rPr>
          <w:rFonts w:ascii="GHEA Grapalat" w:hAnsi="GHEA Grapalat"/>
          <w:sz w:val="24"/>
          <w:szCs w:val="24"/>
          <w:lang w:val="en-US"/>
        </w:rPr>
        <w:t>թվա</w:t>
      </w:r>
      <w:r w:rsidRPr="00F04566">
        <w:rPr>
          <w:rFonts w:ascii="GHEA Grapalat" w:hAnsi="GHEA Grapalat"/>
          <w:sz w:val="24"/>
          <w:szCs w:val="24"/>
          <w:lang w:val="en-US"/>
        </w:rPr>
        <w:t>կազմի</w:t>
      </w:r>
      <w:r>
        <w:rPr>
          <w:rFonts w:ascii="GHEA Grapalat" w:hAnsi="GHEA Grapalat"/>
          <w:sz w:val="24"/>
          <w:szCs w:val="24"/>
          <w:lang w:val="en-US"/>
        </w:rPr>
        <w:t>ց՝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ըստ պաշտոնների յուրաքանչյուր խմբի:</w:t>
      </w:r>
      <w:r>
        <w:rPr>
          <w:rFonts w:ascii="GHEA Grapalat" w:hAnsi="GHEA Grapalat"/>
          <w:sz w:val="24"/>
          <w:szCs w:val="24"/>
          <w:lang w:val="en-US"/>
        </w:rPr>
        <w:t xml:space="preserve"> Ընդ որում, ընտրության արդյունքները ճշգրտվել են այնպես, որ յուրաքանչյուր պաշտոնների խմբից ընտրվի առնվազն մեկ աշխատող (աղյուսակ 2):</w:t>
      </w:r>
    </w:p>
    <w:p w:rsidR="00570DAC" w:rsidRDefault="00570DAC" w:rsidP="00570DA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Աղյուսակ 2</w:t>
      </w:r>
    </w:p>
    <w:p w:rsidR="00570DAC" w:rsidRDefault="00570DAC" w:rsidP="00570DAC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 անվտանգության</w:t>
      </w:r>
      <w:r>
        <w:rPr>
          <w:rFonts w:ascii="GHEA Grapalat" w:hAnsi="GHEA Grapalat"/>
          <w:sz w:val="24"/>
          <w:szCs w:val="24"/>
          <w:lang w:val="en-US"/>
        </w:rPr>
        <w:t xml:space="preserve"> աշխատողների </w:t>
      </w:r>
      <w:r w:rsidRPr="00F04566">
        <w:rPr>
          <w:rFonts w:ascii="GHEA Grapalat" w:hAnsi="GHEA Grapalat"/>
          <w:sz w:val="24"/>
          <w:szCs w:val="24"/>
          <w:lang w:val="en-US"/>
        </w:rPr>
        <w:t>համակարգչային Excel ծրագրի միջոցով պատահական ընտրություն</w:t>
      </w: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4045"/>
        <w:gridCol w:w="2880"/>
        <w:gridCol w:w="1980"/>
      </w:tblGrid>
      <w:tr w:rsidR="00570DAC" w:rsidRPr="003C4EE6" w:rsidTr="008D22EF">
        <w:trPr>
          <w:trHeight w:val="348"/>
          <w:jc w:val="center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Պաշտոնների խումբ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Միջոցառում 1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ընտրված աշխատողների քանակ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ճշգրտված քանակ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Գլխավոր խումբ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Ավագ խումբ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12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Միջին խումբ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23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Կրտսեր խումբ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DD77AE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DD77AE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lang w:val="en-US" w:eastAsia="en-US"/>
              </w:rPr>
              <w:t>26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Պայմանագրային զինծառայողներ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DD77AE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DD77AE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lang w:val="en-US" w:eastAsia="en-US"/>
              </w:rPr>
              <w:t>7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AC" w:rsidRPr="003C4EE6" w:rsidRDefault="00570DAC" w:rsidP="008D22E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Զինվորական կոչում չունեցող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4</w:t>
            </w:r>
          </w:p>
        </w:tc>
      </w:tr>
      <w:tr w:rsidR="00570DAC" w:rsidRPr="003C4EE6" w:rsidTr="008D22EF">
        <w:trPr>
          <w:trHeight w:val="47"/>
          <w:jc w:val="center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Ընդամենը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AC" w:rsidRPr="003C4EE6" w:rsidRDefault="00570DAC" w:rsidP="008D22E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73</w:t>
            </w:r>
          </w:p>
        </w:tc>
      </w:tr>
    </w:tbl>
    <w:p w:rsidR="00570DAC" w:rsidRPr="00F04566" w:rsidRDefault="00570DAC" w:rsidP="00570DAC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114CEC" w:rsidRDefault="00570DA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  <w:t>Ընտրված աշխատողների հունվար, փետրվար, մարտ, ապրիլ, մայիս</w:t>
      </w:r>
      <w:r w:rsidR="00DD77AE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հունիս</w:t>
      </w:r>
      <w:r w:rsidR="00DD77AE">
        <w:rPr>
          <w:rFonts w:ascii="GHEA Grapalat" w:hAnsi="GHEA Grapalat"/>
          <w:sz w:val="24"/>
          <w:szCs w:val="24"/>
          <w:lang w:val="en-US"/>
        </w:rPr>
        <w:t>, հուլիս, օգոստոս և սեպտեմբեր</w:t>
      </w:r>
      <w:r>
        <w:rPr>
          <w:rFonts w:ascii="GHEA Grapalat" w:hAnsi="GHEA Grapalat"/>
          <w:sz w:val="24"/>
          <w:szCs w:val="24"/>
          <w:lang w:val="en-US"/>
        </w:rPr>
        <w:t xml:space="preserve"> ամիսների աշխատավարձերի </w:t>
      </w:r>
      <w:r>
        <w:rPr>
          <w:rFonts w:ascii="GHEA Grapalat" w:hAnsi="GHEA Grapalat"/>
          <w:sz w:val="24"/>
          <w:szCs w:val="24"/>
          <w:lang w:val="en-US"/>
        </w:rPr>
        <w:lastRenderedPageBreak/>
        <w:t>ցուցակների ուսումնասիրությունից պարզվել է, որ բոլոր ընտրված աշխատողների աշխատավարձերը</w:t>
      </w:r>
      <w:r w:rsidRPr="00882DE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 հավելավճարները հաշվարկվել և վճարվել են օրենսդրության պահանջներին համապատասխան:</w:t>
      </w:r>
      <w:r>
        <w:rPr>
          <w:rFonts w:ascii="GHEA Grapalat" w:hAnsi="GHEA Grapalat"/>
          <w:sz w:val="24"/>
          <w:szCs w:val="24"/>
        </w:rPr>
        <w:tab/>
      </w:r>
    </w:p>
    <w:p w:rsidR="00570DAC" w:rsidRDefault="00114CE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570DAC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570DAC">
        <w:rPr>
          <w:rFonts w:ascii="GHEA Grapalat" w:hAnsi="GHEA Grapalat"/>
          <w:sz w:val="24"/>
          <w:szCs w:val="24"/>
        </w:rPr>
        <w:t xml:space="preserve">ազգային անվտանգության ծառայության </w:t>
      </w:r>
      <w:r w:rsidR="004C2040">
        <w:rPr>
          <w:rFonts w:ascii="GHEA Grapalat" w:hAnsi="GHEA Grapalat"/>
          <w:sz w:val="24"/>
          <w:szCs w:val="24"/>
        </w:rPr>
        <w:t>2020 թվականի</w:t>
      </w:r>
      <w:r w:rsidR="004C2040" w:rsidRPr="00AB51BD">
        <w:rPr>
          <w:rFonts w:ascii="GHEA Grapalat" w:hAnsi="GHEA Grapalat"/>
          <w:sz w:val="24"/>
          <w:szCs w:val="24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երեք ամիսների հաշվեքննությամբ արձանագրվել էր, որ ծառայության կողմից  ներկայացված ֆինանսական</w:t>
      </w:r>
      <w:r w:rsidR="00570DAC" w:rsidRPr="00AB51BD">
        <w:rPr>
          <w:rFonts w:ascii="GHEA Grapalat" w:hAnsi="GHEA Grapalat"/>
          <w:sz w:val="24"/>
          <w:szCs w:val="24"/>
        </w:rPr>
        <w:t xml:space="preserve"> </w:t>
      </w:r>
      <w:r w:rsidR="00570DAC">
        <w:rPr>
          <w:rFonts w:ascii="GHEA Grapalat" w:hAnsi="GHEA Grapalat"/>
          <w:sz w:val="24"/>
          <w:szCs w:val="24"/>
        </w:rPr>
        <w:t>հաշվետվություններում առկա էին նախորդ տարուց փոխանցված դեբիտորական պարտքեր: Արձանագրվել է</w:t>
      </w:r>
      <w:r w:rsidR="0035736F">
        <w:rPr>
          <w:rFonts w:ascii="GHEA Grapalat" w:hAnsi="GHEA Grapalat"/>
          <w:sz w:val="24"/>
          <w:szCs w:val="24"/>
        </w:rPr>
        <w:t>ր</w:t>
      </w:r>
      <w:r w:rsidR="00570DAC">
        <w:rPr>
          <w:rFonts w:ascii="GHEA Grapalat" w:hAnsi="GHEA Grapalat"/>
          <w:sz w:val="24"/>
          <w:szCs w:val="24"/>
        </w:rPr>
        <w:t xml:space="preserve">, որ </w:t>
      </w:r>
      <w:r w:rsidR="00570DAC">
        <w:rPr>
          <w:rFonts w:ascii="GHEA Grapalat" w:hAnsi="GHEA Grapalat"/>
          <w:sz w:val="24"/>
          <w:szCs w:val="24"/>
          <w:lang w:val="en-US"/>
        </w:rPr>
        <w:t>«</w:t>
      </w:r>
      <w:r w:rsidR="00570DAC" w:rsidRPr="006C3969">
        <w:rPr>
          <w:rFonts w:ascii="GHEA Grapalat" w:hAnsi="GHEA Grapalat"/>
          <w:sz w:val="24"/>
          <w:szCs w:val="24"/>
          <w:lang w:val="en-US"/>
        </w:rPr>
        <w:t>Պաշտպանության բնագավառի այլ ծախսեր</w:t>
      </w:r>
      <w:r w:rsidR="00570DAC" w:rsidRPr="00516E9D">
        <w:rPr>
          <w:rFonts w:ascii="GHEA Grapalat" w:hAnsi="GHEA Grapalat"/>
          <w:sz w:val="24"/>
          <w:szCs w:val="24"/>
          <w:lang w:val="en-US"/>
        </w:rPr>
        <w:t>»</w:t>
      </w:r>
      <w:r w:rsidR="00570DAC">
        <w:rPr>
          <w:rFonts w:ascii="GHEA Grapalat" w:hAnsi="GHEA Grapalat"/>
          <w:sz w:val="24"/>
          <w:szCs w:val="24"/>
        </w:rPr>
        <w:t xml:space="preserve"> միջոցառման շրջանակում «այլ ընթացիկ դրամաշնորհներ» հոդվածով՝ 3,686.5 հազ. դրամ նախորդ տարիներից փոխանցված դեբիտորական պարտքից 2020 թվականի հուլիսի 1-ի դրությամբ մարվել է</w:t>
      </w:r>
      <w:r w:rsidR="0035736F">
        <w:rPr>
          <w:rFonts w:ascii="GHEA Grapalat" w:hAnsi="GHEA Grapalat"/>
          <w:sz w:val="24"/>
          <w:szCs w:val="24"/>
        </w:rPr>
        <w:t>ր</w:t>
      </w:r>
      <w:r w:rsidR="00570DAC">
        <w:rPr>
          <w:rFonts w:ascii="GHEA Grapalat" w:hAnsi="GHEA Grapalat"/>
          <w:sz w:val="24"/>
          <w:szCs w:val="24"/>
        </w:rPr>
        <w:t xml:space="preserve"> 2,652.4 հազ. դրամ</w:t>
      </w:r>
      <w:r w:rsidR="001448C4">
        <w:rPr>
          <w:rFonts w:ascii="GHEA Grapalat" w:hAnsi="GHEA Grapalat"/>
          <w:sz w:val="24"/>
          <w:szCs w:val="24"/>
        </w:rPr>
        <w:t xml:space="preserve">, ևս  196.1 հազ. դրամ մարվել է 2020 թվականի երրորդ եռամսյակում, և 2020 թվականի սեպտեմբերի 30-ի դրությամբ </w:t>
      </w:r>
      <w:r w:rsidR="00570DAC">
        <w:rPr>
          <w:rFonts w:ascii="GHEA Grapalat" w:hAnsi="GHEA Grapalat"/>
          <w:sz w:val="24"/>
          <w:szCs w:val="24"/>
        </w:rPr>
        <w:t xml:space="preserve"> դեբիտորական պարտքը</w:t>
      </w:r>
      <w:r w:rsidR="001448C4">
        <w:rPr>
          <w:rFonts w:ascii="GHEA Grapalat" w:hAnsi="GHEA Grapalat"/>
          <w:sz w:val="24"/>
          <w:szCs w:val="24"/>
        </w:rPr>
        <w:t xml:space="preserve"> կազմել է 838.0 հազ. դրամ</w:t>
      </w:r>
      <w:r w:rsidR="00570DAC">
        <w:rPr>
          <w:rFonts w:ascii="GHEA Grapalat" w:hAnsi="GHEA Grapalat"/>
          <w:sz w:val="24"/>
          <w:szCs w:val="24"/>
        </w:rPr>
        <w:t>:</w:t>
      </w:r>
      <w:r w:rsidR="0035736F">
        <w:rPr>
          <w:rFonts w:ascii="GHEA Grapalat" w:hAnsi="GHEA Grapalat"/>
          <w:sz w:val="24"/>
          <w:szCs w:val="24"/>
        </w:rPr>
        <w:t xml:space="preserve"> </w:t>
      </w:r>
    </w:p>
    <w:p w:rsidR="00570DAC" w:rsidRDefault="00570DAC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ծառայության կողմից ներկայացված 2020 թվականի </w:t>
      </w:r>
      <w:r w:rsidR="001448C4">
        <w:rPr>
          <w:rFonts w:ascii="GHEA Grapalat" w:hAnsi="GHEA Grapalat"/>
          <w:sz w:val="24"/>
          <w:szCs w:val="24"/>
        </w:rPr>
        <w:t>ինն</w:t>
      </w:r>
      <w:r>
        <w:rPr>
          <w:rFonts w:ascii="GHEA Grapalat" w:hAnsi="GHEA Grapalat"/>
          <w:sz w:val="24"/>
          <w:szCs w:val="24"/>
        </w:rPr>
        <w:t xml:space="preserve"> ամիսների ֆինանսական գործունեության հետ կապված հաշվետվությունների ցուցանիշները համադրվել են առանձին հոդվածներով ծախսերը հիմնավորող փաստաթղթերի հետ, խեղաթյուրումներ և անհամապատասխանություններ չեն արձանագրվել:</w:t>
      </w:r>
    </w:p>
    <w:p w:rsidR="00570DAC" w:rsidRPr="00F0323B" w:rsidRDefault="00570DAC" w:rsidP="00570DAC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1448C4" w:rsidRDefault="00570DAC" w:rsidP="0041016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1448C4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1448C4">
        <w:rPr>
          <w:rFonts w:ascii="GHEA Grapalat" w:hAnsi="GHEA Grapalat"/>
          <w:sz w:val="24"/>
          <w:szCs w:val="24"/>
        </w:rPr>
        <w:t>ազգային անվտանգության ծառայության կողմից ներկայացված 2020 թվականի ինն ամիսների ֆինանսական հաշվետվությունների</w:t>
      </w:r>
      <w:r w:rsidR="001448C4" w:rsidRPr="00F0323B">
        <w:rPr>
          <w:rFonts w:ascii="GHEA Grapalat" w:hAnsi="GHEA Grapalat"/>
          <w:sz w:val="24"/>
          <w:szCs w:val="24"/>
        </w:rPr>
        <w:t xml:space="preserve"> </w:t>
      </w:r>
      <w:r w:rsidR="001448C4">
        <w:rPr>
          <w:rFonts w:ascii="GHEA Grapalat" w:hAnsi="GHEA Grapalat"/>
          <w:sz w:val="24"/>
          <w:szCs w:val="24"/>
        </w:rPr>
        <w:t xml:space="preserve"> ուսումնասիրությունից պարզվել է, որ 2020 թվականի երրորդ եռամսյակի ընթացքում առաջացել են</w:t>
      </w:r>
      <w:r w:rsidR="003B4BD0">
        <w:rPr>
          <w:rFonts w:ascii="GHEA Grapalat" w:hAnsi="GHEA Grapalat"/>
          <w:sz w:val="24"/>
          <w:szCs w:val="24"/>
        </w:rPr>
        <w:t xml:space="preserve"> էական</w:t>
      </w:r>
      <w:r w:rsidR="001448C4">
        <w:rPr>
          <w:rFonts w:ascii="GHEA Grapalat" w:hAnsi="GHEA Grapalat"/>
          <w:sz w:val="24"/>
          <w:szCs w:val="24"/>
        </w:rPr>
        <w:t xml:space="preserve"> կրեդիտորական պարտքեր: Այսպես</w:t>
      </w:r>
      <w:r w:rsidR="003B4BD0">
        <w:rPr>
          <w:rFonts w:ascii="GHEA Grapalat" w:hAnsi="GHEA Grapalat"/>
          <w:sz w:val="24"/>
          <w:szCs w:val="24"/>
        </w:rPr>
        <w:t>,</w:t>
      </w:r>
      <w:r w:rsidR="001448C4">
        <w:rPr>
          <w:rFonts w:ascii="GHEA Grapalat" w:hAnsi="GHEA Grapalat"/>
          <w:sz w:val="24"/>
          <w:szCs w:val="24"/>
        </w:rPr>
        <w:t xml:space="preserve"> «</w:t>
      </w:r>
      <w:r w:rsidR="001448C4" w:rsidRPr="001448C4">
        <w:rPr>
          <w:rFonts w:ascii="GHEA Grapalat" w:hAnsi="GHEA Grapalat"/>
          <w:sz w:val="24"/>
          <w:szCs w:val="24"/>
        </w:rPr>
        <w:t>Ազգային անվտանգության համակարգի տեխնիկական հագեցվածության բարելավում»</w:t>
      </w:r>
      <w:r w:rsidR="001448C4">
        <w:rPr>
          <w:rFonts w:ascii="GHEA Grapalat" w:hAnsi="GHEA Grapalat"/>
          <w:sz w:val="24"/>
          <w:szCs w:val="24"/>
        </w:rPr>
        <w:t xml:space="preserve"> միջոցառման «վարչական սարքավորումներ» հոդվածով «Բի-Լայն» ՍՊԸ կրեդիտորական պարտքը</w:t>
      </w:r>
      <w:r w:rsidR="000338EF">
        <w:rPr>
          <w:rFonts w:ascii="GHEA Grapalat" w:hAnsi="GHEA Grapalat"/>
          <w:sz w:val="24"/>
          <w:szCs w:val="24"/>
        </w:rPr>
        <w:t xml:space="preserve"> սեպտեմբերի 30-ի դրությամբ  </w:t>
      </w:r>
      <w:r w:rsidR="001448C4">
        <w:rPr>
          <w:rFonts w:ascii="GHEA Grapalat" w:hAnsi="GHEA Grapalat"/>
          <w:sz w:val="24"/>
          <w:szCs w:val="24"/>
        </w:rPr>
        <w:t>կազմել է 97,628.8 հազ. դրամ: «</w:t>
      </w:r>
      <w:r w:rsidR="001448C4" w:rsidRPr="001448C4">
        <w:rPr>
          <w:rFonts w:ascii="GHEA Grapalat" w:hAnsi="GHEA Grapalat"/>
          <w:sz w:val="24"/>
          <w:szCs w:val="24"/>
        </w:rPr>
        <w:t xml:space="preserve">Ազգային անվտանգության համակարգի տրանսպորտային </w:t>
      </w:r>
      <w:r w:rsidR="001448C4" w:rsidRPr="001448C4">
        <w:rPr>
          <w:rFonts w:ascii="GHEA Grapalat" w:hAnsi="GHEA Grapalat"/>
          <w:sz w:val="24"/>
          <w:szCs w:val="24"/>
        </w:rPr>
        <w:lastRenderedPageBreak/>
        <w:t>սարքավորումների հագեցվածության բարելավում</w:t>
      </w:r>
      <w:r w:rsidR="001448C4">
        <w:rPr>
          <w:rFonts w:ascii="GHEA Grapalat" w:hAnsi="GHEA Grapalat"/>
          <w:sz w:val="24"/>
          <w:szCs w:val="24"/>
        </w:rPr>
        <w:t>»</w:t>
      </w:r>
      <w:r w:rsidR="00410166" w:rsidRPr="00410166">
        <w:rPr>
          <w:rFonts w:ascii="GHEA Grapalat" w:hAnsi="GHEA Grapalat"/>
          <w:sz w:val="24"/>
          <w:szCs w:val="24"/>
        </w:rPr>
        <w:t xml:space="preserve"> </w:t>
      </w:r>
      <w:r w:rsidR="00410166">
        <w:rPr>
          <w:rFonts w:ascii="GHEA Grapalat" w:hAnsi="GHEA Grapalat"/>
          <w:sz w:val="24"/>
          <w:szCs w:val="24"/>
        </w:rPr>
        <w:t>միջոցառման «տրանսպորտային սարքավորումներ» հոդվածով կրեդիտորական պարտքը կազմել է 62,900.0 հազ. դրամ, որից «Կապիտալ Մոթորս» ՍՊԸ</w:t>
      </w:r>
      <w:r w:rsidR="00410166" w:rsidRPr="00410166">
        <w:rPr>
          <w:rFonts w:ascii="GHEA Grapalat" w:hAnsi="GHEA Grapalat"/>
          <w:sz w:val="24"/>
          <w:szCs w:val="24"/>
        </w:rPr>
        <w:t xml:space="preserve"> </w:t>
      </w:r>
      <w:r w:rsidR="00410166">
        <w:rPr>
          <w:rFonts w:ascii="GHEA Grapalat" w:hAnsi="GHEA Grapalat"/>
          <w:sz w:val="24"/>
          <w:szCs w:val="24"/>
        </w:rPr>
        <w:t xml:space="preserve">կրեդիտորական պարտքը կազմել է 34,500.0 հազ. դրամ, «Մեգամոթորս» ՍՊԸ՝ 19,600.0 հազ. դրամ, «Կարկոմավտո» ՍՊԸ՝ </w:t>
      </w:r>
      <w:r w:rsidR="000338EF">
        <w:rPr>
          <w:rFonts w:ascii="GHEA Grapalat" w:hAnsi="GHEA Grapalat"/>
          <w:sz w:val="24"/>
          <w:szCs w:val="24"/>
        </w:rPr>
        <w:t>8,</w:t>
      </w:r>
      <w:r w:rsidR="00410166">
        <w:rPr>
          <w:rFonts w:ascii="GHEA Grapalat" w:hAnsi="GHEA Grapalat"/>
          <w:sz w:val="24"/>
          <w:szCs w:val="24"/>
        </w:rPr>
        <w:t>800.0 հազ. դրամ:</w:t>
      </w:r>
    </w:p>
    <w:p w:rsidR="00570DAC" w:rsidRPr="00F0323B" w:rsidRDefault="001448C4" w:rsidP="00570D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570DAC" w:rsidRPr="00F0323B">
        <w:rPr>
          <w:rFonts w:ascii="GHEA Grapalat" w:hAnsi="GHEA Grapalat"/>
          <w:sz w:val="24"/>
          <w:szCs w:val="24"/>
        </w:rPr>
        <w:t xml:space="preserve">Հաշվեքննության իրականացման համար պահանջված տեղեկատվությունը ներկայացվել է ամբողջությամբ և սահմանված ժամկետներում: </w:t>
      </w:r>
    </w:p>
    <w:p w:rsidR="00570DAC" w:rsidRDefault="00570DAC" w:rsidP="00570DA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 xml:space="preserve">Հաշվեքննվող օբյեկտի </w:t>
      </w:r>
      <w:r w:rsidRPr="00F0323B">
        <w:rPr>
          <w:rFonts w:ascii="GHEA Grapalat" w:eastAsiaTheme="minorHAnsi" w:hAnsi="GHEA Grapalat"/>
          <w:sz w:val="24"/>
          <w:szCs w:val="24"/>
        </w:rPr>
        <w:t>ղեկավարությունը ծանոթացել է հաշվեքննության արդյունքներով կազմված արձանագրությանը,</w:t>
      </w:r>
      <w:r>
        <w:rPr>
          <w:rFonts w:ascii="GHEA Grapalat" w:eastAsiaTheme="minorHAnsi" w:hAnsi="GHEA Grapalat"/>
          <w:sz w:val="24"/>
          <w:szCs w:val="24"/>
        </w:rPr>
        <w:t xml:space="preserve"> առարկություններ և բացատրություններ չունի</w:t>
      </w:r>
      <w:r w:rsidRPr="00F0323B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365981" w:rsidRDefault="00365981" w:rsidP="00365981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ՀԵՏՀՍԿՈՂԱԿԱՆ ԳՈՐԾԸՆԹԱՑ</w:t>
      </w:r>
    </w:p>
    <w:p w:rsidR="00365981" w:rsidRDefault="00365981" w:rsidP="00365981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BD1027" w:rsidRDefault="00365981" w:rsidP="0036598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ab/>
      </w:r>
      <w:r w:rsidRPr="008965D2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ազգային անվտանգության ծառայության </w:t>
      </w:r>
      <w:r w:rsidRPr="008965D2">
        <w:rPr>
          <w:rFonts w:ascii="GHEA Grapalat" w:hAnsi="GHEA Grapalat"/>
          <w:sz w:val="24"/>
          <w:szCs w:val="24"/>
        </w:rPr>
        <w:t xml:space="preserve">2020 թվականի  պետական բյուջեի </w:t>
      </w:r>
      <w:r>
        <w:rPr>
          <w:rFonts w:ascii="GHEA Grapalat" w:hAnsi="GHEA Grapalat"/>
          <w:sz w:val="24"/>
          <w:szCs w:val="24"/>
        </w:rPr>
        <w:t>կատարման նկատմամբ</w:t>
      </w:r>
      <w:r w:rsidR="00410166">
        <w:rPr>
          <w:rFonts w:ascii="GHEA Grapalat" w:hAnsi="GHEA Grapalat"/>
          <w:sz w:val="24"/>
          <w:szCs w:val="24"/>
        </w:rPr>
        <w:t xml:space="preserve"> նախորդ</w:t>
      </w:r>
      <w:r>
        <w:rPr>
          <w:rFonts w:ascii="GHEA Grapalat" w:hAnsi="GHEA Grapalat"/>
          <w:sz w:val="24"/>
          <w:szCs w:val="24"/>
        </w:rPr>
        <w:t xml:space="preserve"> հաշվեքննությ</w:t>
      </w:r>
      <w:r w:rsidR="00410166">
        <w:rPr>
          <w:rFonts w:ascii="GHEA Grapalat" w:hAnsi="GHEA Grapalat"/>
          <w:sz w:val="24"/>
          <w:szCs w:val="24"/>
        </w:rPr>
        <w:t>ունների</w:t>
      </w:r>
      <w:r>
        <w:rPr>
          <w:rFonts w:ascii="GHEA Grapalat" w:hAnsi="GHEA Grapalat"/>
          <w:sz w:val="24"/>
          <w:szCs w:val="24"/>
        </w:rPr>
        <w:t xml:space="preserve"> արդյունքում ՀՀ հաշվեքննիչ պալատի կողմից ներկայացվել է հետևյալ առաջարկությունը.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6588"/>
        <w:gridCol w:w="1700"/>
        <w:gridCol w:w="1530"/>
      </w:tblGrid>
      <w:tr w:rsidR="00365981" w:rsidTr="001261C3">
        <w:trPr>
          <w:jc w:val="center"/>
        </w:trPr>
        <w:tc>
          <w:tcPr>
            <w:tcW w:w="6588" w:type="dxa"/>
          </w:tcPr>
          <w:p w:rsidR="00365981" w:rsidRDefault="00365981" w:rsidP="004C2040">
            <w:pPr>
              <w:tabs>
                <w:tab w:val="left" w:pos="7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ձեռնարկել միջոցներ նախորդ տար</w:t>
            </w:r>
            <w:r w:rsidR="004C2040">
              <w:rPr>
                <w:rFonts w:ascii="GHEA Grapalat" w:hAnsi="GHEA Grapalat"/>
                <w:sz w:val="24"/>
                <w:szCs w:val="24"/>
              </w:rPr>
              <w:t>ու</w:t>
            </w:r>
            <w:r>
              <w:rPr>
                <w:rFonts w:ascii="GHEA Grapalat" w:hAnsi="GHEA Grapalat"/>
                <w:sz w:val="24"/>
                <w:szCs w:val="24"/>
              </w:rPr>
              <w:t>ց փոխանցված դեբիտորական պարտքերը մարելու ուղղությամբ</w:t>
            </w:r>
          </w:p>
        </w:tc>
        <w:tc>
          <w:tcPr>
            <w:tcW w:w="1700" w:type="dxa"/>
            <w:vAlign w:val="center"/>
          </w:tcPr>
          <w:p w:rsidR="00365981" w:rsidRDefault="00365981" w:rsidP="001261C3">
            <w:pPr>
              <w:tabs>
                <w:tab w:val="left" w:pos="7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ընդունված է</w:t>
            </w:r>
          </w:p>
        </w:tc>
        <w:tc>
          <w:tcPr>
            <w:tcW w:w="1530" w:type="dxa"/>
            <w:vAlign w:val="center"/>
          </w:tcPr>
          <w:p w:rsidR="00365981" w:rsidRDefault="00365981" w:rsidP="001261C3">
            <w:pPr>
              <w:tabs>
                <w:tab w:val="left" w:pos="7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ընթացքում </w:t>
            </w:r>
          </w:p>
        </w:tc>
      </w:tr>
      <w:bookmarkEnd w:id="2"/>
    </w:tbl>
    <w:p w:rsidR="00365981" w:rsidRDefault="00365981" w:rsidP="0036598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10166" w:rsidRDefault="00410166" w:rsidP="0036598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10166" w:rsidRPr="00F0323B" w:rsidRDefault="00410166" w:rsidP="00410166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  <w:r w:rsidRPr="00F0323B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410166" w:rsidRPr="00F0323B" w:rsidRDefault="00410166" w:rsidP="00410166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16"/>
          <w:szCs w:val="16"/>
          <w:lang w:val="af-ZA"/>
        </w:rPr>
      </w:pPr>
    </w:p>
    <w:p w:rsidR="00410166" w:rsidRPr="00F0323B" w:rsidRDefault="00410166" w:rsidP="00410166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410166" w:rsidRPr="00F0323B" w:rsidRDefault="00410166" w:rsidP="0041016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2"/>
          <w:szCs w:val="24"/>
          <w:lang w:val="de-DE"/>
        </w:rPr>
      </w:pPr>
      <w:r w:rsidRPr="00410166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ՀՀ ազգային անվտանգության ծառայության</w:t>
      </w:r>
      <w:r w:rsidRPr="00F0323B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ը` </w:t>
      </w:r>
    </w:p>
    <w:p w:rsidR="00410166" w:rsidRPr="00047AE5" w:rsidRDefault="00410166" w:rsidP="00410166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 w:rsidRPr="00F0323B">
        <w:rPr>
          <w:rFonts w:ascii="GHEA Grapalat" w:hAnsi="GHEA Grapalat"/>
          <w:sz w:val="24"/>
          <w:szCs w:val="24"/>
        </w:rPr>
        <w:t>ձեռնարկել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միջոցներ</w:t>
      </w:r>
      <w:r w:rsidR="004C2040" w:rsidRPr="00047AE5">
        <w:rPr>
          <w:rFonts w:ascii="GHEA Grapalat" w:hAnsi="GHEA Grapalat"/>
          <w:sz w:val="24"/>
          <w:szCs w:val="24"/>
          <w:lang w:val="de-DE"/>
        </w:rPr>
        <w:t xml:space="preserve"> «</w:t>
      </w:r>
      <w:r w:rsidR="004C2040" w:rsidRPr="004C2040">
        <w:rPr>
          <w:rFonts w:ascii="GHEA Grapalat" w:hAnsi="GHEA Grapalat"/>
          <w:sz w:val="24"/>
          <w:szCs w:val="24"/>
        </w:rPr>
        <w:t>Պաշտպանության</w:t>
      </w:r>
      <w:r w:rsidR="004C2040"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 w:rsidR="004C2040" w:rsidRPr="004C2040">
        <w:rPr>
          <w:rFonts w:ascii="GHEA Grapalat" w:hAnsi="GHEA Grapalat"/>
          <w:sz w:val="24"/>
          <w:szCs w:val="24"/>
        </w:rPr>
        <w:t>բնագավառի</w:t>
      </w:r>
      <w:r w:rsidR="004C2040"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 w:rsidR="004C2040" w:rsidRPr="004C2040">
        <w:rPr>
          <w:rFonts w:ascii="GHEA Grapalat" w:hAnsi="GHEA Grapalat"/>
          <w:sz w:val="24"/>
          <w:szCs w:val="24"/>
        </w:rPr>
        <w:t>այլ</w:t>
      </w:r>
      <w:r w:rsidR="004C2040"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 w:rsidR="004C2040" w:rsidRPr="004C2040">
        <w:rPr>
          <w:rFonts w:ascii="GHEA Grapalat" w:hAnsi="GHEA Grapalat"/>
          <w:sz w:val="24"/>
          <w:szCs w:val="24"/>
        </w:rPr>
        <w:t>ծախսեր</w:t>
      </w:r>
      <w:r w:rsidR="004C2040" w:rsidRPr="00047AE5">
        <w:rPr>
          <w:rFonts w:ascii="GHEA Grapalat" w:hAnsi="GHEA Grapalat"/>
          <w:sz w:val="24"/>
          <w:szCs w:val="24"/>
          <w:lang w:val="de-DE"/>
        </w:rPr>
        <w:t xml:space="preserve">» </w:t>
      </w:r>
      <w:r w:rsidR="004C2040">
        <w:rPr>
          <w:rFonts w:ascii="GHEA Grapalat" w:hAnsi="GHEA Grapalat"/>
          <w:sz w:val="24"/>
          <w:szCs w:val="24"/>
        </w:rPr>
        <w:t>միջոցառման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նախորդ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տար</w:t>
      </w:r>
      <w:r w:rsidR="004C2040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ց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փոխանցված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դեբիտորական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պարտքը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2020 </w:t>
      </w:r>
      <w:r>
        <w:rPr>
          <w:rFonts w:ascii="GHEA Grapalat" w:hAnsi="GHEA Grapalat"/>
          <w:sz w:val="24"/>
          <w:szCs w:val="24"/>
        </w:rPr>
        <w:t>թվականի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երրորդ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եռամսյակի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առաջացած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կրեդիտորական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պարտքերը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մարելու</w:t>
      </w:r>
      <w:r w:rsidRPr="00047AE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ուղղությամբ</w:t>
      </w:r>
      <w:r w:rsidRPr="00047AE5">
        <w:rPr>
          <w:rFonts w:ascii="GHEA Grapalat" w:hAnsi="GHEA Grapalat"/>
          <w:sz w:val="24"/>
          <w:szCs w:val="24"/>
          <w:lang w:val="de-DE"/>
        </w:rPr>
        <w:t>:</w:t>
      </w:r>
    </w:p>
    <w:p w:rsidR="00410166" w:rsidRPr="00047AE5" w:rsidRDefault="00410166" w:rsidP="0036598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</w:p>
    <w:sectPr w:rsidR="00410166" w:rsidRPr="00047AE5" w:rsidSect="005F11C6">
      <w:headerReference w:type="default" r:id="rId9"/>
      <w:footerReference w:type="default" r:id="rId10"/>
      <w:headerReference w:type="first" r:id="rId11"/>
      <w:pgSz w:w="11906" w:h="16838" w:code="9"/>
      <w:pgMar w:top="126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6F" w:rsidRDefault="005E096F" w:rsidP="00151A8E">
      <w:r>
        <w:separator/>
      </w:r>
    </w:p>
  </w:endnote>
  <w:endnote w:type="continuationSeparator" w:id="0">
    <w:p w:rsidR="005E096F" w:rsidRDefault="005E096F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02" w:rsidRDefault="002C7902" w:rsidP="00A069F4">
    <w:pPr>
      <w:pStyle w:val="Footer"/>
    </w:pPr>
  </w:p>
  <w:p w:rsidR="002C7902" w:rsidRDefault="002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6F" w:rsidRDefault="005E096F" w:rsidP="00151A8E">
      <w:r>
        <w:separator/>
      </w:r>
    </w:p>
  </w:footnote>
  <w:footnote w:type="continuationSeparator" w:id="0">
    <w:p w:rsidR="005E096F" w:rsidRDefault="005E096F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02" w:rsidRDefault="005E096F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2C7902" w:rsidRPr="00A069F4" w:rsidRDefault="002C7902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047AE5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2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E5" w:rsidRDefault="00047AE5" w:rsidP="00047AE5">
    <w:pPr>
      <w:pStyle w:val="Header"/>
      <w:rPr>
        <w:rFonts w:ascii="GHEA Grapalat" w:hAnsi="GHEA Grapalat"/>
        <w:i/>
        <w:lang w:val="hy-AM" w:eastAsia="en-US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en-US"/>
      </w:rPr>
      <w:t xml:space="preserve">                                                                                                                             </w:t>
    </w:r>
    <w:r>
      <w:rPr>
        <w:rFonts w:ascii="GHEA Grapalat" w:hAnsi="GHEA Grapalat"/>
        <w:i/>
        <w:lang w:val="hy-AM"/>
      </w:rPr>
      <w:t>Հավելված</w:t>
    </w:r>
  </w:p>
  <w:p w:rsidR="00047AE5" w:rsidRDefault="00047AE5" w:rsidP="00047AE5">
    <w:pPr>
      <w:pStyle w:val="Header"/>
      <w:jc w:val="right"/>
      <w:rPr>
        <w:rFonts w:ascii="GHEA Grapalat" w:hAnsi="GHEA Grapalat"/>
        <w:i/>
        <w:lang w:val="hy-AM"/>
      </w:rPr>
    </w:pPr>
    <w:r>
      <w:rPr>
        <w:rFonts w:ascii="GHEA Grapalat" w:hAnsi="GHEA Grapalat"/>
        <w:i/>
        <w:lang w:val="en-US"/>
      </w:rPr>
      <w:t xml:space="preserve">           </w:t>
    </w:r>
    <w:r>
      <w:rPr>
        <w:rFonts w:ascii="GHEA Grapalat" w:hAnsi="GHEA Grapalat"/>
        <w:i/>
        <w:lang w:val="hy-AM"/>
      </w:rPr>
      <w:t>Հաշվեքննիչ պալատի</w:t>
    </w:r>
  </w:p>
  <w:p w:rsidR="00047AE5" w:rsidRDefault="00047AE5" w:rsidP="00047AE5">
    <w:pPr>
      <w:pStyle w:val="Header"/>
      <w:jc w:val="right"/>
      <w:rPr>
        <w:rFonts w:ascii="GHEA Grapalat" w:hAnsi="GHEA Grapalat"/>
        <w:i/>
        <w:lang w:val="hy-AM" w:eastAsia="en-US"/>
      </w:rPr>
    </w:pPr>
    <w:r>
      <w:rPr>
        <w:rFonts w:ascii="GHEA Grapalat" w:hAnsi="GHEA Grapalat"/>
        <w:i/>
        <w:lang w:val="en-US"/>
      </w:rPr>
      <w:t xml:space="preserve">         </w:t>
    </w:r>
    <w:r>
      <w:rPr>
        <w:rFonts w:ascii="GHEA Grapalat" w:hAnsi="GHEA Grapalat"/>
        <w:i/>
        <w:lang w:val="hy-AM"/>
      </w:rPr>
      <w:t>2021թ. փետրվարի 25-ի թիվ 44</w:t>
    </w:r>
    <w:r>
      <w:rPr>
        <w:rFonts w:ascii="GHEA Grapalat" w:hAnsi="GHEA Grapalat"/>
        <w:i/>
        <w:lang w:val="hy-AM"/>
      </w:rPr>
      <w:t>-Ա որոշման</w:t>
    </w:r>
  </w:p>
  <w:p w:rsidR="002C7902" w:rsidRPr="00047AE5" w:rsidRDefault="002C7902" w:rsidP="00047AE5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hy-AM"/>
      </w:rPr>
    </w:pPr>
  </w:p>
  <w:bookmarkEnd w:id="3"/>
  <w:bookmarkEnd w:id="4"/>
  <w:bookmarkEnd w:id="5"/>
  <w:bookmarkEnd w:id="6"/>
  <w:p w:rsidR="002C7902" w:rsidRPr="00047AE5" w:rsidRDefault="002C790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12"/>
  </w:num>
  <w:num w:numId="5">
    <w:abstractNumId w:val="4"/>
  </w:num>
  <w:num w:numId="6">
    <w:abstractNumId w:val="37"/>
  </w:num>
  <w:num w:numId="7">
    <w:abstractNumId w:val="28"/>
  </w:num>
  <w:num w:numId="8">
    <w:abstractNumId w:val="33"/>
  </w:num>
  <w:num w:numId="9">
    <w:abstractNumId w:val="32"/>
  </w:num>
  <w:num w:numId="10">
    <w:abstractNumId w:val="24"/>
  </w:num>
  <w:num w:numId="11">
    <w:abstractNumId w:val="6"/>
  </w:num>
  <w:num w:numId="12">
    <w:abstractNumId w:val="19"/>
  </w:num>
  <w:num w:numId="13">
    <w:abstractNumId w:val="0"/>
  </w:num>
  <w:num w:numId="14">
    <w:abstractNumId w:val="23"/>
  </w:num>
  <w:num w:numId="15">
    <w:abstractNumId w:val="39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30"/>
  </w:num>
  <w:num w:numId="23">
    <w:abstractNumId w:val="13"/>
  </w:num>
  <w:num w:numId="24">
    <w:abstractNumId w:val="29"/>
  </w:num>
  <w:num w:numId="25">
    <w:abstractNumId w:val="9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20"/>
  </w:num>
  <w:num w:numId="34">
    <w:abstractNumId w:val="1"/>
  </w:num>
  <w:num w:numId="35">
    <w:abstractNumId w:val="35"/>
  </w:num>
  <w:num w:numId="36">
    <w:abstractNumId w:val="36"/>
  </w:num>
  <w:num w:numId="37">
    <w:abstractNumId w:val="2"/>
  </w:num>
  <w:num w:numId="38">
    <w:abstractNumId w:val="38"/>
  </w:num>
  <w:num w:numId="39">
    <w:abstractNumId w:val="34"/>
  </w:num>
  <w:num w:numId="40">
    <w:abstractNumId w:val="2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70BC"/>
    <w:rsid w:val="000074DB"/>
    <w:rsid w:val="00007A75"/>
    <w:rsid w:val="00013635"/>
    <w:rsid w:val="00014950"/>
    <w:rsid w:val="00016769"/>
    <w:rsid w:val="00016867"/>
    <w:rsid w:val="00024118"/>
    <w:rsid w:val="00031BD3"/>
    <w:rsid w:val="000338EF"/>
    <w:rsid w:val="00035A76"/>
    <w:rsid w:val="00036503"/>
    <w:rsid w:val="00042933"/>
    <w:rsid w:val="00043106"/>
    <w:rsid w:val="000439CB"/>
    <w:rsid w:val="00047AE5"/>
    <w:rsid w:val="00060A8B"/>
    <w:rsid w:val="000613DA"/>
    <w:rsid w:val="00064351"/>
    <w:rsid w:val="00064D8E"/>
    <w:rsid w:val="0008508A"/>
    <w:rsid w:val="00092CF8"/>
    <w:rsid w:val="00093D1A"/>
    <w:rsid w:val="000A41C8"/>
    <w:rsid w:val="000A5E48"/>
    <w:rsid w:val="000A6853"/>
    <w:rsid w:val="000C2999"/>
    <w:rsid w:val="000C2D03"/>
    <w:rsid w:val="000C3F59"/>
    <w:rsid w:val="000C78B7"/>
    <w:rsid w:val="000D1F95"/>
    <w:rsid w:val="000D39AE"/>
    <w:rsid w:val="000D4BBD"/>
    <w:rsid w:val="000D6839"/>
    <w:rsid w:val="000D7734"/>
    <w:rsid w:val="000D7E36"/>
    <w:rsid w:val="000E42C0"/>
    <w:rsid w:val="000F6AFC"/>
    <w:rsid w:val="001006E3"/>
    <w:rsid w:val="001020C8"/>
    <w:rsid w:val="00103C6B"/>
    <w:rsid w:val="00105595"/>
    <w:rsid w:val="00112586"/>
    <w:rsid w:val="00114CEC"/>
    <w:rsid w:val="00142FDA"/>
    <w:rsid w:val="001448C4"/>
    <w:rsid w:val="00145CD9"/>
    <w:rsid w:val="00151A8E"/>
    <w:rsid w:val="00156353"/>
    <w:rsid w:val="00160BC7"/>
    <w:rsid w:val="00160CCE"/>
    <w:rsid w:val="00165989"/>
    <w:rsid w:val="00167C37"/>
    <w:rsid w:val="00177A9F"/>
    <w:rsid w:val="0018239E"/>
    <w:rsid w:val="00184A72"/>
    <w:rsid w:val="00186313"/>
    <w:rsid w:val="001938A5"/>
    <w:rsid w:val="00196006"/>
    <w:rsid w:val="001965E0"/>
    <w:rsid w:val="00197038"/>
    <w:rsid w:val="001A185B"/>
    <w:rsid w:val="001A35E9"/>
    <w:rsid w:val="001A48CC"/>
    <w:rsid w:val="001A6D1C"/>
    <w:rsid w:val="001B385D"/>
    <w:rsid w:val="001B6BD6"/>
    <w:rsid w:val="001C1503"/>
    <w:rsid w:val="001C352C"/>
    <w:rsid w:val="001C4607"/>
    <w:rsid w:val="001C4A24"/>
    <w:rsid w:val="001D0156"/>
    <w:rsid w:val="001D1220"/>
    <w:rsid w:val="001D2A16"/>
    <w:rsid w:val="001E1157"/>
    <w:rsid w:val="001E1A24"/>
    <w:rsid w:val="001E258B"/>
    <w:rsid w:val="001E3A04"/>
    <w:rsid w:val="001E3F4F"/>
    <w:rsid w:val="001E7384"/>
    <w:rsid w:val="001F419A"/>
    <w:rsid w:val="00213210"/>
    <w:rsid w:val="00214412"/>
    <w:rsid w:val="00214C85"/>
    <w:rsid w:val="00217B13"/>
    <w:rsid w:val="00221841"/>
    <w:rsid w:val="00222299"/>
    <w:rsid w:val="00232BAA"/>
    <w:rsid w:val="00233B33"/>
    <w:rsid w:val="00234C54"/>
    <w:rsid w:val="002356A4"/>
    <w:rsid w:val="0024071D"/>
    <w:rsid w:val="0024119A"/>
    <w:rsid w:val="00247235"/>
    <w:rsid w:val="00252E06"/>
    <w:rsid w:val="00261AB9"/>
    <w:rsid w:val="00263BB5"/>
    <w:rsid w:val="00264AB9"/>
    <w:rsid w:val="00265601"/>
    <w:rsid w:val="002764FD"/>
    <w:rsid w:val="00287247"/>
    <w:rsid w:val="00293CD1"/>
    <w:rsid w:val="002A5802"/>
    <w:rsid w:val="002B1C8D"/>
    <w:rsid w:val="002B2F43"/>
    <w:rsid w:val="002B34CC"/>
    <w:rsid w:val="002C3C9D"/>
    <w:rsid w:val="002C7902"/>
    <w:rsid w:val="002D2571"/>
    <w:rsid w:val="002D4322"/>
    <w:rsid w:val="002D44B4"/>
    <w:rsid w:val="002F4C96"/>
    <w:rsid w:val="00306F56"/>
    <w:rsid w:val="0030724C"/>
    <w:rsid w:val="00313F8C"/>
    <w:rsid w:val="003204C2"/>
    <w:rsid w:val="00334E1A"/>
    <w:rsid w:val="00344028"/>
    <w:rsid w:val="003450D6"/>
    <w:rsid w:val="003469BC"/>
    <w:rsid w:val="0035736F"/>
    <w:rsid w:val="00357E8B"/>
    <w:rsid w:val="00361220"/>
    <w:rsid w:val="0036418B"/>
    <w:rsid w:val="00365981"/>
    <w:rsid w:val="00377E35"/>
    <w:rsid w:val="003814EC"/>
    <w:rsid w:val="003867FF"/>
    <w:rsid w:val="00391CAE"/>
    <w:rsid w:val="003924D8"/>
    <w:rsid w:val="003925C6"/>
    <w:rsid w:val="00393404"/>
    <w:rsid w:val="00395752"/>
    <w:rsid w:val="00395EFC"/>
    <w:rsid w:val="003A0A1F"/>
    <w:rsid w:val="003A1D4D"/>
    <w:rsid w:val="003A4F0B"/>
    <w:rsid w:val="003B0413"/>
    <w:rsid w:val="003B0898"/>
    <w:rsid w:val="003B3EA3"/>
    <w:rsid w:val="003B42BF"/>
    <w:rsid w:val="003B4BD0"/>
    <w:rsid w:val="003B7677"/>
    <w:rsid w:val="003D5D2C"/>
    <w:rsid w:val="003D6081"/>
    <w:rsid w:val="003E1AB9"/>
    <w:rsid w:val="003E727F"/>
    <w:rsid w:val="003F1691"/>
    <w:rsid w:val="003F2546"/>
    <w:rsid w:val="003F2757"/>
    <w:rsid w:val="003F3CA7"/>
    <w:rsid w:val="003F6162"/>
    <w:rsid w:val="00401A28"/>
    <w:rsid w:val="00404D3C"/>
    <w:rsid w:val="00410166"/>
    <w:rsid w:val="00415CC5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71550"/>
    <w:rsid w:val="0047215F"/>
    <w:rsid w:val="00472C47"/>
    <w:rsid w:val="004730D1"/>
    <w:rsid w:val="00477A53"/>
    <w:rsid w:val="00483214"/>
    <w:rsid w:val="004864ED"/>
    <w:rsid w:val="00486AAF"/>
    <w:rsid w:val="0049132D"/>
    <w:rsid w:val="0049503D"/>
    <w:rsid w:val="00496230"/>
    <w:rsid w:val="004A1A8B"/>
    <w:rsid w:val="004A35B6"/>
    <w:rsid w:val="004B1F71"/>
    <w:rsid w:val="004B3879"/>
    <w:rsid w:val="004B3907"/>
    <w:rsid w:val="004B3E1D"/>
    <w:rsid w:val="004C1618"/>
    <w:rsid w:val="004C2040"/>
    <w:rsid w:val="004D32E9"/>
    <w:rsid w:val="004E15F4"/>
    <w:rsid w:val="004E3388"/>
    <w:rsid w:val="004E36DE"/>
    <w:rsid w:val="004E7394"/>
    <w:rsid w:val="004F61B7"/>
    <w:rsid w:val="005063FC"/>
    <w:rsid w:val="00506E99"/>
    <w:rsid w:val="005131C5"/>
    <w:rsid w:val="005156C1"/>
    <w:rsid w:val="00516375"/>
    <w:rsid w:val="00516E9D"/>
    <w:rsid w:val="0054556B"/>
    <w:rsid w:val="00550520"/>
    <w:rsid w:val="00551C8D"/>
    <w:rsid w:val="00560B3B"/>
    <w:rsid w:val="00563F55"/>
    <w:rsid w:val="00570DAC"/>
    <w:rsid w:val="00574267"/>
    <w:rsid w:val="005745AC"/>
    <w:rsid w:val="00575959"/>
    <w:rsid w:val="00582406"/>
    <w:rsid w:val="00586576"/>
    <w:rsid w:val="00591052"/>
    <w:rsid w:val="005965BA"/>
    <w:rsid w:val="00596E6B"/>
    <w:rsid w:val="005A4A08"/>
    <w:rsid w:val="005C1D16"/>
    <w:rsid w:val="005E096F"/>
    <w:rsid w:val="005E2243"/>
    <w:rsid w:val="005F11C6"/>
    <w:rsid w:val="005F2CA7"/>
    <w:rsid w:val="00602274"/>
    <w:rsid w:val="00607482"/>
    <w:rsid w:val="00613D09"/>
    <w:rsid w:val="00621232"/>
    <w:rsid w:val="00623025"/>
    <w:rsid w:val="00632006"/>
    <w:rsid w:val="00635D82"/>
    <w:rsid w:val="0064011F"/>
    <w:rsid w:val="0064190C"/>
    <w:rsid w:val="006512A4"/>
    <w:rsid w:val="00653C6C"/>
    <w:rsid w:val="00682D9C"/>
    <w:rsid w:val="006838F5"/>
    <w:rsid w:val="00684C65"/>
    <w:rsid w:val="00686B0C"/>
    <w:rsid w:val="00696FBA"/>
    <w:rsid w:val="006A0BFC"/>
    <w:rsid w:val="006A15C3"/>
    <w:rsid w:val="006B0C8D"/>
    <w:rsid w:val="006C0062"/>
    <w:rsid w:val="006C01EC"/>
    <w:rsid w:val="006C4F89"/>
    <w:rsid w:val="006D2083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43AC2"/>
    <w:rsid w:val="00752889"/>
    <w:rsid w:val="007549D7"/>
    <w:rsid w:val="0076210A"/>
    <w:rsid w:val="00766198"/>
    <w:rsid w:val="00767D32"/>
    <w:rsid w:val="0077547F"/>
    <w:rsid w:val="007760BB"/>
    <w:rsid w:val="007760CB"/>
    <w:rsid w:val="007824E7"/>
    <w:rsid w:val="007836C8"/>
    <w:rsid w:val="00785367"/>
    <w:rsid w:val="00794992"/>
    <w:rsid w:val="00794CDE"/>
    <w:rsid w:val="00795D44"/>
    <w:rsid w:val="007A20F1"/>
    <w:rsid w:val="007A5C6D"/>
    <w:rsid w:val="007B6D54"/>
    <w:rsid w:val="007C0758"/>
    <w:rsid w:val="007C19EE"/>
    <w:rsid w:val="007C3F94"/>
    <w:rsid w:val="007D1D32"/>
    <w:rsid w:val="007D3D1B"/>
    <w:rsid w:val="007D4959"/>
    <w:rsid w:val="007D4D95"/>
    <w:rsid w:val="007D5722"/>
    <w:rsid w:val="007D586F"/>
    <w:rsid w:val="007D5F9B"/>
    <w:rsid w:val="007E03B7"/>
    <w:rsid w:val="007F120A"/>
    <w:rsid w:val="007F7658"/>
    <w:rsid w:val="00800A3D"/>
    <w:rsid w:val="00800AF2"/>
    <w:rsid w:val="008070AC"/>
    <w:rsid w:val="00813C72"/>
    <w:rsid w:val="0081416E"/>
    <w:rsid w:val="0081670B"/>
    <w:rsid w:val="00827AB6"/>
    <w:rsid w:val="00832DA7"/>
    <w:rsid w:val="008435BE"/>
    <w:rsid w:val="008452C5"/>
    <w:rsid w:val="00846262"/>
    <w:rsid w:val="00847F4E"/>
    <w:rsid w:val="00852329"/>
    <w:rsid w:val="008536E7"/>
    <w:rsid w:val="00853E99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4747"/>
    <w:rsid w:val="0089782F"/>
    <w:rsid w:val="008A465E"/>
    <w:rsid w:val="008A4E3F"/>
    <w:rsid w:val="008B2F1D"/>
    <w:rsid w:val="008B5128"/>
    <w:rsid w:val="008B7E98"/>
    <w:rsid w:val="008E2615"/>
    <w:rsid w:val="008F4618"/>
    <w:rsid w:val="008F4C6F"/>
    <w:rsid w:val="008F58C3"/>
    <w:rsid w:val="008F7B7B"/>
    <w:rsid w:val="00901125"/>
    <w:rsid w:val="00917D40"/>
    <w:rsid w:val="00920AA5"/>
    <w:rsid w:val="00921427"/>
    <w:rsid w:val="00930288"/>
    <w:rsid w:val="00931C00"/>
    <w:rsid w:val="00937B09"/>
    <w:rsid w:val="0094256B"/>
    <w:rsid w:val="00942D98"/>
    <w:rsid w:val="009453C7"/>
    <w:rsid w:val="009500F0"/>
    <w:rsid w:val="0095194B"/>
    <w:rsid w:val="00952770"/>
    <w:rsid w:val="00952786"/>
    <w:rsid w:val="00962DAF"/>
    <w:rsid w:val="0096777E"/>
    <w:rsid w:val="00967AAE"/>
    <w:rsid w:val="00970604"/>
    <w:rsid w:val="00973121"/>
    <w:rsid w:val="009737DB"/>
    <w:rsid w:val="00983BBD"/>
    <w:rsid w:val="00990DA1"/>
    <w:rsid w:val="009926CD"/>
    <w:rsid w:val="00996078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2FA3"/>
    <w:rsid w:val="009D483E"/>
    <w:rsid w:val="009D4FD1"/>
    <w:rsid w:val="009E1172"/>
    <w:rsid w:val="009E3928"/>
    <w:rsid w:val="009F30B0"/>
    <w:rsid w:val="009F3AD2"/>
    <w:rsid w:val="00A00915"/>
    <w:rsid w:val="00A03734"/>
    <w:rsid w:val="00A03DE4"/>
    <w:rsid w:val="00A064A5"/>
    <w:rsid w:val="00A069F4"/>
    <w:rsid w:val="00A13EDB"/>
    <w:rsid w:val="00A176D7"/>
    <w:rsid w:val="00A17B3A"/>
    <w:rsid w:val="00A27877"/>
    <w:rsid w:val="00A30D53"/>
    <w:rsid w:val="00A30EFA"/>
    <w:rsid w:val="00A372FC"/>
    <w:rsid w:val="00A40319"/>
    <w:rsid w:val="00A44BCE"/>
    <w:rsid w:val="00A54302"/>
    <w:rsid w:val="00A66E95"/>
    <w:rsid w:val="00A70994"/>
    <w:rsid w:val="00A94B9E"/>
    <w:rsid w:val="00A962EF"/>
    <w:rsid w:val="00AA3651"/>
    <w:rsid w:val="00AA785C"/>
    <w:rsid w:val="00AC3F02"/>
    <w:rsid w:val="00AD4A7A"/>
    <w:rsid w:val="00AD58F6"/>
    <w:rsid w:val="00AE318A"/>
    <w:rsid w:val="00AE3326"/>
    <w:rsid w:val="00AE3ECA"/>
    <w:rsid w:val="00AF24EC"/>
    <w:rsid w:val="00AF34D3"/>
    <w:rsid w:val="00AF7E63"/>
    <w:rsid w:val="00B02283"/>
    <w:rsid w:val="00B07842"/>
    <w:rsid w:val="00B11E48"/>
    <w:rsid w:val="00B1788F"/>
    <w:rsid w:val="00B1796C"/>
    <w:rsid w:val="00B2086E"/>
    <w:rsid w:val="00B25A85"/>
    <w:rsid w:val="00B34F91"/>
    <w:rsid w:val="00B36D61"/>
    <w:rsid w:val="00B43328"/>
    <w:rsid w:val="00B501DB"/>
    <w:rsid w:val="00B52590"/>
    <w:rsid w:val="00B736CF"/>
    <w:rsid w:val="00B94AFE"/>
    <w:rsid w:val="00B97217"/>
    <w:rsid w:val="00BA07FE"/>
    <w:rsid w:val="00BA35A2"/>
    <w:rsid w:val="00BA76FD"/>
    <w:rsid w:val="00BC1467"/>
    <w:rsid w:val="00BC30BD"/>
    <w:rsid w:val="00BC578A"/>
    <w:rsid w:val="00BD0F82"/>
    <w:rsid w:val="00BD1027"/>
    <w:rsid w:val="00BD68D8"/>
    <w:rsid w:val="00BF5584"/>
    <w:rsid w:val="00C101EE"/>
    <w:rsid w:val="00C1137B"/>
    <w:rsid w:val="00C245AE"/>
    <w:rsid w:val="00C25671"/>
    <w:rsid w:val="00C359DC"/>
    <w:rsid w:val="00C42715"/>
    <w:rsid w:val="00C474EE"/>
    <w:rsid w:val="00C6174B"/>
    <w:rsid w:val="00C70207"/>
    <w:rsid w:val="00C85A8E"/>
    <w:rsid w:val="00C8785D"/>
    <w:rsid w:val="00C9138C"/>
    <w:rsid w:val="00C945CA"/>
    <w:rsid w:val="00CA2C0A"/>
    <w:rsid w:val="00CA6332"/>
    <w:rsid w:val="00CB6398"/>
    <w:rsid w:val="00CB78B1"/>
    <w:rsid w:val="00CC03B6"/>
    <w:rsid w:val="00CC0C0C"/>
    <w:rsid w:val="00CC51F2"/>
    <w:rsid w:val="00CC6572"/>
    <w:rsid w:val="00CC78DF"/>
    <w:rsid w:val="00CE2FBC"/>
    <w:rsid w:val="00CE6907"/>
    <w:rsid w:val="00CF071C"/>
    <w:rsid w:val="00CF21B7"/>
    <w:rsid w:val="00D12C66"/>
    <w:rsid w:val="00D140D4"/>
    <w:rsid w:val="00D16671"/>
    <w:rsid w:val="00D30AD3"/>
    <w:rsid w:val="00D31524"/>
    <w:rsid w:val="00D42365"/>
    <w:rsid w:val="00D43A7E"/>
    <w:rsid w:val="00D562E5"/>
    <w:rsid w:val="00D57B43"/>
    <w:rsid w:val="00D64C0D"/>
    <w:rsid w:val="00D742E6"/>
    <w:rsid w:val="00D775FB"/>
    <w:rsid w:val="00D77DCB"/>
    <w:rsid w:val="00D87B5A"/>
    <w:rsid w:val="00DA0497"/>
    <w:rsid w:val="00DA09F3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D77AE"/>
    <w:rsid w:val="00DE1C15"/>
    <w:rsid w:val="00DE3977"/>
    <w:rsid w:val="00DE3B4A"/>
    <w:rsid w:val="00DE7AC1"/>
    <w:rsid w:val="00DF1403"/>
    <w:rsid w:val="00DF2209"/>
    <w:rsid w:val="00DF392E"/>
    <w:rsid w:val="00E04F72"/>
    <w:rsid w:val="00E11EFA"/>
    <w:rsid w:val="00E12C09"/>
    <w:rsid w:val="00E17FEF"/>
    <w:rsid w:val="00E248B2"/>
    <w:rsid w:val="00E258CB"/>
    <w:rsid w:val="00E360D2"/>
    <w:rsid w:val="00E416DD"/>
    <w:rsid w:val="00E47879"/>
    <w:rsid w:val="00E55DE6"/>
    <w:rsid w:val="00E61B72"/>
    <w:rsid w:val="00E6334B"/>
    <w:rsid w:val="00E71DC1"/>
    <w:rsid w:val="00E7314E"/>
    <w:rsid w:val="00E75E1D"/>
    <w:rsid w:val="00E77597"/>
    <w:rsid w:val="00E8547C"/>
    <w:rsid w:val="00E87960"/>
    <w:rsid w:val="00E95FD5"/>
    <w:rsid w:val="00EA10B2"/>
    <w:rsid w:val="00EA1A6A"/>
    <w:rsid w:val="00EA6D15"/>
    <w:rsid w:val="00EB17D3"/>
    <w:rsid w:val="00EB1C96"/>
    <w:rsid w:val="00EB1FA9"/>
    <w:rsid w:val="00EB37FE"/>
    <w:rsid w:val="00EB7727"/>
    <w:rsid w:val="00EC5529"/>
    <w:rsid w:val="00EC638B"/>
    <w:rsid w:val="00EC687B"/>
    <w:rsid w:val="00ED63BA"/>
    <w:rsid w:val="00EE2D6E"/>
    <w:rsid w:val="00EE6E86"/>
    <w:rsid w:val="00EF067E"/>
    <w:rsid w:val="00EF1D7D"/>
    <w:rsid w:val="00EF2F70"/>
    <w:rsid w:val="00EF5959"/>
    <w:rsid w:val="00EF710A"/>
    <w:rsid w:val="00F00912"/>
    <w:rsid w:val="00F00D24"/>
    <w:rsid w:val="00F0203A"/>
    <w:rsid w:val="00F04566"/>
    <w:rsid w:val="00F05E1F"/>
    <w:rsid w:val="00F10F73"/>
    <w:rsid w:val="00F12E39"/>
    <w:rsid w:val="00F13702"/>
    <w:rsid w:val="00F1646E"/>
    <w:rsid w:val="00F24E37"/>
    <w:rsid w:val="00F32569"/>
    <w:rsid w:val="00F3428F"/>
    <w:rsid w:val="00F35CFA"/>
    <w:rsid w:val="00F4032D"/>
    <w:rsid w:val="00F4358F"/>
    <w:rsid w:val="00F468BB"/>
    <w:rsid w:val="00F52E5F"/>
    <w:rsid w:val="00F56EFE"/>
    <w:rsid w:val="00F64E17"/>
    <w:rsid w:val="00F6588C"/>
    <w:rsid w:val="00F72944"/>
    <w:rsid w:val="00F77D2F"/>
    <w:rsid w:val="00F85C6A"/>
    <w:rsid w:val="00F86CAE"/>
    <w:rsid w:val="00F97E71"/>
    <w:rsid w:val="00FA14EF"/>
    <w:rsid w:val="00FA3064"/>
    <w:rsid w:val="00FA5274"/>
    <w:rsid w:val="00FA5539"/>
    <w:rsid w:val="00FB54E6"/>
    <w:rsid w:val="00FB78C2"/>
    <w:rsid w:val="00FC0492"/>
    <w:rsid w:val="00FD5263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3D1135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C8BD-CAC5-46FF-A0EA-12D257C2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181</cp:revision>
  <cp:lastPrinted>2021-02-26T08:00:00Z</cp:lastPrinted>
  <dcterms:created xsi:type="dcterms:W3CDTF">2019-01-18T09:46:00Z</dcterms:created>
  <dcterms:modified xsi:type="dcterms:W3CDTF">2021-02-26T08:01:00Z</dcterms:modified>
</cp:coreProperties>
</file>