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2C9C" w14:textId="050938DF" w:rsidR="0082538E" w:rsidRPr="006434F9" w:rsidRDefault="0082538E" w:rsidP="00C869EB">
      <w:pPr>
        <w:spacing w:after="120"/>
        <w:jc w:val="center"/>
        <w:rPr>
          <w:i/>
          <w:iCs/>
        </w:rPr>
      </w:pPr>
    </w:p>
    <w:p w14:paraId="25EFB7D5" w14:textId="10A42E9A" w:rsidR="008C08B3" w:rsidRPr="006434F9" w:rsidRDefault="008C08B3" w:rsidP="00596DD0">
      <w:pPr>
        <w:spacing w:after="120"/>
        <w:jc w:val="center"/>
        <w:rPr>
          <w:b/>
          <w:bCs/>
          <w:sz w:val="32"/>
          <w:szCs w:val="32"/>
        </w:rPr>
      </w:pPr>
      <w:r w:rsidRPr="006434F9">
        <w:rPr>
          <w:b/>
          <w:bCs/>
          <w:sz w:val="32"/>
          <w:szCs w:val="32"/>
        </w:rPr>
        <w:t>ՀԱՅԱՍՏԱՆԻ ՀԱՆՐԱՊԵՏՈՒԹՅԱՆ</w:t>
      </w:r>
      <w:r w:rsidR="00497776" w:rsidRPr="006434F9">
        <w:rPr>
          <w:b/>
          <w:bCs/>
          <w:sz w:val="32"/>
          <w:szCs w:val="32"/>
        </w:rPr>
        <w:t xml:space="preserve"> </w:t>
      </w:r>
      <w:r w:rsidRPr="006434F9">
        <w:rPr>
          <w:b/>
          <w:bCs/>
          <w:sz w:val="32"/>
          <w:szCs w:val="32"/>
        </w:rPr>
        <w:t>ՀԱՇՎԵՔՆՆԻՉ</w:t>
      </w:r>
      <w:r w:rsidR="00497776" w:rsidRPr="006434F9">
        <w:rPr>
          <w:b/>
          <w:bCs/>
          <w:sz w:val="32"/>
          <w:szCs w:val="32"/>
        </w:rPr>
        <w:t xml:space="preserve"> Պ</w:t>
      </w:r>
      <w:r w:rsidRPr="006434F9">
        <w:rPr>
          <w:b/>
          <w:bCs/>
          <w:sz w:val="32"/>
          <w:szCs w:val="32"/>
        </w:rPr>
        <w:t>ԱԼԱՏ</w:t>
      </w:r>
    </w:p>
    <w:p w14:paraId="786C1CED" w14:textId="38CBE1D2" w:rsidR="008C08B3" w:rsidRDefault="008C08B3" w:rsidP="00596DD0">
      <w:pPr>
        <w:spacing w:after="120"/>
        <w:jc w:val="center"/>
      </w:pPr>
    </w:p>
    <w:p w14:paraId="00A30B03" w14:textId="77777777" w:rsidR="00823129" w:rsidRPr="006434F9" w:rsidRDefault="00823129" w:rsidP="00596DD0">
      <w:pPr>
        <w:spacing w:after="120"/>
        <w:jc w:val="center"/>
      </w:pPr>
      <w:bookmarkStart w:id="0" w:name="_GoBack"/>
      <w:bookmarkEnd w:id="0"/>
    </w:p>
    <w:p w14:paraId="669EA9EE" w14:textId="77777777" w:rsidR="008C08B3" w:rsidRPr="006434F9" w:rsidRDefault="008C08B3" w:rsidP="00596DD0">
      <w:pPr>
        <w:spacing w:after="120"/>
        <w:jc w:val="center"/>
        <w:rPr>
          <w:rFonts w:cs="Sylfaen"/>
          <w:color w:val="000000"/>
          <w:sz w:val="28"/>
        </w:rPr>
      </w:pPr>
      <w:bookmarkStart w:id="1" w:name="_Hlk509559606"/>
      <w:r w:rsidRPr="006434F9">
        <w:rPr>
          <w:noProof/>
          <w:lang w:val="en-US"/>
        </w:rPr>
        <w:drawing>
          <wp:inline distT="0" distB="0" distL="0" distR="0" wp14:anchorId="17DD2337" wp14:editId="199CBDE3">
            <wp:extent cx="1341755" cy="1258570"/>
            <wp:effectExtent l="0" t="0" r="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FE9F6C9" w14:textId="77777777" w:rsidR="008C08B3" w:rsidRPr="006434F9" w:rsidRDefault="008C08B3" w:rsidP="00596DD0">
      <w:pPr>
        <w:spacing w:after="120"/>
        <w:jc w:val="center"/>
      </w:pPr>
    </w:p>
    <w:p w14:paraId="7DAD695D" w14:textId="77777777" w:rsidR="008C08B3" w:rsidRPr="006434F9" w:rsidRDefault="008C08B3" w:rsidP="00596DD0">
      <w:pPr>
        <w:spacing w:after="120"/>
        <w:jc w:val="center"/>
      </w:pPr>
    </w:p>
    <w:p w14:paraId="00B007CE" w14:textId="77777777" w:rsidR="008C08B3" w:rsidRPr="006434F9" w:rsidRDefault="008C08B3" w:rsidP="00596DD0">
      <w:pPr>
        <w:spacing w:after="120"/>
        <w:jc w:val="center"/>
        <w:rPr>
          <w:b/>
          <w:bCs/>
          <w:i/>
          <w:sz w:val="40"/>
          <w:szCs w:val="40"/>
          <w:u w:val="single"/>
        </w:rPr>
      </w:pPr>
      <w:r w:rsidRPr="006434F9">
        <w:rPr>
          <w:b/>
          <w:bCs/>
          <w:sz w:val="40"/>
          <w:szCs w:val="40"/>
        </w:rPr>
        <w:t>ԸՆԹԱՑԻԿ ԵԶՐԱԿԱՑՈՒԹՅՈՒՆ</w:t>
      </w:r>
    </w:p>
    <w:p w14:paraId="7C28166A" w14:textId="7D74C736" w:rsidR="008C08B3" w:rsidRPr="006434F9" w:rsidRDefault="00653096" w:rsidP="00044807">
      <w:pPr>
        <w:spacing w:after="120"/>
        <w:jc w:val="center"/>
        <w:rPr>
          <w:b/>
          <w:bCs/>
          <w:color w:val="808080"/>
          <w:sz w:val="28"/>
          <w:szCs w:val="22"/>
        </w:rPr>
      </w:pPr>
      <w:r w:rsidRPr="006434F9">
        <w:rPr>
          <w:b/>
          <w:bCs/>
          <w:color w:val="808080"/>
          <w:sz w:val="28"/>
          <w:szCs w:val="22"/>
        </w:rPr>
        <w:t xml:space="preserve">ՀՀ ՊԵՏԱԿԱՆ ԵԿԱՄՈՒՏՆԵՐԻ ԿՈՄԻՏԵՈՒՄ 2020 ԹՎԱԿԱՆԻ ՊԵՏԱԿԱՆ ԲՅՈՒՋԵԻ </w:t>
      </w:r>
      <w:r w:rsidR="006C4E9F" w:rsidRPr="006434F9">
        <w:rPr>
          <w:b/>
          <w:bCs/>
          <w:color w:val="808080"/>
          <w:sz w:val="28"/>
          <w:szCs w:val="22"/>
        </w:rPr>
        <w:t>ԻՆՆ</w:t>
      </w:r>
      <w:r w:rsidRPr="006434F9">
        <w:rPr>
          <w:b/>
          <w:bCs/>
          <w:color w:val="808080"/>
          <w:sz w:val="28"/>
          <w:szCs w:val="22"/>
        </w:rPr>
        <w:t xml:space="preserve"> ԱՄԻՍՆԵՐԻ </w:t>
      </w:r>
      <w:r w:rsidR="00C20D51" w:rsidRPr="006434F9">
        <w:rPr>
          <w:b/>
          <w:bCs/>
          <w:color w:val="808080"/>
          <w:sz w:val="28"/>
          <w:szCs w:val="22"/>
        </w:rPr>
        <w:t>ԿԱՏԱՐՄԱՆ</w:t>
      </w:r>
      <w:r w:rsidRPr="006434F9">
        <w:rPr>
          <w:b/>
          <w:bCs/>
          <w:color w:val="808080"/>
          <w:sz w:val="28"/>
          <w:szCs w:val="22"/>
        </w:rPr>
        <w:t xml:space="preserve"> </w:t>
      </w:r>
      <w:r w:rsidR="008C08B3" w:rsidRPr="006434F9">
        <w:rPr>
          <w:b/>
          <w:bCs/>
          <w:color w:val="808080"/>
          <w:sz w:val="28"/>
          <w:szCs w:val="22"/>
        </w:rPr>
        <w:t>ՀԱՇՎԵՔՆՆՈՒԹՅԱՆ ԱՐԴՅՈՒՆՔՆԵՐԻ ՎԵՐԱԲԵՐՅԱԼ</w:t>
      </w:r>
    </w:p>
    <w:p w14:paraId="28F0E3A3" w14:textId="109A73E5" w:rsidR="00C96B6D" w:rsidRPr="006434F9" w:rsidRDefault="00C96B6D" w:rsidP="00596DD0">
      <w:pPr>
        <w:spacing w:after="120"/>
      </w:pPr>
    </w:p>
    <w:p w14:paraId="105CBFE8" w14:textId="513AE519" w:rsidR="00CA76F7" w:rsidRPr="006434F9" w:rsidRDefault="00CA76F7" w:rsidP="00596DD0">
      <w:pPr>
        <w:spacing w:after="120"/>
      </w:pPr>
    </w:p>
    <w:p w14:paraId="5B73C44D" w14:textId="033E9E1C" w:rsidR="00CA76F7" w:rsidRPr="006434F9" w:rsidRDefault="00CA76F7" w:rsidP="00596DD0">
      <w:pPr>
        <w:spacing w:after="120"/>
      </w:pPr>
    </w:p>
    <w:p w14:paraId="552A3124" w14:textId="2E78E8EB" w:rsidR="00CA76F7" w:rsidRPr="006434F9" w:rsidRDefault="00CA76F7" w:rsidP="00596DD0">
      <w:pPr>
        <w:spacing w:after="120"/>
      </w:pPr>
    </w:p>
    <w:p w14:paraId="6F8C3F0F" w14:textId="725C0B6C" w:rsidR="00CA76F7" w:rsidRPr="006434F9" w:rsidRDefault="00CA76F7" w:rsidP="00596DD0">
      <w:pPr>
        <w:spacing w:after="120"/>
      </w:pPr>
    </w:p>
    <w:p w14:paraId="502F1A81" w14:textId="3A18B2D6" w:rsidR="00CA76F7" w:rsidRPr="006434F9" w:rsidRDefault="00CA76F7" w:rsidP="00596DD0">
      <w:pPr>
        <w:spacing w:after="120"/>
      </w:pPr>
    </w:p>
    <w:p w14:paraId="60918BC4" w14:textId="4AABB7BE" w:rsidR="00CA76F7" w:rsidRPr="006434F9" w:rsidRDefault="00CA76F7" w:rsidP="00596DD0">
      <w:pPr>
        <w:spacing w:after="120"/>
      </w:pPr>
    </w:p>
    <w:p w14:paraId="5A5E5F90" w14:textId="7184F0B3" w:rsidR="00CA76F7" w:rsidRPr="006434F9" w:rsidRDefault="00CA76F7" w:rsidP="00596DD0">
      <w:pPr>
        <w:spacing w:after="120"/>
      </w:pPr>
    </w:p>
    <w:p w14:paraId="1412F79E" w14:textId="77777777" w:rsidR="00CA76F7" w:rsidRPr="006434F9" w:rsidRDefault="00CA76F7" w:rsidP="00596DD0">
      <w:pPr>
        <w:spacing w:after="120"/>
      </w:pPr>
    </w:p>
    <w:p w14:paraId="24B0D21A" w14:textId="36E4F36B" w:rsidR="00CA76F7" w:rsidRPr="006434F9" w:rsidRDefault="00CA76F7" w:rsidP="00596DD0">
      <w:pPr>
        <w:spacing w:after="120"/>
        <w:jc w:val="center"/>
        <w:rPr>
          <w:sz w:val="28"/>
          <w:szCs w:val="28"/>
        </w:rPr>
      </w:pPr>
      <w:r w:rsidRPr="006434F9">
        <w:rPr>
          <w:sz w:val="28"/>
          <w:szCs w:val="28"/>
        </w:rPr>
        <w:t>202</w:t>
      </w:r>
      <w:r w:rsidR="00DC2249" w:rsidRPr="006434F9">
        <w:rPr>
          <w:sz w:val="28"/>
          <w:szCs w:val="28"/>
        </w:rPr>
        <w:t>1</w:t>
      </w:r>
    </w:p>
    <w:p w14:paraId="5E5FC1AB" w14:textId="41908970" w:rsidR="00E30ADF" w:rsidRDefault="00A45269" w:rsidP="00A45269">
      <w:pPr>
        <w:spacing w:line="259" w:lineRule="auto"/>
        <w:rPr>
          <w:sz w:val="28"/>
          <w:szCs w:val="28"/>
        </w:rPr>
      </w:pPr>
      <w:r w:rsidRPr="006434F9">
        <w:rPr>
          <w:sz w:val="28"/>
          <w:szCs w:val="28"/>
        </w:rPr>
        <w:br w:type="page"/>
      </w:r>
    </w:p>
    <w:p w14:paraId="60F5723D" w14:textId="77777777" w:rsidR="00C869EB" w:rsidRPr="006434F9" w:rsidRDefault="00C869EB" w:rsidP="00A45269">
      <w:pPr>
        <w:spacing w:line="259" w:lineRule="auto"/>
        <w:rPr>
          <w:sz w:val="28"/>
          <w:szCs w:val="28"/>
        </w:rPr>
      </w:pPr>
    </w:p>
    <w:bookmarkStart w:id="2" w:name="_Toc64557883" w:displacedByCustomXml="next"/>
    <w:sdt>
      <w:sdtPr>
        <w:rPr>
          <w:rFonts w:eastAsiaTheme="minorHAnsi" w:cstheme="minorBidi"/>
          <w:color w:val="auto"/>
          <w:sz w:val="22"/>
          <w:szCs w:val="22"/>
          <w:lang w:val="en-US"/>
        </w:rPr>
        <w:id w:val="1813525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  <w:lang w:val="hy-AM"/>
        </w:rPr>
      </w:sdtEndPr>
      <w:sdtContent>
        <w:p w14:paraId="3B85E68C" w14:textId="1FD77744" w:rsidR="008F5570" w:rsidRPr="006434F9" w:rsidRDefault="004F4B2C" w:rsidP="00596DD0">
          <w:pPr>
            <w:pStyle w:val="Heading1"/>
            <w:spacing w:before="0" w:after="120"/>
            <w:rPr>
              <w:b/>
              <w:bCs/>
              <w:color w:val="002060"/>
            </w:rPr>
          </w:pPr>
          <w:r w:rsidRPr="006434F9">
            <w:rPr>
              <w:b/>
              <w:bCs/>
              <w:color w:val="002060"/>
            </w:rPr>
            <w:t>ԲՈՎԱՆԴԱԿՈՒԹՅՈՒՆ</w:t>
          </w:r>
          <w:bookmarkEnd w:id="2"/>
        </w:p>
        <w:p w14:paraId="273ADB99" w14:textId="4C889248" w:rsidR="001F7D15" w:rsidRPr="006434F9" w:rsidRDefault="008F5570">
          <w:pPr>
            <w:pStyle w:val="TOC1"/>
            <w:tabs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r w:rsidRPr="006434F9">
            <w:fldChar w:fldCharType="begin"/>
          </w:r>
          <w:r w:rsidRPr="006434F9">
            <w:instrText xml:space="preserve"> TOC \o "1-3" \h \z \u </w:instrText>
          </w:r>
          <w:r w:rsidRPr="006434F9">
            <w:fldChar w:fldCharType="separate"/>
          </w:r>
          <w:hyperlink w:anchor="_Toc64557883" w:history="1">
            <w:r w:rsidR="001F7D15" w:rsidRPr="006434F9">
              <w:rPr>
                <w:rStyle w:val="Hyperlink"/>
                <w:b/>
                <w:bCs/>
                <w:noProof/>
              </w:rPr>
              <w:t>ԲՈՎԱՆԴԱԿՈՒԹՅՈՒՆ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_Toc64557883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18074245" w14:textId="002BDCD3" w:rsidR="001F7D15" w:rsidRPr="006434F9" w:rsidRDefault="00CE5E1A">
          <w:pPr>
            <w:pStyle w:val="TOC2"/>
            <w:tabs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84" w:history="1">
            <w:r w:rsidR="001F7D15" w:rsidRPr="006434F9">
              <w:rPr>
                <w:rStyle w:val="Hyperlink"/>
                <w:noProof/>
              </w:rPr>
              <w:t>ՀԱՊԱՎՈՒՄՆԵՐԻ ՑԱՆԿ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_Toc64557884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6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698601B1" w14:textId="34927C6A" w:rsidR="001F7D15" w:rsidRPr="006434F9" w:rsidRDefault="00CE5E1A">
          <w:pPr>
            <w:pStyle w:val="TOC2"/>
            <w:tabs>
              <w:tab w:val="left" w:pos="66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85" w:history="1">
            <w:r w:rsidR="001F7D15" w:rsidRPr="006434F9">
              <w:rPr>
                <w:rStyle w:val="Hyperlink"/>
                <w:noProof/>
              </w:rPr>
              <w:t>I.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noProof/>
              </w:rPr>
              <w:t>ԱՄՓՈՓԱԳԻՐ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_Toc64557885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6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54FBDF15" w14:textId="28A8B404" w:rsidR="001F7D15" w:rsidRPr="006434F9" w:rsidRDefault="00CE5E1A">
          <w:pPr>
            <w:pStyle w:val="TOC2"/>
            <w:tabs>
              <w:tab w:val="left" w:pos="88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86" w:history="1">
            <w:r w:rsidR="001F7D15" w:rsidRPr="006434F9">
              <w:rPr>
                <w:rStyle w:val="Hyperlink"/>
                <w:noProof/>
              </w:rPr>
              <w:t>II.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noProof/>
              </w:rPr>
              <w:t>ՀԱՇՎԵՔՆՆՈՒԹՅԱՆ ՀԻՄՆԱԿԱՆ ԱՐԴՅՈՒՆՔՆԵՐԸ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_Toc64557886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6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5DAA052A" w14:textId="2F7DD6ED" w:rsidR="001F7D15" w:rsidRPr="006434F9" w:rsidRDefault="00CE5E1A">
          <w:pPr>
            <w:pStyle w:val="TOC2"/>
            <w:tabs>
              <w:tab w:val="left" w:pos="88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87" w:history="1">
            <w:r w:rsidR="001F7D15" w:rsidRPr="006434F9">
              <w:rPr>
                <w:rStyle w:val="Hyperlink"/>
                <w:noProof/>
              </w:rPr>
              <w:t>III.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noProof/>
              </w:rPr>
              <w:t>ՀԱՇՎԵՔՆՆՈՒԹՅԱՆ ՕԲՅԵԿՏԻ ՖԻՆԱՆՍԱԿԱՆ ՑՈՒՑԱՆԻՇՆԵՐԸ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_Toc64557887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7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5E95029C" w14:textId="00C3C13F" w:rsidR="001F7D15" w:rsidRPr="006434F9" w:rsidRDefault="00CE5E1A">
          <w:pPr>
            <w:pStyle w:val="TOC2"/>
            <w:tabs>
              <w:tab w:val="left" w:pos="88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88" w:history="1">
            <w:r w:rsidR="001F7D15" w:rsidRPr="006434F9">
              <w:rPr>
                <w:rStyle w:val="Hyperlink"/>
                <w:rFonts w:eastAsia="Times New Roman" w:cs="Sylfaen"/>
                <w:b/>
                <w:bCs/>
                <w:noProof/>
              </w:rPr>
              <w:t>IV.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 w:cs="Sylfaen"/>
                <w:b/>
                <w:bCs/>
                <w:noProof/>
              </w:rPr>
              <w:t>ՊԵԿ ԿՈՂՄԻՑ ՎԵՐԱՀՍԿՎՈՂ ԵԿԱՄՈՒՏՆԵՐ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_Toc64557888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10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1591F929" w14:textId="5BC40667" w:rsidR="001F7D15" w:rsidRPr="006434F9" w:rsidRDefault="00CE5E1A">
          <w:pPr>
            <w:pStyle w:val="TOC2"/>
            <w:tabs>
              <w:tab w:val="left" w:pos="88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89" w:history="1">
            <w:r w:rsidR="001F7D15" w:rsidRPr="006434F9">
              <w:rPr>
                <w:rStyle w:val="Hyperlink"/>
                <w:noProof/>
              </w:rPr>
              <w:t>V.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noProof/>
              </w:rPr>
              <w:t>2020 ԹՎԱԿԱՆԻ ԻՆՆ ԱՄԻՍՆԵՐԻ ԸՆԹԱՑՔՈԻՄ ՊԵԿ ԿՈՂՄԻՑ ԻՐԱԿԱՆԱՑՎՈՂ ՀՀ ՊԵՏԱԿԱՆ ԲՅՈՒՋԵԻ ԵԼՔԱՅԻՆ ԾՐԱԳՐԵՐԻ ԵՎ ՄԻՋՈՑԱՌՈՒՄՆԵՐԻ ԳԾՈՎ ԾԱԽՍԵՐԻ ՎԵՐԱԲԵՐՅԱԼ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_Toc64557889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15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1C104F3F" w14:textId="68501C36" w:rsidR="001F7D15" w:rsidRPr="006434F9" w:rsidRDefault="00CE5E1A">
          <w:pPr>
            <w:pStyle w:val="TOC3"/>
            <w:tabs>
              <w:tab w:val="left" w:pos="88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0" w:history="1">
            <w:r w:rsidR="001F7D15" w:rsidRPr="006434F9">
              <w:rPr>
                <w:rStyle w:val="Hyperlink"/>
                <w:rFonts w:eastAsia="Times New Roman"/>
                <w:noProof/>
              </w:rPr>
              <w:t>1.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Հ</w:t>
            </w:r>
            <w:r w:rsidR="001F7D15" w:rsidRPr="006434F9">
              <w:rPr>
                <w:rStyle w:val="Hyperlink"/>
                <w:rFonts w:eastAsia="Times New Roman"/>
                <w:noProof/>
                <w:lang w:val="en-US"/>
              </w:rPr>
              <w:t>ԱՐԿԱՅԻՆ ԵՎ ՄԱՔՍԱՅԻՆ ԾԱՌԱՅՈՒԹՅՈՒՆՆԵՐ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_Toc64557890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15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38BCE3F4" w14:textId="02E89FEE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1" w:history="1">
            <w:r w:rsidR="001F7D15" w:rsidRPr="006434F9">
              <w:rPr>
                <w:rStyle w:val="Hyperlink"/>
                <w:rFonts w:eastAsia="Times New Roman"/>
                <w:noProof/>
              </w:rPr>
              <w:t>2.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ԱԿՑԻԶԱՅԻՆ ԴՐՈՇՄԱՆԻՇՆԵՐԻ ԵՎ ԴՐՈՇՄԱՊԻՏԱԿՆԵՐԻ ՁԵՌՔԲԵՐՈՒՄ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_Toc64557891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16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4181C6BB" w14:textId="51562053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2" w:history="1">
            <w:r w:rsidR="001F7D15" w:rsidRPr="006434F9">
              <w:rPr>
                <w:rStyle w:val="Hyperlink"/>
                <w:rFonts w:eastAsia="Times New Roman"/>
                <w:noProof/>
              </w:rPr>
              <w:t>3.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ՀՀ ՊԵՏԱԿԱՆ ԵԿԱՄՈՒՏՆԵՐԻ ԿՈՄԻՏԵԻ ՏԵԽՆԻԿԱԿԱՆ ՀԱԳԵՑՎԱԾՈՒԹՅԱՆ ԲԱՐԵԼԱՎՈՒՄ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_Toc64557892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17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2AB1CB87" w14:textId="095485F9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3" w:history="1">
            <w:r w:rsidR="001F7D15" w:rsidRPr="006434F9">
              <w:rPr>
                <w:rStyle w:val="Hyperlink"/>
                <w:rFonts w:eastAsia="Times New Roman"/>
                <w:noProof/>
              </w:rPr>
              <w:t>4.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ՀՀ ՊԵՏԱԿԱՆ ԵԿԱՄՈՒՏՆԵՐԻ ԿՈՄԻՏԵԻ ՇԵՆՔԱՅԻՆ ԱՊԱՀՈՎՎԱԾՈՒԹՅԱՆ ԲԱՐԵԼԱՎՈՒՄ ԵՎ ՀՀ ՊԵՏԱԿԱՆ ԵԿԱՄՈՒՏՆԵՐԻ ԿՈՄԻՏԵԻ ՇԵՆՔԱՅԻՆ ՊԱՅՄԱՆՆԵՐԻ ԲԱՐԵԼԱՎՈՒՄ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_Toc64557893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17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01D9BA7C" w14:textId="5B0B0123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4" w:history="1">
            <w:r w:rsidR="001F7D15" w:rsidRPr="006434F9">
              <w:rPr>
                <w:rStyle w:val="Hyperlink"/>
                <w:rFonts w:eastAsia="Times New Roman"/>
                <w:noProof/>
              </w:rPr>
              <w:t>5.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ՓՈՐՁԱՔՆՆՈՒԹՅՈՒՆՆԵՐԻ ԾԱՌԱՅՈՒԹՅՈՒՆՆԵՐ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_Toc64557894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18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18D3E29E" w14:textId="7B52127F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5" w:history="1">
            <w:r w:rsidR="001F7D15" w:rsidRPr="006434F9">
              <w:rPr>
                <w:rStyle w:val="Hyperlink"/>
                <w:rFonts w:eastAsia="Times New Roman"/>
                <w:noProof/>
              </w:rPr>
              <w:t>6.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ՀԱՐԿԱՅԻՆ ԵՎ ՄԱՔՍԱՅԻՆ ԾԱՌԱՅՈՂՆԵՐԻ ՎԵՐԱՊԱՏՐԱՍՏՈՒՄ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_Toc64557895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18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13A98A64" w14:textId="0D06439E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6" w:history="1">
            <w:r w:rsidR="001F7D15" w:rsidRPr="006434F9">
              <w:rPr>
                <w:rStyle w:val="Hyperlink"/>
                <w:rFonts w:eastAsia="Times New Roman"/>
                <w:noProof/>
              </w:rPr>
              <w:t>7.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ՊԱՐՏԱԴԻՐ ՎՃԱՐՆԵՐ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_Toc64557896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18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6A2ED147" w14:textId="35CA29BE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7" w:history="1">
            <w:r w:rsidR="001F7D15" w:rsidRPr="006434F9">
              <w:rPr>
                <w:rStyle w:val="Hyperlink"/>
                <w:rFonts w:eastAsia="Times New Roman"/>
                <w:noProof/>
              </w:rPr>
              <w:t>8.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ՀՀ ՊԵՏԱԿԱՆ ԵԿԱՄՈՒՏՆԵՐԻ ԿՈՄԻՏԵԻ ՇԵՆՔԱՅԻՆ ՊԱՅՄԱՆՆԵՐՈՎ ԱՊԱՀՈՎՈՒՄ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_Toc64557897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19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211F7E6A" w14:textId="2F1102D0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8" w:history="1">
            <w:r w:rsidR="001F7D15" w:rsidRPr="006434F9">
              <w:rPr>
                <w:rStyle w:val="Hyperlink"/>
                <w:rFonts w:eastAsia="Times New Roman"/>
                <w:noProof/>
              </w:rPr>
              <w:t>9.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ՍՈՑԻԱԼԱԿԱՆ ՓԱԹԵԹՆԵՐԻ ԱՊԱՀՈՎՈՒՄ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_Toc64557898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19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50417861" w14:textId="7F31B7B0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899" w:history="1">
            <w:r w:rsidR="001F7D15" w:rsidRPr="006434F9">
              <w:rPr>
                <w:rStyle w:val="Hyperlink"/>
                <w:rFonts w:eastAsia="Times New Roman"/>
                <w:noProof/>
              </w:rPr>
              <w:t>10.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ԴՐՈՇՄԱՆԻՇԱՅԻՆ ՎՃԱՐՆԵՐ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_Toc64557899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19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7AB41333" w14:textId="6AE66FDB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0" w:history="1">
            <w:r w:rsidR="001F7D15" w:rsidRPr="006434F9">
              <w:rPr>
                <w:rStyle w:val="Hyperlink"/>
                <w:rFonts w:eastAsia="Times New Roman"/>
                <w:noProof/>
              </w:rPr>
              <w:t>11.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ԿՈՒՏԱԿԱՅԻՆ ՀԱՏԿԱՑՈՒՄՆԵՐ ՄԱՍՆԱԿՑԻ ԿԵՆՍԱԹՈՇԱԿԱՅԻՆ ՀԱՇՎԻՆ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_Toc64557900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20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6951964B" w14:textId="258A57A0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1" w:history="1">
            <w:r w:rsidR="001F7D15" w:rsidRPr="006434F9">
              <w:rPr>
                <w:rStyle w:val="Hyperlink"/>
                <w:rFonts w:eastAsia="Times New Roman"/>
                <w:noProof/>
              </w:rPr>
              <w:t>12.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ԿՈՐՈՆԱՎԻՐՈՒՍԻ ՏՆՏԵՍԱԿԱՆ ՀԵՏԵՎԱՆՔՆԵՐԻ ՉԵԶՈՔԱՑՄԱՆ 5-ՐԴ ԵՎ 10-ՐԴ ՄԻՋՈՑԱՌՄԱՆ ՇՐՋԱՆԱԿՆԵՐՈՒՄ ԱՋԱԿՑՈՒԹՅԱՆ ՏՐԱՄԱԴՐՈՒՄ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_Toc64557901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20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79FFA45E" w14:textId="6E79A80E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2" w:history="1">
            <w:r w:rsidR="001F7D15" w:rsidRPr="006434F9">
              <w:rPr>
                <w:rStyle w:val="Hyperlink"/>
                <w:rFonts w:eastAsia="Times New Roman"/>
                <w:noProof/>
              </w:rPr>
              <w:t>13.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ԿՈՐՈՆԱՎԻՐՈՒՍԻ ՏՆՏԵՍԱԿԱՆ ՀԵՏԵՎԱՆՔՆԵՐԻ ՉԵԶՈՔԱՑՄԱՆ 18-ՐԴ ՄԻՋՈՑԱՌՄԱՆ ՇՐՋԱՆԱԿՆԵՐՈՒՄ ԱՋԱԿՑՈՒԹՅԱՆ ՏՐԱՄԱԴՐՈՒՄ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_Toc64557902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20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5F51A448" w14:textId="10366F55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3" w:history="1">
            <w:r w:rsidR="001F7D15" w:rsidRPr="006434F9">
              <w:rPr>
                <w:rStyle w:val="Hyperlink"/>
                <w:rFonts w:eastAsia="Times New Roman"/>
                <w:noProof/>
              </w:rPr>
              <w:t>14.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ԿՈՐՈՆԱՎԻՐՈՒՍԻ ՏՆՏԵՍԱԿԱՆ ՀԵՏԵՎԱՆՔՆԵՐԻ ՉԵԶՈՔԱՑՄԱՆ 21-ՐԴ ՄԻՋՈՑԱՌՄԱՆ ՇՐՋԱՆԱԿՆԵՐՈՒՄ ԱՋԱԿՑՈՒԹՅԱՆ ՏՐԱՄԱԴՐՈՒՄ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_Toc64557903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21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5A183AFE" w14:textId="73D9808D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4" w:history="1">
            <w:r w:rsidR="001F7D15" w:rsidRPr="006434F9">
              <w:rPr>
                <w:rStyle w:val="Hyperlink"/>
                <w:rFonts w:eastAsia="Times New Roman"/>
                <w:noProof/>
              </w:rPr>
              <w:t>15.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ԿՈՐՈՆԱՎԻՐՈՒՍԻ ՏՆՏԵՍԱԿԱՆ ՀԵՏԵՎԱՆՔՆԵՐԻ ՉԵԶՈՔԱՑՄԱՆ 10-ՐԴ ՄԻՋՈՑԱՌՄԱՆ ՇՐՋԱՆԱԿՆԵՐՈՒՄ ԱՋԱԿՑՈՒԹՅԱՆ ՏՐԱՄԱԴՐՈՒՄ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_Toc64557904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21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6E9BFE22" w14:textId="0C8FB3BC" w:rsidR="001F7D15" w:rsidRPr="006434F9" w:rsidRDefault="00CE5E1A">
          <w:pPr>
            <w:pStyle w:val="TOC3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5" w:history="1">
            <w:r w:rsidR="001F7D15" w:rsidRPr="006434F9">
              <w:rPr>
                <w:rStyle w:val="Hyperlink"/>
                <w:rFonts w:eastAsia="Times New Roman"/>
                <w:noProof/>
              </w:rPr>
              <w:t>16.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rFonts w:eastAsia="Times New Roman"/>
                <w:noProof/>
              </w:rPr>
              <w:t>ԿՈՐՈՆԱՎԻՐՈՒՍԻ ՏՆՏԵՍԱԿԱՆ ՀԵՏԵՎԱՆՔՆԵՐԻ ՉԵԶՈՔԱՑՄԱՆ 23-ՐԴ ՄԻՋՈՑԱՌՄԱՆ ՇՐՋԱՆԱԿՆԵՐՈՒՄ ԱՋԱԿՑՈՒԹՅԱՆ ՏՐԱՄԱԴՐՈՒՄ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_Toc64557905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22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717152B6" w14:textId="0D797030" w:rsidR="001F7D15" w:rsidRPr="006434F9" w:rsidRDefault="00CE5E1A">
          <w:pPr>
            <w:pStyle w:val="TOC2"/>
            <w:tabs>
              <w:tab w:val="left" w:pos="88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6" w:history="1">
            <w:r w:rsidR="001F7D15" w:rsidRPr="006434F9">
              <w:rPr>
                <w:rStyle w:val="Hyperlink"/>
                <w:noProof/>
              </w:rPr>
              <w:t>VI.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noProof/>
              </w:rPr>
              <w:t>ԱՆՀԱՄԱՊԱՏԱՍԽԱՆՈՒԹՅՈՒՆՆԵՐԻ ՎԵՐԱԲԵՐՅԱԼ ԳՐԱՌՈՒՄՆԵՐ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_Toc64557906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23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237F13C5" w14:textId="328C9832" w:rsidR="001F7D15" w:rsidRPr="006434F9" w:rsidRDefault="00CE5E1A">
          <w:pPr>
            <w:pStyle w:val="TOC2"/>
            <w:tabs>
              <w:tab w:val="left" w:pos="88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7" w:history="1">
            <w:r w:rsidR="001F7D15" w:rsidRPr="006434F9">
              <w:rPr>
                <w:rStyle w:val="Hyperlink"/>
                <w:noProof/>
              </w:rPr>
              <w:t>VII.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noProof/>
              </w:rPr>
              <w:t>ԽԵՂԱԹՅՈՒՐՈՒՄՆԵՐԻ ՎԵՐԱԲԵՐՅԱԼ ԳՐԱՌՈՒՄՆԵՐ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_Toc64557907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23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5D262596" w14:textId="5ADD0AE1" w:rsidR="001F7D15" w:rsidRPr="006434F9" w:rsidRDefault="00CE5E1A">
          <w:pPr>
            <w:pStyle w:val="TOC2"/>
            <w:tabs>
              <w:tab w:val="left" w:pos="1100"/>
              <w:tab w:val="right" w:leader="dot" w:pos="970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64557908" w:history="1">
            <w:r w:rsidR="001F7D15" w:rsidRPr="006434F9">
              <w:rPr>
                <w:rStyle w:val="Hyperlink"/>
                <w:noProof/>
              </w:rPr>
              <w:t>VIII.</w:t>
            </w:r>
            <w:r w:rsidR="001F7D15" w:rsidRPr="006434F9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1F7D15" w:rsidRPr="006434F9">
              <w:rPr>
                <w:rStyle w:val="Hyperlink"/>
                <w:noProof/>
              </w:rPr>
              <w:t>ՀԵՏՀՍԿՈՂԱԿԱՆ ԳՈՐԾԸՆԹԱՑ</w:t>
            </w:r>
            <w:r w:rsidR="001F7D15" w:rsidRPr="006434F9">
              <w:rPr>
                <w:noProof/>
                <w:webHidden/>
              </w:rPr>
              <w:tab/>
            </w:r>
            <w:r w:rsidR="001F7D15" w:rsidRPr="006434F9">
              <w:rPr>
                <w:noProof/>
                <w:webHidden/>
              </w:rPr>
              <w:fldChar w:fldCharType="begin"/>
            </w:r>
            <w:r w:rsidR="001F7D15" w:rsidRPr="006434F9">
              <w:rPr>
                <w:noProof/>
                <w:webHidden/>
              </w:rPr>
              <w:instrText xml:space="preserve"> PAGEREF _Toc64557908 \h </w:instrText>
            </w:r>
            <w:r w:rsidR="001F7D15" w:rsidRPr="006434F9">
              <w:rPr>
                <w:noProof/>
                <w:webHidden/>
              </w:rPr>
            </w:r>
            <w:r w:rsidR="001F7D15" w:rsidRPr="006434F9">
              <w:rPr>
                <w:noProof/>
                <w:webHidden/>
              </w:rPr>
              <w:fldChar w:fldCharType="separate"/>
            </w:r>
            <w:r w:rsidR="00007822">
              <w:rPr>
                <w:noProof/>
                <w:webHidden/>
              </w:rPr>
              <w:t>23</w:t>
            </w:r>
            <w:r w:rsidR="001F7D15" w:rsidRPr="006434F9">
              <w:rPr>
                <w:noProof/>
                <w:webHidden/>
              </w:rPr>
              <w:fldChar w:fldCharType="end"/>
            </w:r>
          </w:hyperlink>
        </w:p>
        <w:p w14:paraId="1AEA5690" w14:textId="1B7CCE1A" w:rsidR="008F5570" w:rsidRPr="006434F9" w:rsidRDefault="008F5570" w:rsidP="00596DD0">
          <w:pPr>
            <w:spacing w:after="120"/>
          </w:pPr>
          <w:r w:rsidRPr="006434F9">
            <w:rPr>
              <w:noProof/>
            </w:rPr>
            <w:fldChar w:fldCharType="end"/>
          </w:r>
        </w:p>
      </w:sdtContent>
    </w:sdt>
    <w:p w14:paraId="56B68C6C" w14:textId="22FB882A" w:rsidR="000069C5" w:rsidRPr="006434F9" w:rsidRDefault="0090379D" w:rsidP="0090379D">
      <w:pPr>
        <w:spacing w:line="259" w:lineRule="auto"/>
      </w:pPr>
      <w:r w:rsidRPr="006434F9">
        <w:br w:type="page"/>
      </w:r>
    </w:p>
    <w:tbl>
      <w:tblPr>
        <w:tblpPr w:leftFromText="180" w:rightFromText="180" w:vertAnchor="text" w:horzAnchor="margin" w:tblpXSpec="center" w:tblpY="76"/>
        <w:tblW w:w="9432" w:type="dxa"/>
        <w:tblLook w:val="04A0" w:firstRow="1" w:lastRow="0" w:firstColumn="1" w:lastColumn="0" w:noHBand="0" w:noVBand="1"/>
      </w:tblPr>
      <w:tblGrid>
        <w:gridCol w:w="2718"/>
        <w:gridCol w:w="6714"/>
      </w:tblGrid>
      <w:tr w:rsidR="00B03737" w:rsidRPr="006434F9" w14:paraId="29479BAA" w14:textId="77777777" w:rsidTr="009675CA">
        <w:tc>
          <w:tcPr>
            <w:tcW w:w="2718" w:type="dxa"/>
          </w:tcPr>
          <w:p w14:paraId="09DB0374" w14:textId="77777777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lastRenderedPageBreak/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հիմքը</w:t>
            </w:r>
            <w:proofErr w:type="spellEnd"/>
          </w:p>
          <w:p w14:paraId="32202127" w14:textId="77777777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</w:p>
        </w:tc>
        <w:tc>
          <w:tcPr>
            <w:tcW w:w="6714" w:type="dxa"/>
          </w:tcPr>
          <w:p w14:paraId="69D4F1A8" w14:textId="7E12AF08" w:rsidR="00B03737" w:rsidRPr="006434F9" w:rsidRDefault="00B03737" w:rsidP="00596DD0">
            <w:pPr>
              <w:spacing w:after="120"/>
              <w:jc w:val="both"/>
            </w:pPr>
            <w:r w:rsidRPr="006434F9">
              <w:t>ՀՀ հաշվեքննիչ պալատի 202</w:t>
            </w:r>
            <w:r w:rsidR="00BC0F95" w:rsidRPr="006434F9">
              <w:t>0</w:t>
            </w:r>
            <w:r w:rsidRPr="006434F9">
              <w:t xml:space="preserve"> թվականի </w:t>
            </w:r>
            <w:r w:rsidR="00894413" w:rsidRPr="006434F9">
              <w:t>նոյեմբերի</w:t>
            </w:r>
            <w:r w:rsidR="002E06BB" w:rsidRPr="006434F9">
              <w:t xml:space="preserve"> </w:t>
            </w:r>
            <w:r w:rsidR="00894413" w:rsidRPr="006434F9">
              <w:t>20</w:t>
            </w:r>
            <w:r w:rsidRPr="006434F9">
              <w:t xml:space="preserve">-ի թիվ </w:t>
            </w:r>
            <w:r w:rsidR="002E06BB" w:rsidRPr="006434F9">
              <w:t>1</w:t>
            </w:r>
            <w:r w:rsidR="00894413" w:rsidRPr="006434F9">
              <w:t>80</w:t>
            </w:r>
            <w:r w:rsidRPr="006434F9">
              <w:t>/</w:t>
            </w:r>
            <w:r w:rsidR="00FF3F7D" w:rsidRPr="006434F9">
              <w:t>Ա</w:t>
            </w:r>
            <w:r w:rsidRPr="006434F9">
              <w:t xml:space="preserve"> որոշում։</w:t>
            </w:r>
          </w:p>
        </w:tc>
      </w:tr>
      <w:tr w:rsidR="00B03737" w:rsidRPr="006434F9" w14:paraId="2F54CCBA" w14:textId="77777777" w:rsidTr="009675CA">
        <w:tc>
          <w:tcPr>
            <w:tcW w:w="2718" w:type="dxa"/>
          </w:tcPr>
          <w:p w14:paraId="7434B564" w14:textId="77777777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օբյեկտը</w:t>
            </w:r>
            <w:proofErr w:type="spellEnd"/>
          </w:p>
          <w:p w14:paraId="122F4E99" w14:textId="3C0A5A3D" w:rsidR="005B1A7A" w:rsidRPr="006434F9" w:rsidRDefault="005B1A7A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</w:p>
        </w:tc>
        <w:tc>
          <w:tcPr>
            <w:tcW w:w="6714" w:type="dxa"/>
          </w:tcPr>
          <w:p w14:paraId="24FA3F22" w14:textId="32C14895" w:rsidR="005B1A7A" w:rsidRPr="006434F9" w:rsidRDefault="00B03737" w:rsidP="00596DD0">
            <w:pPr>
              <w:spacing w:after="120"/>
              <w:jc w:val="both"/>
            </w:pPr>
            <w:r w:rsidRPr="006434F9">
              <w:t xml:space="preserve">ՀՀ </w:t>
            </w:r>
            <w:r w:rsidR="00672B70" w:rsidRPr="006434F9">
              <w:t>պետական եկամուտների կոմիտե</w:t>
            </w:r>
            <w:r w:rsidRPr="006434F9">
              <w:t>։</w:t>
            </w:r>
          </w:p>
        </w:tc>
      </w:tr>
      <w:tr w:rsidR="00B03737" w:rsidRPr="006434F9" w14:paraId="5EA2A6CF" w14:textId="77777777" w:rsidTr="009675CA">
        <w:tc>
          <w:tcPr>
            <w:tcW w:w="2718" w:type="dxa"/>
          </w:tcPr>
          <w:p w14:paraId="784F5FB3" w14:textId="6BF1650B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առարկան</w:t>
            </w:r>
            <w:proofErr w:type="spellEnd"/>
          </w:p>
        </w:tc>
        <w:tc>
          <w:tcPr>
            <w:tcW w:w="6714" w:type="dxa"/>
          </w:tcPr>
          <w:p w14:paraId="4230F9F1" w14:textId="0B5D45B4" w:rsidR="00B03737" w:rsidRPr="006434F9" w:rsidRDefault="008A716A" w:rsidP="00596DD0">
            <w:pPr>
              <w:spacing w:after="120"/>
              <w:jc w:val="both"/>
            </w:pPr>
            <w:r w:rsidRPr="006434F9">
              <w:t xml:space="preserve">ՀՀ պետական եկամուտների կոմիտեում 2020 թվականի պետական բյուջեի </w:t>
            </w:r>
            <w:r w:rsidR="008D0862" w:rsidRPr="006434F9">
              <w:t>ինն</w:t>
            </w:r>
            <w:r w:rsidRPr="006434F9">
              <w:t xml:space="preserve"> ամիսների մուտքերի ձ</w:t>
            </w:r>
            <w:r w:rsidR="00927387" w:rsidRPr="006434F9">
              <w:t>և</w:t>
            </w:r>
            <w:r w:rsidRPr="006434F9">
              <w:t xml:space="preserve">ավորման </w:t>
            </w:r>
            <w:r w:rsidR="00927387" w:rsidRPr="006434F9">
              <w:t>և</w:t>
            </w:r>
            <w:r w:rsidRPr="006434F9">
              <w:t xml:space="preserve"> ելքերի իրականացման կանոնակարգված</w:t>
            </w:r>
            <w:r w:rsidR="00927387" w:rsidRPr="006434F9">
              <w:t xml:space="preserve"> </w:t>
            </w:r>
            <w:r w:rsidRPr="006434F9">
              <w:t>գործունեություն։</w:t>
            </w:r>
          </w:p>
          <w:p w14:paraId="4FFE0214" w14:textId="4CF08527" w:rsidR="005B1A7A" w:rsidRPr="006434F9" w:rsidRDefault="005B1A7A" w:rsidP="00596DD0">
            <w:pPr>
              <w:spacing w:after="120"/>
              <w:jc w:val="both"/>
            </w:pPr>
          </w:p>
        </w:tc>
      </w:tr>
      <w:tr w:rsidR="00B03737" w:rsidRPr="006434F9" w14:paraId="164EB566" w14:textId="77777777" w:rsidTr="009675CA">
        <w:tc>
          <w:tcPr>
            <w:tcW w:w="2718" w:type="dxa"/>
          </w:tcPr>
          <w:p w14:paraId="3C90C551" w14:textId="26BE56AD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չափանիշները</w:t>
            </w:r>
            <w:proofErr w:type="spellEnd"/>
          </w:p>
        </w:tc>
        <w:tc>
          <w:tcPr>
            <w:tcW w:w="6714" w:type="dxa"/>
          </w:tcPr>
          <w:p w14:paraId="77F79653" w14:textId="77777777" w:rsidR="00933D49" w:rsidRPr="006434F9" w:rsidRDefault="004333F6" w:rsidP="00596DD0">
            <w:pPr>
              <w:spacing w:after="120"/>
              <w:jc w:val="both"/>
            </w:pPr>
            <w:r w:rsidRPr="006434F9">
              <w:t>«</w:t>
            </w:r>
            <w:r w:rsidR="00221BFB" w:rsidRPr="006434F9">
              <w:t>ՀՀ բ</w:t>
            </w:r>
            <w:r w:rsidRPr="006434F9">
              <w:t xml:space="preserve">յուջետային </w:t>
            </w:r>
            <w:r w:rsidR="0064288D" w:rsidRPr="006434F9">
              <w:t>համակարգի մասին» ՀՀ օրենք, «</w:t>
            </w:r>
            <w:r w:rsidR="00ED15AD" w:rsidRPr="006434F9">
              <w:t xml:space="preserve">ՀՀ </w:t>
            </w:r>
            <w:r w:rsidR="0064288D" w:rsidRPr="006434F9">
              <w:t xml:space="preserve">2020 թվականի պետական բյուջեի մասին» ՀՀ օրենք, </w:t>
            </w:r>
            <w:r w:rsidR="00ED15AD" w:rsidRPr="006434F9">
              <w:t>«Գանձապետական համակարգի մասին» ՀՀ օրենք</w:t>
            </w:r>
            <w:r w:rsidR="008C07D2" w:rsidRPr="006434F9">
              <w:t>,</w:t>
            </w:r>
            <w:r w:rsidR="0032687A" w:rsidRPr="006434F9">
              <w:t xml:space="preserve"> «Հանրային ծառայության մասին» ՀՀ օրենք,</w:t>
            </w:r>
            <w:r w:rsidR="008C07D2" w:rsidRPr="006434F9">
              <w:t xml:space="preserve"> </w:t>
            </w:r>
            <w:r w:rsidR="00FB1BC5" w:rsidRPr="006434F9">
              <w:t>«Հանրային հատվածի կազմակերպությունների հաշվապահական հաշվառման մասին» ՀՀ օրենք</w:t>
            </w:r>
            <w:r w:rsidR="00603F6C" w:rsidRPr="006434F9">
              <w:t xml:space="preserve">, </w:t>
            </w:r>
            <w:r w:rsidR="00220E21" w:rsidRPr="006434F9">
              <w:t xml:space="preserve">«Գնումների մասին» ՀՀ օրենք, </w:t>
            </w:r>
            <w:r w:rsidR="00BF739C" w:rsidRPr="006434F9">
              <w:t>ՀՀ կառավարության 2019 թվականի դեպտեմբերի 26-ի «ՀՀ 2020 թվականի պետական բյուջեի կատարումն ապահովող միջոցառումների մասին» N 1919 որոշում,</w:t>
            </w:r>
            <w:r w:rsidR="002432E2" w:rsidRPr="006434F9">
              <w:t xml:space="preserve"> </w:t>
            </w:r>
            <w:r w:rsidR="007E1986" w:rsidRPr="006434F9">
              <w:t>ՀՀ կառավարության</w:t>
            </w:r>
            <w:r w:rsidR="002432E2" w:rsidRPr="006434F9">
              <w:t xml:space="preserve"> 2017 թվականի մայիսի 4-ի</w:t>
            </w:r>
            <w:r w:rsidR="00B76BA7" w:rsidRPr="006434F9">
              <w:t xml:space="preserve"> </w:t>
            </w:r>
            <w:r w:rsidR="001C03A1" w:rsidRPr="006434F9">
              <w:rPr>
                <w:lang w:val="en-US"/>
              </w:rPr>
              <w:t>N</w:t>
            </w:r>
            <w:r w:rsidR="00B76BA7" w:rsidRPr="006434F9">
              <w:t xml:space="preserve"> 526-Ն </w:t>
            </w:r>
            <w:r w:rsidR="007E1986" w:rsidRPr="006434F9">
              <w:t>որոշումը</w:t>
            </w:r>
            <w:r w:rsidR="005A17E3" w:rsidRPr="006434F9">
              <w:rPr>
                <w:lang w:val="en-US"/>
              </w:rPr>
              <w:t xml:space="preserve">, </w:t>
            </w:r>
            <w:r w:rsidR="005A17E3" w:rsidRPr="006434F9">
              <w:t xml:space="preserve">ՀՀ կառավարության 2017 թվականի ապրիլի 13-ի </w:t>
            </w:r>
            <w:r w:rsidR="00777E1D" w:rsidRPr="006434F9">
              <w:rPr>
                <w:lang w:val="en-US"/>
              </w:rPr>
              <w:t xml:space="preserve">N </w:t>
            </w:r>
            <w:r w:rsidR="00777E1D" w:rsidRPr="006434F9">
              <w:t>390-Ն</w:t>
            </w:r>
            <w:r w:rsidR="00777E1D" w:rsidRPr="006434F9">
              <w:rPr>
                <w:lang w:val="en-US"/>
              </w:rPr>
              <w:t xml:space="preserve"> </w:t>
            </w:r>
            <w:r w:rsidR="00777E1D" w:rsidRPr="006434F9">
              <w:t>որոշում</w:t>
            </w:r>
            <w:r w:rsidR="00BF739C" w:rsidRPr="006434F9">
              <w:t>, «Հայաստանի Հանրապետությության հանրային հատվածի հաշվապահական հաշվառման ստանդարտ»</w:t>
            </w:r>
            <w:r w:rsidR="002432E2" w:rsidRPr="006434F9">
              <w:t xml:space="preserve"> և այլ իրավական ակտեր</w:t>
            </w:r>
            <w:r w:rsidR="00777E1D" w:rsidRPr="006434F9">
              <w:t>։</w:t>
            </w:r>
          </w:p>
          <w:p w14:paraId="145B86CA" w14:textId="51C7C5AE" w:rsidR="005B1A7A" w:rsidRPr="006434F9" w:rsidRDefault="005B1A7A" w:rsidP="00596DD0">
            <w:pPr>
              <w:spacing w:after="120"/>
              <w:jc w:val="both"/>
            </w:pPr>
          </w:p>
        </w:tc>
      </w:tr>
      <w:tr w:rsidR="00B03737" w:rsidRPr="006434F9" w14:paraId="69BCB286" w14:textId="77777777" w:rsidTr="009675CA">
        <w:tc>
          <w:tcPr>
            <w:tcW w:w="2718" w:type="dxa"/>
          </w:tcPr>
          <w:p w14:paraId="43E7BFBD" w14:textId="77777777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Հաշվեքննությունն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ընդգրկող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ժամանակաշրջանը</w:t>
            </w:r>
            <w:proofErr w:type="spellEnd"/>
          </w:p>
          <w:p w14:paraId="0F3B253D" w14:textId="28FB1880" w:rsidR="005B1A7A" w:rsidRPr="006434F9" w:rsidRDefault="005B1A7A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</w:p>
        </w:tc>
        <w:tc>
          <w:tcPr>
            <w:tcW w:w="6714" w:type="dxa"/>
          </w:tcPr>
          <w:p w14:paraId="6B1041E4" w14:textId="11ACCD68" w:rsidR="005B1A7A" w:rsidRPr="006434F9" w:rsidRDefault="00B03737" w:rsidP="00596DD0">
            <w:pPr>
              <w:spacing w:after="120"/>
              <w:jc w:val="both"/>
            </w:pPr>
            <w:r w:rsidRPr="006434F9">
              <w:t>20</w:t>
            </w:r>
            <w:r w:rsidR="00A86E96" w:rsidRPr="006434F9">
              <w:t>20</w:t>
            </w:r>
            <w:r w:rsidR="00F30806" w:rsidRPr="006434F9">
              <w:t xml:space="preserve"> </w:t>
            </w:r>
            <w:r w:rsidRPr="006434F9">
              <w:t>թ</w:t>
            </w:r>
            <w:r w:rsidR="00F30806" w:rsidRPr="006434F9">
              <w:t>վականի</w:t>
            </w:r>
            <w:r w:rsidRPr="006434F9">
              <w:t xml:space="preserve"> </w:t>
            </w:r>
            <w:r w:rsidR="00A86E96" w:rsidRPr="006434F9">
              <w:t>հու</w:t>
            </w:r>
            <w:r w:rsidR="004E498A" w:rsidRPr="006434F9">
              <w:t>նվարի</w:t>
            </w:r>
            <w:r w:rsidRPr="006434F9">
              <w:t xml:space="preserve"> </w:t>
            </w:r>
            <w:r w:rsidR="004E498A" w:rsidRPr="006434F9">
              <w:t>1</w:t>
            </w:r>
            <w:r w:rsidRPr="006434F9">
              <w:t>-ից մինչև 20</w:t>
            </w:r>
            <w:r w:rsidR="00A86E96" w:rsidRPr="006434F9">
              <w:t>20</w:t>
            </w:r>
            <w:r w:rsidR="00F30806" w:rsidRPr="006434F9">
              <w:t xml:space="preserve"> թվականի</w:t>
            </w:r>
            <w:r w:rsidR="00A86E96" w:rsidRPr="006434F9">
              <w:t xml:space="preserve"> </w:t>
            </w:r>
            <w:r w:rsidR="00676807" w:rsidRPr="006434F9">
              <w:t>սեպտեմբերի</w:t>
            </w:r>
            <w:r w:rsidRPr="006434F9">
              <w:t xml:space="preserve"> 3</w:t>
            </w:r>
            <w:r w:rsidR="002A7CAF" w:rsidRPr="006434F9">
              <w:t>0</w:t>
            </w:r>
            <w:r w:rsidRPr="006434F9">
              <w:t>-ը ներառյալ։</w:t>
            </w:r>
          </w:p>
        </w:tc>
      </w:tr>
      <w:tr w:rsidR="00B03737" w:rsidRPr="006434F9" w14:paraId="3E9D6267" w14:textId="77777777" w:rsidTr="009675CA">
        <w:trPr>
          <w:trHeight w:val="80"/>
        </w:trPr>
        <w:tc>
          <w:tcPr>
            <w:tcW w:w="2718" w:type="dxa"/>
          </w:tcPr>
          <w:p w14:paraId="7FC2CC88" w14:textId="2CB39C50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կատարման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ժամկետը</w:t>
            </w:r>
            <w:proofErr w:type="spellEnd"/>
          </w:p>
        </w:tc>
        <w:tc>
          <w:tcPr>
            <w:tcW w:w="6714" w:type="dxa"/>
          </w:tcPr>
          <w:p w14:paraId="6F2D798F" w14:textId="14760B58" w:rsidR="003E1C7A" w:rsidRPr="006434F9" w:rsidRDefault="00A60BE8" w:rsidP="00596DD0">
            <w:pPr>
              <w:spacing w:after="120"/>
              <w:jc w:val="both"/>
            </w:pPr>
            <w:r w:rsidRPr="006434F9">
              <w:t>2020</w:t>
            </w:r>
            <w:r w:rsidR="00F30806" w:rsidRPr="006434F9">
              <w:t xml:space="preserve"> </w:t>
            </w:r>
            <w:r w:rsidRPr="006434F9">
              <w:t>թ</w:t>
            </w:r>
            <w:r w:rsidR="00F30806" w:rsidRPr="006434F9">
              <w:t>վականի</w:t>
            </w:r>
            <w:r w:rsidRPr="006434F9">
              <w:t xml:space="preserve"> </w:t>
            </w:r>
            <w:r w:rsidR="00EF11C7" w:rsidRPr="006434F9">
              <w:t>նոյեմբերի</w:t>
            </w:r>
            <w:r w:rsidR="007807A1" w:rsidRPr="006434F9">
              <w:t xml:space="preserve"> </w:t>
            </w:r>
            <w:r w:rsidR="00EF11C7" w:rsidRPr="006434F9">
              <w:t>2</w:t>
            </w:r>
            <w:r w:rsidR="007807A1" w:rsidRPr="006434F9">
              <w:t>7</w:t>
            </w:r>
            <w:r w:rsidRPr="006434F9">
              <w:t>-ից մինչև 202</w:t>
            </w:r>
            <w:r w:rsidR="00EF11C7" w:rsidRPr="006434F9">
              <w:t>1</w:t>
            </w:r>
            <w:r w:rsidR="00F30806" w:rsidRPr="006434F9">
              <w:t xml:space="preserve"> </w:t>
            </w:r>
            <w:r w:rsidRPr="006434F9">
              <w:t>թ</w:t>
            </w:r>
            <w:r w:rsidR="00F30806" w:rsidRPr="006434F9">
              <w:t>վականի</w:t>
            </w:r>
            <w:r w:rsidRPr="006434F9">
              <w:t xml:space="preserve"> </w:t>
            </w:r>
            <w:r w:rsidR="00EF11C7" w:rsidRPr="006434F9">
              <w:t>հունվարի</w:t>
            </w:r>
            <w:r w:rsidR="00AA709F" w:rsidRPr="006434F9">
              <w:t xml:space="preserve"> 31</w:t>
            </w:r>
            <w:r w:rsidRPr="006434F9">
              <w:t>-ը ներառյալ</w:t>
            </w:r>
            <w:r w:rsidR="00B03737" w:rsidRPr="006434F9">
              <w:t>։</w:t>
            </w:r>
          </w:p>
        </w:tc>
      </w:tr>
      <w:tr w:rsidR="003E1C7A" w:rsidRPr="006434F9" w14:paraId="7EC1F46F" w14:textId="77777777" w:rsidTr="009675CA">
        <w:trPr>
          <w:trHeight w:val="80"/>
        </w:trPr>
        <w:tc>
          <w:tcPr>
            <w:tcW w:w="2718" w:type="dxa"/>
          </w:tcPr>
          <w:p w14:paraId="187872C8" w14:textId="765F22F8" w:rsidR="003E1C7A" w:rsidRPr="006434F9" w:rsidRDefault="003E1C7A" w:rsidP="00596DD0">
            <w:pPr>
              <w:spacing w:after="120"/>
              <w:rPr>
                <w:b/>
                <w:color w:val="002060"/>
                <w:sz w:val="22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r w:rsidRPr="006434F9">
              <w:rPr>
                <w:b/>
                <w:color w:val="002060"/>
                <w:sz w:val="22"/>
              </w:rPr>
              <w:t>կասեցում</w:t>
            </w:r>
          </w:p>
        </w:tc>
        <w:tc>
          <w:tcPr>
            <w:tcW w:w="6714" w:type="dxa"/>
          </w:tcPr>
          <w:p w14:paraId="7A1B958E" w14:textId="77777777" w:rsidR="003E1C7A" w:rsidRPr="006434F9" w:rsidRDefault="0059147D" w:rsidP="00596DD0">
            <w:pPr>
              <w:spacing w:after="120"/>
              <w:jc w:val="both"/>
            </w:pPr>
            <w:r w:rsidRPr="006434F9">
              <w:t>2020 թվականի սեպտեմբերի 30-ի թիվ 168-Ա որոշում։</w:t>
            </w:r>
          </w:p>
          <w:p w14:paraId="5FD80EF0" w14:textId="1C04AADD" w:rsidR="009675CA" w:rsidRPr="006434F9" w:rsidRDefault="009675CA" w:rsidP="00596DD0">
            <w:pPr>
              <w:spacing w:after="120"/>
              <w:jc w:val="both"/>
            </w:pPr>
          </w:p>
        </w:tc>
      </w:tr>
      <w:tr w:rsidR="003E1C7A" w:rsidRPr="006434F9" w14:paraId="59982AFA" w14:textId="77777777" w:rsidTr="009675CA">
        <w:trPr>
          <w:trHeight w:val="80"/>
        </w:trPr>
        <w:tc>
          <w:tcPr>
            <w:tcW w:w="2718" w:type="dxa"/>
          </w:tcPr>
          <w:p w14:paraId="71CB5210" w14:textId="1474CB92" w:rsidR="003E1C7A" w:rsidRPr="006434F9" w:rsidRDefault="003E1C7A" w:rsidP="00596DD0">
            <w:pPr>
              <w:spacing w:after="120"/>
              <w:rPr>
                <w:b/>
                <w:color w:val="002060"/>
                <w:sz w:val="22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r w:rsidRPr="006434F9">
              <w:rPr>
                <w:b/>
                <w:color w:val="002060"/>
                <w:sz w:val="22"/>
              </w:rPr>
              <w:t>վերսկսում</w:t>
            </w:r>
          </w:p>
        </w:tc>
        <w:tc>
          <w:tcPr>
            <w:tcW w:w="6714" w:type="dxa"/>
          </w:tcPr>
          <w:p w14:paraId="75A97581" w14:textId="77777777" w:rsidR="003E1C7A" w:rsidRPr="006434F9" w:rsidRDefault="0055396B" w:rsidP="00596DD0">
            <w:pPr>
              <w:spacing w:after="120"/>
              <w:jc w:val="both"/>
            </w:pPr>
            <w:r w:rsidRPr="006434F9">
              <w:t>2020 թվականի նոյեմբերի 20-ի թիվ 171-Ա որոշում։</w:t>
            </w:r>
          </w:p>
          <w:p w14:paraId="201826E0" w14:textId="0F456E69" w:rsidR="009675CA" w:rsidRPr="006434F9" w:rsidRDefault="009675CA" w:rsidP="00596DD0">
            <w:pPr>
              <w:spacing w:after="120"/>
              <w:jc w:val="both"/>
            </w:pPr>
          </w:p>
        </w:tc>
      </w:tr>
      <w:tr w:rsidR="00B03737" w:rsidRPr="006434F9" w14:paraId="37D7200B" w14:textId="77777777" w:rsidTr="009675CA">
        <w:tc>
          <w:tcPr>
            <w:tcW w:w="2718" w:type="dxa"/>
          </w:tcPr>
          <w:p w14:paraId="68059E6A" w14:textId="01807D10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lastRenderedPageBreak/>
              <w:t>Հաշվեքննության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մեթոդաբանությունը</w:t>
            </w:r>
            <w:proofErr w:type="spellEnd"/>
          </w:p>
        </w:tc>
        <w:tc>
          <w:tcPr>
            <w:tcW w:w="6714" w:type="dxa"/>
          </w:tcPr>
          <w:p w14:paraId="3A9B287E" w14:textId="310CB9B3" w:rsidR="00B03737" w:rsidRPr="006434F9" w:rsidRDefault="001F45B0" w:rsidP="00596DD0">
            <w:pPr>
              <w:spacing w:after="120"/>
              <w:jc w:val="both"/>
            </w:pPr>
            <w:r w:rsidRPr="006434F9">
              <w:t>Հաշվեքննությունն իրականացվել է «Հաշվեքննիչ պալատի մասին» ՀՀ օրենքի, Հաշվեքննիչ պալատի ֆինանսական և համապատասխանության հաշվեքննության մեթոդաբանությունների, «Պետական բյուջեի երեք, վեց, ինն ամիսների և տարեկան կատարման հաշվեքննության» ուղեցույցի համաձայն</w:t>
            </w:r>
            <w:r w:rsidR="00B03737" w:rsidRPr="006434F9">
              <w:t>։</w:t>
            </w:r>
          </w:p>
          <w:p w14:paraId="6D6D3766" w14:textId="77777777" w:rsidR="00B03737" w:rsidRPr="006434F9" w:rsidRDefault="00B03737" w:rsidP="00596DD0">
            <w:pPr>
              <w:spacing w:after="120"/>
              <w:jc w:val="both"/>
            </w:pPr>
          </w:p>
          <w:p w14:paraId="11F324CA" w14:textId="089A0C6F" w:rsidR="00B03737" w:rsidRPr="006434F9" w:rsidRDefault="00B03737" w:rsidP="00596DD0">
            <w:pPr>
              <w:spacing w:after="120"/>
              <w:jc w:val="both"/>
            </w:pPr>
            <w:r w:rsidRPr="006434F9">
              <w:t>Իրականացվել է ֆինանսական և համապատասխանութ</w:t>
            </w:r>
            <w:r w:rsidR="00856BDB" w:rsidRPr="006434F9">
              <w:t>-</w:t>
            </w:r>
            <w:r w:rsidRPr="006434F9">
              <w:t>յան հաշ</w:t>
            </w:r>
            <w:r w:rsidRPr="006434F9">
              <w:softHyphen/>
              <w:t xml:space="preserve">վեքննություն, որի ընթացքում կիրառվել են </w:t>
            </w:r>
            <w:r w:rsidRPr="006434F9">
              <w:rPr>
                <w:color w:val="000000"/>
                <w:shd w:val="clear" w:color="auto" w:fill="FFFFFF"/>
              </w:rPr>
              <w:t>հարցում, վերլուծական ընթացա</w:t>
            </w:r>
            <w:r w:rsidRPr="006434F9">
              <w:rPr>
                <w:color w:val="000000"/>
                <w:shd w:val="clear" w:color="auto" w:fill="FFFFFF"/>
              </w:rPr>
              <w:softHyphen/>
              <w:t>կարգ, վերահաշվարկ</w:t>
            </w:r>
            <w:r w:rsidR="00A91AF0" w:rsidRPr="006434F9">
              <w:rPr>
                <w:color w:val="000000"/>
                <w:shd w:val="clear" w:color="auto" w:fill="FFFFFF"/>
              </w:rPr>
              <w:t xml:space="preserve"> </w:t>
            </w:r>
            <w:r w:rsidRPr="006434F9">
              <w:t>ընթացակարգերը։</w:t>
            </w:r>
          </w:p>
        </w:tc>
      </w:tr>
      <w:tr w:rsidR="00B03737" w:rsidRPr="006434F9" w14:paraId="709820BC" w14:textId="77777777" w:rsidTr="009675CA">
        <w:tc>
          <w:tcPr>
            <w:tcW w:w="2718" w:type="dxa"/>
          </w:tcPr>
          <w:p w14:paraId="788826F8" w14:textId="394A73AE" w:rsidR="00B03737" w:rsidRPr="006434F9" w:rsidRDefault="00B03737" w:rsidP="00596DD0">
            <w:pPr>
              <w:spacing w:after="120"/>
              <w:rPr>
                <w:b/>
                <w:color w:val="002060"/>
                <w:sz w:val="22"/>
                <w:lang w:val="en-US"/>
              </w:rPr>
            </w:pP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Հաշվեքննությունն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իրականացրած</w:t>
            </w:r>
            <w:proofErr w:type="spellEnd"/>
            <w:r w:rsidRPr="006434F9">
              <w:rPr>
                <w:b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կառուցվածքային</w:t>
            </w:r>
            <w:proofErr w:type="spellEnd"/>
            <w:r w:rsidR="00EE3493" w:rsidRPr="006434F9">
              <w:rPr>
                <w:b/>
                <w:color w:val="002060"/>
                <w:sz w:val="22"/>
              </w:rPr>
              <w:t xml:space="preserve"> </w:t>
            </w:r>
            <w:proofErr w:type="spellStart"/>
            <w:r w:rsidRPr="006434F9">
              <w:rPr>
                <w:b/>
                <w:color w:val="002060"/>
                <w:sz w:val="22"/>
                <w:lang w:val="en-US"/>
              </w:rPr>
              <w:t>ստորաբաժանում</w:t>
            </w:r>
            <w:proofErr w:type="spellEnd"/>
          </w:p>
        </w:tc>
        <w:tc>
          <w:tcPr>
            <w:tcW w:w="6714" w:type="dxa"/>
          </w:tcPr>
          <w:p w14:paraId="7B18DDC2" w14:textId="77777777" w:rsidR="00DA443C" w:rsidRPr="006434F9" w:rsidRDefault="00B03737" w:rsidP="00596DD0">
            <w:pPr>
              <w:spacing w:after="120"/>
              <w:jc w:val="both"/>
            </w:pPr>
            <w:r w:rsidRPr="006434F9">
              <w:t xml:space="preserve">Հաշվեքննությունն իրականացվել է ՀՀ հաշվեքննիչ պալատի </w:t>
            </w:r>
            <w:r w:rsidR="00A40792" w:rsidRPr="006434F9">
              <w:t>ութերորդ</w:t>
            </w:r>
            <w:r w:rsidRPr="006434F9">
              <w:t xml:space="preserve"> վարչության կողմից, որի աշխատանքները համակար</w:t>
            </w:r>
            <w:r w:rsidRPr="006434F9">
              <w:softHyphen/>
              <w:t xml:space="preserve">գում է ՀՀ հաշվեքննիչ պալատի անդամ </w:t>
            </w:r>
            <w:r w:rsidR="00A40792" w:rsidRPr="006434F9">
              <w:t>Արմեն Գևորգյան</w:t>
            </w:r>
            <w:r w:rsidRPr="006434F9">
              <w:t>ը։</w:t>
            </w:r>
          </w:p>
          <w:p w14:paraId="1A4BFF91" w14:textId="78449BC5" w:rsidR="005B1A7A" w:rsidRPr="006434F9" w:rsidRDefault="005B1A7A" w:rsidP="00596DD0">
            <w:pPr>
              <w:spacing w:after="120"/>
              <w:jc w:val="both"/>
            </w:pPr>
          </w:p>
        </w:tc>
      </w:tr>
    </w:tbl>
    <w:p w14:paraId="5787FECB" w14:textId="77777777" w:rsidR="00686C6A" w:rsidRPr="006434F9" w:rsidRDefault="00686C6A" w:rsidP="00596DD0">
      <w:pPr>
        <w:spacing w:after="120"/>
        <w:rPr>
          <w:rFonts w:eastAsiaTheme="majorEastAsia" w:cstheme="majorBidi"/>
          <w:b/>
          <w:bCs/>
          <w:noProof/>
          <w:color w:val="002060"/>
          <w:sz w:val="28"/>
          <w:szCs w:val="28"/>
        </w:rPr>
      </w:pPr>
      <w:r w:rsidRPr="006434F9">
        <w:br w:type="page"/>
      </w:r>
    </w:p>
    <w:p w14:paraId="3269B71A" w14:textId="7093B4C3" w:rsidR="00BB5DD1" w:rsidRPr="006434F9" w:rsidRDefault="00BB5DD1" w:rsidP="00907D05">
      <w:pPr>
        <w:pStyle w:val="Heading2"/>
        <w:numPr>
          <w:ilvl w:val="0"/>
          <w:numId w:val="0"/>
        </w:numPr>
        <w:jc w:val="center"/>
      </w:pPr>
      <w:bookmarkStart w:id="3" w:name="_Toc64557884"/>
      <w:r w:rsidRPr="006434F9">
        <w:lastRenderedPageBreak/>
        <w:t>ՀԱՊԱՎՈՒՄՆԵՐԻ ՑԱՆԿ</w:t>
      </w:r>
      <w:bookmarkEnd w:id="3"/>
    </w:p>
    <w:p w14:paraId="6D8A91CD" w14:textId="77777777" w:rsidR="00727C52" w:rsidRPr="006434F9" w:rsidRDefault="00727C52" w:rsidP="00727C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376"/>
      </w:tblGrid>
      <w:tr w:rsidR="00FF6C6F" w:rsidRPr="006434F9" w14:paraId="4AF37374" w14:textId="77777777" w:rsidTr="00727C52">
        <w:tc>
          <w:tcPr>
            <w:tcW w:w="2405" w:type="dxa"/>
          </w:tcPr>
          <w:p w14:paraId="5DF99084" w14:textId="2A59A306" w:rsidR="00FF6C6F" w:rsidRPr="006434F9" w:rsidRDefault="002411FF" w:rsidP="00236EEA">
            <w:pPr>
              <w:rPr>
                <w:b/>
                <w:bCs/>
              </w:rPr>
            </w:pPr>
            <w:r w:rsidRPr="006434F9">
              <w:rPr>
                <w:b/>
                <w:bCs/>
              </w:rPr>
              <w:t>ՊԵԿ</w:t>
            </w:r>
          </w:p>
        </w:tc>
        <w:tc>
          <w:tcPr>
            <w:tcW w:w="7629" w:type="dxa"/>
          </w:tcPr>
          <w:p w14:paraId="4A2A11A3" w14:textId="6CEFFCBB" w:rsidR="00FF6C6F" w:rsidRPr="006434F9" w:rsidRDefault="002411FF" w:rsidP="00236EEA">
            <w:r w:rsidRPr="006434F9">
              <w:t>ՀՀ պետական եկամուտների կոմիտե</w:t>
            </w:r>
          </w:p>
        </w:tc>
      </w:tr>
      <w:tr w:rsidR="00FF6C6F" w:rsidRPr="006434F9" w14:paraId="34C0EE54" w14:textId="77777777" w:rsidTr="00727C52">
        <w:tc>
          <w:tcPr>
            <w:tcW w:w="2405" w:type="dxa"/>
          </w:tcPr>
          <w:p w14:paraId="78A10FCA" w14:textId="77777777" w:rsidR="00FF6C6F" w:rsidRPr="006434F9" w:rsidRDefault="00FF6C6F" w:rsidP="00236EEA"/>
        </w:tc>
        <w:tc>
          <w:tcPr>
            <w:tcW w:w="7629" w:type="dxa"/>
          </w:tcPr>
          <w:p w14:paraId="55E7B2BD" w14:textId="77777777" w:rsidR="00FF6C6F" w:rsidRPr="006434F9" w:rsidRDefault="00FF6C6F" w:rsidP="00236EEA"/>
        </w:tc>
      </w:tr>
      <w:tr w:rsidR="00FF6C6F" w:rsidRPr="006434F9" w14:paraId="69D10C94" w14:textId="77777777" w:rsidTr="00727C52">
        <w:tc>
          <w:tcPr>
            <w:tcW w:w="2405" w:type="dxa"/>
          </w:tcPr>
          <w:p w14:paraId="6883D50B" w14:textId="77777777" w:rsidR="00FF6C6F" w:rsidRPr="006434F9" w:rsidRDefault="00FF6C6F" w:rsidP="00236EEA"/>
        </w:tc>
        <w:tc>
          <w:tcPr>
            <w:tcW w:w="7629" w:type="dxa"/>
          </w:tcPr>
          <w:p w14:paraId="2491009B" w14:textId="77777777" w:rsidR="00FF6C6F" w:rsidRPr="006434F9" w:rsidRDefault="00FF6C6F" w:rsidP="00236EEA"/>
        </w:tc>
      </w:tr>
      <w:tr w:rsidR="00FF6C6F" w:rsidRPr="006434F9" w14:paraId="5536ABDD" w14:textId="77777777" w:rsidTr="00727C52">
        <w:tc>
          <w:tcPr>
            <w:tcW w:w="2405" w:type="dxa"/>
          </w:tcPr>
          <w:p w14:paraId="13DC748B" w14:textId="77777777" w:rsidR="00FF6C6F" w:rsidRPr="006434F9" w:rsidRDefault="00FF6C6F" w:rsidP="00236EEA"/>
        </w:tc>
        <w:tc>
          <w:tcPr>
            <w:tcW w:w="7629" w:type="dxa"/>
          </w:tcPr>
          <w:p w14:paraId="0B6FA5C2" w14:textId="77777777" w:rsidR="00FF6C6F" w:rsidRPr="006434F9" w:rsidRDefault="00FF6C6F" w:rsidP="00236EEA"/>
        </w:tc>
      </w:tr>
      <w:tr w:rsidR="00FF6C6F" w:rsidRPr="006434F9" w14:paraId="122B105C" w14:textId="77777777" w:rsidTr="00727C52">
        <w:tc>
          <w:tcPr>
            <w:tcW w:w="2405" w:type="dxa"/>
          </w:tcPr>
          <w:p w14:paraId="2D6C1374" w14:textId="77777777" w:rsidR="00FF6C6F" w:rsidRPr="006434F9" w:rsidRDefault="00FF6C6F" w:rsidP="00236EEA"/>
        </w:tc>
        <w:tc>
          <w:tcPr>
            <w:tcW w:w="7629" w:type="dxa"/>
          </w:tcPr>
          <w:p w14:paraId="26331EA3" w14:textId="77777777" w:rsidR="00FF6C6F" w:rsidRPr="006434F9" w:rsidRDefault="00FF6C6F" w:rsidP="00236EEA"/>
        </w:tc>
      </w:tr>
    </w:tbl>
    <w:p w14:paraId="584AE0BB" w14:textId="77777777" w:rsidR="00236EEA" w:rsidRPr="006434F9" w:rsidRDefault="00236EEA" w:rsidP="00236EEA"/>
    <w:p w14:paraId="36D32136" w14:textId="55261E6A" w:rsidR="00B92C12" w:rsidRPr="006434F9" w:rsidRDefault="00B92C12" w:rsidP="008A3436">
      <w:pPr>
        <w:pStyle w:val="Heading2"/>
      </w:pPr>
      <w:bookmarkStart w:id="4" w:name="_Toc64557885"/>
      <w:r w:rsidRPr="006434F9">
        <w:t>ԱՄՓՈՓԱԳԻՐ</w:t>
      </w:r>
      <w:bookmarkEnd w:id="4"/>
    </w:p>
    <w:p w14:paraId="258DDFA4" w14:textId="17603912" w:rsidR="00E8710D" w:rsidRPr="006434F9" w:rsidRDefault="00E8710D" w:rsidP="00E8710D">
      <w:pPr>
        <w:ind w:firstLine="720"/>
        <w:jc w:val="both"/>
        <w:rPr>
          <w:rFonts w:cs="Sylfaen"/>
        </w:rPr>
      </w:pPr>
      <w:r w:rsidRPr="006434F9">
        <w:rPr>
          <w:rFonts w:cs="Sylfaen"/>
        </w:rPr>
        <w:t>ՀՀ պետական եկամուտների կոմիտեում հաշվեքննությունն իրականացվել է ՀՀ Հաշվեքննիչ պալատի 2020</w:t>
      </w:r>
      <w:r w:rsidR="00E4748D" w:rsidRPr="006434F9">
        <w:rPr>
          <w:rFonts w:cs="Sylfaen"/>
        </w:rPr>
        <w:t xml:space="preserve"> թվականի</w:t>
      </w:r>
      <w:r w:rsidRPr="006434F9">
        <w:rPr>
          <w:rFonts w:cs="Sylfaen"/>
        </w:rPr>
        <w:t xml:space="preserve"> </w:t>
      </w:r>
      <w:r w:rsidR="00B63DA3" w:rsidRPr="006434F9">
        <w:rPr>
          <w:rFonts w:cs="Sylfaen"/>
        </w:rPr>
        <w:t>նոյեմբերի</w:t>
      </w:r>
      <w:r w:rsidRPr="006434F9">
        <w:rPr>
          <w:rFonts w:cs="Sylfaen"/>
        </w:rPr>
        <w:t xml:space="preserve"> </w:t>
      </w:r>
      <w:r w:rsidR="00B63DA3" w:rsidRPr="006434F9">
        <w:rPr>
          <w:rFonts w:cs="Sylfaen"/>
        </w:rPr>
        <w:t>20</w:t>
      </w:r>
      <w:r w:rsidRPr="006434F9">
        <w:rPr>
          <w:rFonts w:cs="Sylfaen"/>
        </w:rPr>
        <w:t>-ի թիվ 1</w:t>
      </w:r>
      <w:r w:rsidR="00B63DA3" w:rsidRPr="006434F9">
        <w:rPr>
          <w:rFonts w:cs="Sylfaen"/>
        </w:rPr>
        <w:t>80</w:t>
      </w:r>
      <w:r w:rsidRPr="006434F9">
        <w:rPr>
          <w:rFonts w:cs="Sylfaen"/>
        </w:rPr>
        <w:t>-Ա որոշման հիմքով:</w:t>
      </w:r>
    </w:p>
    <w:p w14:paraId="4EC96F84" w14:textId="582A48DF" w:rsidR="00E8710D" w:rsidRPr="006434F9" w:rsidRDefault="00E8710D" w:rsidP="00E8710D">
      <w:pPr>
        <w:ind w:firstLine="720"/>
        <w:jc w:val="both"/>
        <w:rPr>
          <w:rFonts w:cs="Sylfaen"/>
        </w:rPr>
      </w:pPr>
      <w:r w:rsidRPr="006434F9">
        <w:rPr>
          <w:rFonts w:cs="Sylfaen"/>
        </w:rPr>
        <w:t xml:space="preserve">Հաշվեքննության առաջադրանքով նախատեսվել է իրականացնել Կոմիտեի </w:t>
      </w:r>
      <w:r w:rsidRPr="006434F9">
        <w:rPr>
          <w:rFonts w:eastAsia="Times New Roman" w:cs="Sylfaen"/>
        </w:rPr>
        <w:t xml:space="preserve">2020 թվականի պետական բյուջեի </w:t>
      </w:r>
      <w:r w:rsidR="00340168" w:rsidRPr="006434F9">
        <w:rPr>
          <w:rFonts w:eastAsia="Times New Roman" w:cs="Sylfaen"/>
        </w:rPr>
        <w:t>ինն</w:t>
      </w:r>
      <w:r w:rsidRPr="006434F9">
        <w:rPr>
          <w:rFonts w:eastAsia="Times New Roman" w:cs="Sylfaen"/>
        </w:rPr>
        <w:t xml:space="preserve"> ամիսների մուտքերի ձևավորման և ելքերի իրականացման կանոնակարգված գործունեության</w:t>
      </w:r>
      <w:r w:rsidRPr="006434F9">
        <w:rPr>
          <w:rFonts w:cs="Sylfaen"/>
        </w:rPr>
        <w:t xml:space="preserve"> ֆինանսական և համապատասխանության հաշվեքննություն։ Հաշվեքննությունն իրականացվել է 2020 թվականի </w:t>
      </w:r>
      <w:r w:rsidR="003C6BAC" w:rsidRPr="006434F9">
        <w:rPr>
          <w:rFonts w:cs="Sylfaen"/>
        </w:rPr>
        <w:t>նոյեմբերի</w:t>
      </w:r>
      <w:r w:rsidRPr="006434F9">
        <w:rPr>
          <w:rFonts w:cs="Sylfaen"/>
        </w:rPr>
        <w:t xml:space="preserve"> </w:t>
      </w:r>
      <w:r w:rsidR="003C6BAC" w:rsidRPr="006434F9">
        <w:rPr>
          <w:rFonts w:cs="Sylfaen"/>
        </w:rPr>
        <w:t>2</w:t>
      </w:r>
      <w:r w:rsidRPr="006434F9">
        <w:rPr>
          <w:rFonts w:cs="Sylfaen"/>
        </w:rPr>
        <w:t xml:space="preserve">7-ից մինչև </w:t>
      </w:r>
      <w:r w:rsidR="003C6BAC" w:rsidRPr="006434F9">
        <w:rPr>
          <w:rFonts w:cs="Sylfaen"/>
        </w:rPr>
        <w:t>2021 թվականի հունվարի 31</w:t>
      </w:r>
      <w:r w:rsidRPr="006434F9">
        <w:rPr>
          <w:rFonts w:cs="Sylfaen"/>
        </w:rPr>
        <w:t xml:space="preserve">-ն ընկած ժամանակահատվածում։ Հաշվեքննության ընթացքում կիրառվել են </w:t>
      </w:r>
      <w:r w:rsidRPr="006434F9">
        <w:rPr>
          <w:rFonts w:eastAsia="Times New Roman" w:cs="Sylfaen"/>
        </w:rPr>
        <w:t xml:space="preserve">հարցում, վերլուծական ընթացակարգ և վերահաշվարկ </w:t>
      </w:r>
      <w:r w:rsidRPr="006434F9">
        <w:rPr>
          <w:rFonts w:cs="Sylfaen"/>
        </w:rPr>
        <w:t>ընթացակարգերը:</w:t>
      </w:r>
    </w:p>
    <w:p w14:paraId="166FF6C8" w14:textId="35FFB882" w:rsidR="00265B34" w:rsidRPr="006434F9" w:rsidRDefault="00E8710D" w:rsidP="007A3345">
      <w:pPr>
        <w:ind w:firstLine="567"/>
        <w:jc w:val="both"/>
        <w:rPr>
          <w:rFonts w:cs="Sylfaen"/>
        </w:rPr>
      </w:pPr>
      <w:r w:rsidRPr="006434F9">
        <w:rPr>
          <w:rFonts w:cs="Sylfaen"/>
        </w:rPr>
        <w:t>Հաշվեքննությունն իրականացվել է ՀՀ հաշվեքննիչ պալատի 8-րդ վարչության կողմից</w:t>
      </w:r>
      <w:r w:rsidR="001B6ED3" w:rsidRPr="006434F9">
        <w:rPr>
          <w:rFonts w:cs="Sylfaen"/>
        </w:rPr>
        <w:t>։</w:t>
      </w:r>
    </w:p>
    <w:p w14:paraId="5A37569D" w14:textId="77777777" w:rsidR="00265B34" w:rsidRPr="006434F9" w:rsidRDefault="00265B34" w:rsidP="00265B34"/>
    <w:p w14:paraId="21DC924A" w14:textId="303A43CE" w:rsidR="00265B34" w:rsidRPr="006434F9" w:rsidRDefault="00265B34" w:rsidP="00265B34"/>
    <w:p w14:paraId="46480675" w14:textId="77777777" w:rsidR="002943BB" w:rsidRPr="006434F9" w:rsidRDefault="002943BB" w:rsidP="00265B34"/>
    <w:p w14:paraId="6EB38A94" w14:textId="61B80C5F" w:rsidR="008500D5" w:rsidRPr="006434F9" w:rsidRDefault="008500D5" w:rsidP="008A3436">
      <w:pPr>
        <w:pStyle w:val="Heading2"/>
      </w:pPr>
      <w:bookmarkStart w:id="5" w:name="_Toc64557886"/>
      <w:r w:rsidRPr="006434F9">
        <w:t>ՀԱՇՎԵՔՆՆՈՒԹՅԱՆ ՀԻՄՆԱԿԱՆ ԱՐԴՅՈՒՆՔՆԵՐԸ</w:t>
      </w:r>
      <w:bookmarkEnd w:id="5"/>
    </w:p>
    <w:p w14:paraId="18B95D6E" w14:textId="77777777" w:rsidR="003C2732" w:rsidRPr="006434F9" w:rsidRDefault="002D02BB" w:rsidP="006152B2">
      <w:pPr>
        <w:ind w:firstLine="567"/>
        <w:jc w:val="both"/>
      </w:pPr>
      <w:r w:rsidRPr="006434F9">
        <w:t>Հաշվեքննության իրականացման համար ստացվել է բավարար տեղեկատվություն։</w:t>
      </w:r>
    </w:p>
    <w:p w14:paraId="5D3BDEE3" w14:textId="1ACCF054" w:rsidR="002E78D5" w:rsidRPr="006434F9" w:rsidRDefault="00EB3240" w:rsidP="006152B2">
      <w:pPr>
        <w:ind w:firstLine="567"/>
        <w:jc w:val="both"/>
      </w:pPr>
      <w:r w:rsidRPr="006434F9">
        <w:t>Հաշվեքննության ընթացքում էական</w:t>
      </w:r>
      <w:r w:rsidR="00B828DD" w:rsidRPr="006434F9">
        <w:t xml:space="preserve"> անհամապատասխանություններ և</w:t>
      </w:r>
      <w:r w:rsidR="006D0816" w:rsidRPr="006434F9">
        <w:t xml:space="preserve"> </w:t>
      </w:r>
      <w:r w:rsidRPr="006434F9">
        <w:t>խեղաթյուրումներ չեն հայտնաբերվել։</w:t>
      </w:r>
    </w:p>
    <w:p w14:paraId="645C40DC" w14:textId="5A334892" w:rsidR="00BC5818" w:rsidRPr="006434F9" w:rsidRDefault="007A4BD1" w:rsidP="00F51372">
      <w:pPr>
        <w:ind w:firstLine="567"/>
        <w:jc w:val="both"/>
      </w:pPr>
      <w:r w:rsidRPr="006434F9">
        <w:t xml:space="preserve">ՀՀ պետական եկամուտների կոմիտեին վերաբերող հաշվետվությունները </w:t>
      </w:r>
      <w:r w:rsidR="00F51372" w:rsidRPr="006434F9">
        <w:t>էականորեն խեղաթյուրված չեն։</w:t>
      </w:r>
    </w:p>
    <w:p w14:paraId="25C9338C" w14:textId="77777777" w:rsidR="000159A2" w:rsidRPr="006434F9" w:rsidRDefault="00AF03BF">
      <w:pPr>
        <w:spacing w:line="259" w:lineRule="auto"/>
        <w:sectPr w:rsidR="000159A2" w:rsidRPr="006434F9" w:rsidSect="00FD00CC">
          <w:footerReference w:type="default" r:id="rId9"/>
          <w:headerReference w:type="first" r:id="rId10"/>
          <w:type w:val="continuous"/>
          <w:pgSz w:w="11906" w:h="16838" w:code="9"/>
          <w:pgMar w:top="864" w:right="900" w:bottom="851" w:left="1296" w:header="720" w:footer="720" w:gutter="0"/>
          <w:cols w:space="720"/>
          <w:titlePg/>
          <w:docGrid w:linePitch="326"/>
        </w:sectPr>
      </w:pPr>
      <w:r w:rsidRPr="006434F9">
        <w:br w:type="page"/>
      </w:r>
    </w:p>
    <w:p w14:paraId="5624C318" w14:textId="5F4B462F" w:rsidR="001B06CC" w:rsidRPr="006434F9" w:rsidRDefault="001B06CC" w:rsidP="008A3436">
      <w:pPr>
        <w:pStyle w:val="Heading2"/>
      </w:pPr>
      <w:bookmarkStart w:id="6" w:name="_Toc64557887"/>
      <w:r w:rsidRPr="006434F9">
        <w:lastRenderedPageBreak/>
        <w:t>ՀԱՇՎԵՔՆՆՈՒԹՅԱՆ ՕԲՅԵԿՏԻ ՖԻՆԱՆՍԱԿԱՆ ՑՈՒՑԱՆԻՇՆԵՐԸ</w:t>
      </w:r>
      <w:bookmarkEnd w:id="6"/>
    </w:p>
    <w:p w14:paraId="76F5BC0E" w14:textId="77777777" w:rsidR="00D13D82" w:rsidRPr="00604B2C" w:rsidRDefault="00D13D82" w:rsidP="00D13D82">
      <w:pPr>
        <w:spacing w:after="0"/>
        <w:ind w:firstLine="567"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ՀՀ 2020 թվականի պետական բյուջեից ՊԵԿ կողմից կատարվող ծախսերի տարեկան պլանը սահմանվել է 98,713,646.4 հազ. դրամ, տարեկան ճշտված պլանը՝ 110,651,208.9 հազ. դրամ, իսկ 2020թ. ինն ամիսների ճշտված պլանը՝ 100,641,087.55 հազ. դրամ, ֆինանսավորումը՝ 95,279,617.85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դրամ, դրամարկղային ծախսը՝ 94,863,895.64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դրամ, իսկ փաստացի ծախսը՝ 92,739,672.56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դրամ։</w:t>
      </w:r>
    </w:p>
    <w:p w14:paraId="4C3C6357" w14:textId="77777777" w:rsidR="00D13D82" w:rsidRPr="00604B2C" w:rsidRDefault="00D13D82" w:rsidP="00D13D82">
      <w:pPr>
        <w:spacing w:after="0"/>
        <w:rPr>
          <w:rFonts w:eastAsia="Times New Roman" w:cs="Sylfaen"/>
        </w:rPr>
        <w:sectPr w:rsidR="00D13D82" w:rsidRPr="00604B2C" w:rsidSect="00FD00CC">
          <w:pgSz w:w="16838" w:h="11906" w:orient="landscape" w:code="9"/>
          <w:pgMar w:top="1298" w:right="862" w:bottom="902" w:left="851" w:header="720" w:footer="720" w:gutter="0"/>
          <w:cols w:space="720"/>
        </w:sectPr>
      </w:pPr>
    </w:p>
    <w:p w14:paraId="62FBF513" w14:textId="73C12909" w:rsidR="00D13D82" w:rsidRPr="006434F9" w:rsidRDefault="00D13D82" w:rsidP="00D13D82">
      <w:pPr>
        <w:ind w:firstLine="567"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lastRenderedPageBreak/>
        <w:t>ՀՀ ՊԵԿ 2020թ. ինն ամիսների բյուջեի ծախսերի կատարողականը ըստ միջոցառումների հետևյալն է</w:t>
      </w:r>
      <w:r w:rsidR="00952A2C" w:rsidRPr="006434F9">
        <w:rPr>
          <w:rFonts w:eastAsia="Times New Roman" w:cs="Sylfaen"/>
        </w:rPr>
        <w:t>.</w:t>
      </w:r>
    </w:p>
    <w:p w14:paraId="54503B8C" w14:textId="552DE488" w:rsidR="002943BB" w:rsidRPr="006434F9" w:rsidRDefault="002943BB" w:rsidP="002943BB">
      <w:pPr>
        <w:ind w:firstLine="567"/>
        <w:jc w:val="right"/>
        <w:rPr>
          <w:rFonts w:eastAsia="Times New Roman" w:cs="Sylfaen"/>
        </w:rPr>
      </w:pPr>
      <w:r w:rsidRPr="006434F9">
        <w:rPr>
          <w:rFonts w:eastAsia="Times New Roman" w:cs="Sylfaen"/>
        </w:rPr>
        <w:t>հազ.դրամ</w:t>
      </w:r>
    </w:p>
    <w:tbl>
      <w:tblPr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4"/>
        <w:gridCol w:w="1701"/>
        <w:gridCol w:w="1701"/>
        <w:gridCol w:w="1560"/>
        <w:gridCol w:w="1559"/>
        <w:gridCol w:w="992"/>
        <w:gridCol w:w="1417"/>
      </w:tblGrid>
      <w:tr w:rsidR="00AF03BF" w:rsidRPr="00604B2C" w14:paraId="1E9FF7E4" w14:textId="77777777" w:rsidTr="002F605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9AFA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Միջոցառում</w:t>
            </w:r>
            <w:proofErr w:type="spellEnd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4B2C">
              <w:rPr>
                <w:rFonts w:eastAsia="Times New Roman" w:cs="Arial"/>
                <w:b/>
                <w:bCs/>
                <w:sz w:val="20"/>
                <w:szCs w:val="20"/>
              </w:rPr>
              <w:t>հ</w:t>
            </w: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ոդված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6466" w14:textId="77777777" w:rsidR="00AF03BF" w:rsidRPr="00604B2C" w:rsidRDefault="00AF03BF" w:rsidP="000C2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Հաշվետու</w:t>
            </w:r>
            <w:proofErr w:type="spellEnd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ժամանակահատվածի</w:t>
            </w:r>
            <w:proofErr w:type="spellEnd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ճշտված</w:t>
            </w:r>
            <w:proofErr w:type="spellEnd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պլան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941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Ֆինանսավորում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40E8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Փաստ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28E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Փաստացի</w:t>
            </w:r>
            <w:proofErr w:type="spellEnd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ծախս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70F0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Կատարման</w:t>
            </w:r>
            <w:proofErr w:type="spellEnd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%-ը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8ECC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Պլանի</w:t>
            </w:r>
            <w:proofErr w:type="spellEnd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մնացորդ</w:t>
            </w:r>
            <w:proofErr w:type="spellEnd"/>
          </w:p>
        </w:tc>
      </w:tr>
      <w:tr w:rsidR="00AF03BF" w:rsidRPr="00604B2C" w14:paraId="136887A5" w14:textId="77777777" w:rsidTr="002F6053">
        <w:trPr>
          <w:trHeight w:val="40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5B3C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Ը  Ն  Դ  Ա  Մ  Ե  Ն  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C95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100,641,087.55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849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95,279,617.85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5A19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94,863,895.64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3C8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92,739,672.56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2BC6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94.26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2EC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5,777,191.91</w:t>
            </w:r>
          </w:p>
        </w:tc>
      </w:tr>
      <w:tr w:rsidR="00AF03BF" w:rsidRPr="00604B2C" w14:paraId="30C92C5A" w14:textId="77777777" w:rsidTr="002F6053">
        <w:trPr>
          <w:trHeight w:val="36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7D2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01010201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8A66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26F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13,426,907.80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EA7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12,854,064.59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AB6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12,835,456.37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5B0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13,065,887.86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6E5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F18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591,451.43</w:t>
            </w:r>
          </w:p>
        </w:tc>
      </w:tr>
      <w:tr w:rsidR="00AF03BF" w:rsidRPr="00604B2C" w14:paraId="2136560B" w14:textId="77777777" w:rsidTr="002F6053">
        <w:trPr>
          <w:trHeight w:val="10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3DC8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E745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Աշխատանքի</w:t>
            </w:r>
            <w:proofErr w:type="spellEnd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վարձատրություն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EBB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10,453,924.00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5181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10,453,924.00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AD1C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10,453,641.64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60F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10,856,924.66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7C61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0CF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282.36</w:t>
            </w:r>
          </w:p>
        </w:tc>
      </w:tr>
      <w:tr w:rsidR="00AF03BF" w:rsidRPr="00604B2C" w14:paraId="7AD0A59E" w14:textId="77777777" w:rsidTr="002F6053">
        <w:trPr>
          <w:trHeight w:val="48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B691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BB8F5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</w:rPr>
              <w:t>Ապրանքների, ծառայությունների ձեռքբերում և այլ ծախսեր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788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2,972,983.80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2BD1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2,400,140.59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DC99E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2,381,814.73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823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2,208,963.20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A32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80.10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446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591,169.07</w:t>
            </w:r>
          </w:p>
        </w:tc>
      </w:tr>
      <w:tr w:rsidR="00AF03BF" w:rsidRPr="00604B2C" w14:paraId="7437EC8E" w14:textId="77777777" w:rsidTr="002F6053">
        <w:trPr>
          <w:trHeight w:val="16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E9C3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01010203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4FD4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Ակցիզային</w:t>
            </w:r>
            <w:proofErr w:type="spellEnd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դրոշմանիշների</w:t>
            </w:r>
            <w:proofErr w:type="spellEnd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ձեռքբերում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692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1,872,720.00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9082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1,872,720.00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E49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1,872,720.00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2FB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1,031,806.75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683A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8765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03BF" w:rsidRPr="00604B2C" w14:paraId="0A18FAAD" w14:textId="77777777" w:rsidTr="002F6053">
        <w:trPr>
          <w:trHeight w:val="12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AECA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01010206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4F62B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կոմիտեի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տեխնիկական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հագեցվածության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բարելավում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4980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1,098,247.30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23A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530,792.00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D57F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530,516.16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5BBA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530,516.16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D1D2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379E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567,731.14</w:t>
            </w:r>
          </w:p>
        </w:tc>
      </w:tr>
      <w:tr w:rsidR="00AF03BF" w:rsidRPr="00604B2C" w14:paraId="53B42BFC" w14:textId="77777777" w:rsidTr="002F6053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6B34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981D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Վարչական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4B8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359,992.00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36BD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98,505.24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C874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98,505.24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F3BF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98,505.24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2B0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426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261,486.76</w:t>
            </w:r>
          </w:p>
        </w:tc>
      </w:tr>
      <w:tr w:rsidR="00AF03BF" w:rsidRPr="00604B2C" w14:paraId="14B2389B" w14:textId="77777777" w:rsidTr="002F6053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83AF6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D618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Այլ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մեքենաներ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431A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730,295.30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2CDA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432,286.76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748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432,010.92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7996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432,010.92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1AF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D8F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298,284.38</w:t>
            </w:r>
          </w:p>
        </w:tc>
      </w:tr>
      <w:tr w:rsidR="00AF03BF" w:rsidRPr="00604B2C" w14:paraId="5BCFF575" w14:textId="77777777" w:rsidTr="002F6053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24BDB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D737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Աճեցվող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ակտիվներ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13DD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5,960.00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00F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4BA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578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CF56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EA4A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5,960</w:t>
            </w: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.0</w:t>
            </w:r>
          </w:p>
        </w:tc>
      </w:tr>
      <w:tr w:rsidR="00AF03BF" w:rsidRPr="00604B2C" w14:paraId="154F0656" w14:textId="77777777" w:rsidTr="002F6053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7254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DEC6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Ոչ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նյութական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հիմնական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միջոցներ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3F1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94E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135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D2C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5AB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7943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2,000.0</w:t>
            </w:r>
          </w:p>
        </w:tc>
      </w:tr>
      <w:tr w:rsidR="00AF03BF" w:rsidRPr="00604B2C" w14:paraId="746C6E9F" w14:textId="77777777" w:rsidTr="002F6053">
        <w:trPr>
          <w:trHeight w:val="26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D5B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>01010207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1B28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Դրոշմապիտակների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ձեռքբերման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4BE85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4,762,800.00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DF13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4,762,800.00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BE9C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4,762,800.00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66F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3,072,032.46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8B2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BE4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03BF" w:rsidRPr="00604B2C" w14:paraId="368CA82C" w14:textId="77777777" w:rsidTr="002F6053">
        <w:trPr>
          <w:trHeight w:val="5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ADA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01010211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4B5C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կոմիտեի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շենքային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ապահովվածության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բարելավում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E001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1,478,281.60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6029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1,004,149.58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AD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1,004,149.58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198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1,179,837.40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E217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67.92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7D2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474,132.02</w:t>
            </w:r>
          </w:p>
        </w:tc>
      </w:tr>
      <w:tr w:rsidR="00AF03BF" w:rsidRPr="00604B2C" w14:paraId="25E92F7A" w14:textId="77777777" w:rsidTr="002F6053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79BF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8574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Շենքերի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շինարարություն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90A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1,417,739.10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5248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976,199.58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D1A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976,199.58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64E4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1,151,887.40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07B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0ABB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441,539.52</w:t>
            </w:r>
          </w:p>
        </w:tc>
      </w:tr>
      <w:tr w:rsidR="00AF03BF" w:rsidRPr="00604B2C" w14:paraId="2FA088BB" w14:textId="77777777" w:rsidTr="002F6053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F2F89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A145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Նախագծահետազոտական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895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60,542.50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3AE1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27,950.00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856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27,950.00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FE4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27,950.00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F4E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3455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32,592.5</w:t>
            </w:r>
          </w:p>
        </w:tc>
      </w:tr>
      <w:tr w:rsidR="00AF03BF" w:rsidRPr="00604B2C" w14:paraId="6287A904" w14:textId="77777777" w:rsidTr="002F6053">
        <w:trPr>
          <w:trHeight w:val="52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A3E7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01010212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D8A3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կոմիտեի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շենքային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պայմանների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բարելավում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CAE5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13,995.00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795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9,525.00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13F9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9,525.00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66E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9,525.00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5D76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68.06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6683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4,470.00</w:t>
            </w:r>
          </w:p>
        </w:tc>
      </w:tr>
      <w:tr w:rsidR="00AF03BF" w:rsidRPr="00604B2C" w14:paraId="3637941B" w14:textId="77777777" w:rsidTr="002F6053">
        <w:trPr>
          <w:trHeight w:val="1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E569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C904A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t>- Շենքերի և շինությունների կապիտալ վերանորոգում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21A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11,495.00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EE08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9,525.00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4A8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9,525.00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C031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9,525.00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E72A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225F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1,970.0</w:t>
            </w:r>
          </w:p>
        </w:tc>
      </w:tr>
      <w:tr w:rsidR="00AF03BF" w:rsidRPr="00604B2C" w14:paraId="50EA3B8D" w14:textId="77777777" w:rsidTr="002F6053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990B3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E20A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Նախագծահետազոտական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909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4E85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735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2E3F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45C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E366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2,500.0</w:t>
            </w:r>
          </w:p>
        </w:tc>
      </w:tr>
      <w:tr w:rsidR="00AF03BF" w:rsidRPr="00604B2C" w14:paraId="024945A6" w14:textId="77777777" w:rsidTr="002F6053">
        <w:trPr>
          <w:trHeight w:val="5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6F2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01010220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430B0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կոմիտեի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շենքային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պայմաններով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ապահովում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40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17,325.50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1BC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6AB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1155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BE8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96D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17,325.50</w:t>
            </w:r>
          </w:p>
        </w:tc>
      </w:tr>
      <w:tr w:rsidR="00AF03BF" w:rsidRPr="00604B2C" w14:paraId="2EE0AA21" w14:textId="77777777" w:rsidTr="002F6053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1AEF8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4CBD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t>- Շենքերի և շինությունների ձեռք բերում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6EE0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2,233.00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6C76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B49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1BA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FB1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83A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2,233.0</w:t>
            </w:r>
          </w:p>
        </w:tc>
      </w:tr>
      <w:tr w:rsidR="00AF03BF" w:rsidRPr="00604B2C" w14:paraId="36DC8C0E" w14:textId="77777777" w:rsidTr="002F6053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B8A61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95A4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Հող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1655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15,092.50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376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B1C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EC9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99AD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295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15,092.5</w:t>
            </w:r>
          </w:p>
        </w:tc>
      </w:tr>
      <w:tr w:rsidR="00AF03BF" w:rsidRPr="00604B2C" w14:paraId="0E1CA2FA" w14:textId="77777777" w:rsidTr="002F6053">
        <w:trPr>
          <w:trHeight w:val="30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B75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01060104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B481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Փորձաքննությունների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ծառայություններ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7B26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8,135.50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BE8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7,735.28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57B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7,735.28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112A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7,735.28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5FD25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95.08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31D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400.22</w:t>
            </w:r>
          </w:p>
        </w:tc>
      </w:tr>
      <w:tr w:rsidR="00AF03BF" w:rsidRPr="00604B2C" w14:paraId="09BF9C8C" w14:textId="77777777" w:rsidTr="002F6053">
        <w:trPr>
          <w:trHeight w:val="52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4FCF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04010121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F5F6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Կորոնավիրուսի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տնտեսական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հետևանքների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չեզոքացման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5-րդ և 10-րդ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միջոցառման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շրջանակերում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աջակցության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տրամադրում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7F4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2,200,000.00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EFD3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2,199,791.57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F295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2,185,193.39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B228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2,185,193.39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8BB8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99.32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417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14,806.61</w:t>
            </w:r>
          </w:p>
        </w:tc>
      </w:tr>
      <w:tr w:rsidR="00AF03BF" w:rsidRPr="00604B2C" w14:paraId="5AE385DE" w14:textId="77777777" w:rsidTr="002F6053">
        <w:trPr>
          <w:trHeight w:val="5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5555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04010122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6CF93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Կորոնավիրուսի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տնտեսական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հետևանքների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չեզոքացման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18-րդ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միջոցառման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շրջանակներում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աջակցության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տրամադրում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41B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2,114,000.00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431D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2,114,000.00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AE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2,113,996.66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0FA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2,113,996.66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710B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99.99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88D5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3.34</w:t>
            </w:r>
          </w:p>
        </w:tc>
      </w:tr>
      <w:tr w:rsidR="00AF03BF" w:rsidRPr="00604B2C" w14:paraId="57243BC3" w14:textId="77777777" w:rsidTr="002F6053">
        <w:trPr>
          <w:trHeight w:val="77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37D1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t>04010124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088B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t>Կորոնավիրուսի տնտեսական հետևանքների չեզոքացման 21-րդ միջոցառման շրջանակներում աջակցության տրամադրում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A71E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2,630,000.00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15F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2,630,000.00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BC0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2,614,916.90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9487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2,614,916.90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CEB7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35C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15,083.10</w:t>
            </w:r>
          </w:p>
        </w:tc>
      </w:tr>
      <w:tr w:rsidR="00AF03BF" w:rsidRPr="00604B2C" w14:paraId="23637176" w14:textId="77777777" w:rsidTr="002F6053">
        <w:trPr>
          <w:trHeight w:val="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58175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t>04010126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42245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t>Կորոնավիրուսի տնտեսական հետևանքների չեզոքացման 10-րդ միջոցառման շրջանակներում աջակցության տրամադրում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96D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DC36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300,000.00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A9A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294,684.23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026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294,684.23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1D1C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7BE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5,315.77</w:t>
            </w:r>
          </w:p>
        </w:tc>
      </w:tr>
      <w:tr w:rsidR="00AF03BF" w:rsidRPr="00604B2C" w14:paraId="33844671" w14:textId="77777777" w:rsidTr="002F6053">
        <w:trPr>
          <w:trHeight w:val="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913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lastRenderedPageBreak/>
              <w:t>04010129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39A2F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Arial"/>
                <w:sz w:val="20"/>
                <w:szCs w:val="20"/>
              </w:rPr>
              <w:t>Կորոնավիրուսի տնտեսական հետևանքների չեզոքացման 23-րդ միջոցառման շրջանակներում աջակցության տրամադրում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E78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3,300,000.00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C40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1,500,000.00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C03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1,139,726.16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0351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1,139,726.16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FDD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75.98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ABB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2,160,273.84</w:t>
            </w:r>
          </w:p>
        </w:tc>
      </w:tr>
      <w:tr w:rsidR="00AF03BF" w:rsidRPr="00604B2C" w14:paraId="7B7D1556" w14:textId="77777777" w:rsidTr="002F6053">
        <w:trPr>
          <w:trHeight w:val="16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37D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04090120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F8D2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կառավարման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մարմինների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կողմից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դիմումներ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հայցադիմումներ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դատարանի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վճիռների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որոշումների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դեմ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վերաքննիչ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վճռաբեկ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բողոքներ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ներկայացնելիս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` «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տուրքի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մասին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» ՀՀ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օրենքով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սահմանված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վճարումներ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5A8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145,077.68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A609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145,077.68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73486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145,077.68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EC1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145,077.68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3DE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2150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03BF" w:rsidRPr="00604B2C" w14:paraId="7EBBF3F3" w14:textId="77777777" w:rsidTr="002F6053">
        <w:trPr>
          <w:trHeight w:val="5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8911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09050211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3A53B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Հարկային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մաքսային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ծառայողների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վերապատրաստում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69BE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97,808.30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D41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97,808.30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7B21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97,808.30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075B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99,146.70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717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B60C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03BF" w:rsidRPr="00604B2C" w14:paraId="029D64A5" w14:textId="77777777" w:rsidTr="002F6053">
        <w:trPr>
          <w:trHeight w:val="5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AACB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10020110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F95B5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Կուտակային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հատկացումներ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մասնակցի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կենսաթոշակային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հաշվին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1C5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60,583,055.00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27E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58,705,711.98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29B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58,705,485.71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2B53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58,705,485.71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F864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96.90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F369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1,877,569.29</w:t>
            </w:r>
          </w:p>
        </w:tc>
      </w:tr>
      <w:tr w:rsidR="00AF03BF" w:rsidRPr="00604B2C" w14:paraId="6473BC88" w14:textId="77777777" w:rsidTr="002F6053">
        <w:trPr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ACD1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10090201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635E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հիմնարկների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կազմակերպությունների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աշխատողների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սոցիալական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փաթեթով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ապահովում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06E9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158,112.00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D27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110,820.00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E7F0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109,482.35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DCE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109,482.35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119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69.24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AF1E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48,629.65</w:t>
            </w:r>
          </w:p>
        </w:tc>
      </w:tr>
      <w:tr w:rsidR="00AF03BF" w:rsidRPr="00604B2C" w14:paraId="6472FA43" w14:textId="77777777" w:rsidTr="002F6053">
        <w:trPr>
          <w:trHeight w:val="11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94C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10090232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9626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Փոխանցումներ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Հայաստանի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պաշտպանության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ժամանակ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զինծառայողների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կյանքին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կամ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առողջությանը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պատճառված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վնասների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հատուցման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հիմնադրամին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61E8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6,434,621.87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ECCAF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6,434,621.87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17AA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6,434,621.87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902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6,434,621.87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E9C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A86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03BF" w:rsidRPr="00604B2C" w14:paraId="30B85529" w14:textId="77777777" w:rsidTr="002F6053">
        <w:trPr>
          <w:trHeight w:val="5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D8CC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11010101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D8A3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պահուստային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ֆոնդ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A67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782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38BB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32D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C12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A388D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03BF" w:rsidRPr="00604B2C" w14:paraId="432AC0CD" w14:textId="77777777" w:rsidTr="002F6053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DADD" w14:textId="77777777" w:rsidR="00AF03BF" w:rsidRPr="00604B2C" w:rsidRDefault="00AF03BF" w:rsidP="000C23C1">
            <w:pPr>
              <w:spacing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42961" w14:textId="77777777" w:rsidR="00AF03BF" w:rsidRPr="00604B2C" w:rsidRDefault="00AF03BF" w:rsidP="000C23C1">
            <w:pPr>
              <w:spacing w:after="0" w:line="25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Այլ</w:t>
            </w:r>
            <w:proofErr w:type="spellEnd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2097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31D18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EC3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52923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7D792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A3D4" w14:textId="77777777" w:rsidR="00AF03BF" w:rsidRPr="00604B2C" w:rsidRDefault="00AF03BF" w:rsidP="000C23C1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53118F0C" w14:textId="77777777" w:rsidR="00AF03BF" w:rsidRPr="006434F9" w:rsidRDefault="00AF03BF" w:rsidP="00D13D82">
      <w:pPr>
        <w:ind w:firstLine="567"/>
        <w:jc w:val="both"/>
        <w:rPr>
          <w:rFonts w:eastAsia="Times New Roman" w:cs="Sylfaen"/>
        </w:rPr>
      </w:pPr>
    </w:p>
    <w:p w14:paraId="353F03F2" w14:textId="77777777" w:rsidR="00AF03BF" w:rsidRPr="006434F9" w:rsidRDefault="00AF03BF" w:rsidP="00D13D82">
      <w:pPr>
        <w:ind w:firstLine="567"/>
        <w:jc w:val="both"/>
        <w:rPr>
          <w:rFonts w:eastAsia="Times New Roman" w:cs="Sylfaen"/>
        </w:rPr>
      </w:pPr>
    </w:p>
    <w:p w14:paraId="41161E72" w14:textId="77777777" w:rsidR="00AF03BF" w:rsidRPr="006434F9" w:rsidRDefault="00AF03BF" w:rsidP="00D13D82">
      <w:pPr>
        <w:ind w:firstLine="567"/>
        <w:jc w:val="both"/>
        <w:rPr>
          <w:rFonts w:eastAsia="Times New Roman" w:cs="Sylfaen"/>
        </w:rPr>
      </w:pPr>
    </w:p>
    <w:p w14:paraId="342F0E65" w14:textId="77777777" w:rsidR="00AF03BF" w:rsidRPr="006434F9" w:rsidRDefault="00AF03BF" w:rsidP="00D13D82">
      <w:pPr>
        <w:ind w:firstLine="567"/>
        <w:jc w:val="both"/>
        <w:rPr>
          <w:rFonts w:cs="Sylfaen"/>
          <w:highlight w:val="yellow"/>
        </w:rPr>
      </w:pPr>
    </w:p>
    <w:p w14:paraId="3BB2746B" w14:textId="77777777" w:rsidR="000159A2" w:rsidRPr="006434F9" w:rsidRDefault="000159A2" w:rsidP="00BB38B3">
      <w:pPr>
        <w:spacing w:after="0"/>
        <w:jc w:val="right"/>
        <w:rPr>
          <w:sz w:val="20"/>
          <w:szCs w:val="20"/>
          <w:highlight w:val="yellow"/>
        </w:rPr>
        <w:sectPr w:rsidR="000159A2" w:rsidRPr="006434F9" w:rsidSect="000159A2">
          <w:type w:val="continuous"/>
          <w:pgSz w:w="16838" w:h="11906" w:orient="landscape" w:code="9"/>
          <w:pgMar w:top="1298" w:right="862" w:bottom="902" w:left="851" w:header="720" w:footer="720" w:gutter="0"/>
          <w:cols w:space="720"/>
        </w:sectPr>
      </w:pPr>
    </w:p>
    <w:p w14:paraId="5B2CEE78" w14:textId="77777777" w:rsidR="00DC0931" w:rsidRPr="00DC0931" w:rsidRDefault="00DC0931" w:rsidP="00DC0931">
      <w:pPr>
        <w:keepNext/>
        <w:keepLines/>
        <w:numPr>
          <w:ilvl w:val="0"/>
          <w:numId w:val="1"/>
        </w:numPr>
        <w:spacing w:before="40" w:after="0" w:line="240" w:lineRule="auto"/>
        <w:ind w:left="720" w:hanging="360"/>
        <w:jc w:val="both"/>
        <w:outlineLvl w:val="1"/>
        <w:rPr>
          <w:rFonts w:eastAsia="Times New Roman" w:cs="Sylfaen"/>
          <w:b/>
          <w:bCs/>
          <w:color w:val="244061"/>
          <w:sz w:val="28"/>
          <w:szCs w:val="28"/>
        </w:rPr>
      </w:pPr>
      <w:bookmarkStart w:id="7" w:name="_Toc64557888"/>
      <w:r w:rsidRPr="00DC0931">
        <w:rPr>
          <w:rFonts w:eastAsia="Times New Roman" w:cs="Sylfaen"/>
          <w:b/>
          <w:bCs/>
          <w:color w:val="244061"/>
          <w:sz w:val="28"/>
          <w:szCs w:val="28"/>
        </w:rPr>
        <w:lastRenderedPageBreak/>
        <w:t>ՊԵԿ ԿՈՂՄԻՑ ՎԵՐԱՀՍԿՎՈՂ ԵԿԱՄՈՒՏՆԵՐ</w:t>
      </w:r>
      <w:bookmarkEnd w:id="7"/>
    </w:p>
    <w:p w14:paraId="65C548E2" w14:textId="77777777" w:rsidR="00DC0931" w:rsidRPr="00DC0931" w:rsidRDefault="00DC0931" w:rsidP="00DC0931">
      <w:pPr>
        <w:spacing w:line="256" w:lineRule="auto"/>
        <w:rPr>
          <w:rFonts w:eastAsia="Times New Roman" w:cs="Times New Roman"/>
          <w:sz w:val="22"/>
          <w:szCs w:val="22"/>
        </w:rPr>
      </w:pPr>
    </w:p>
    <w:p w14:paraId="5C89F764" w14:textId="77777777" w:rsidR="00DC0931" w:rsidRPr="00DC0931" w:rsidRDefault="00DC0931" w:rsidP="00DC0931">
      <w:pPr>
        <w:spacing w:line="256" w:lineRule="auto"/>
        <w:ind w:firstLine="567"/>
        <w:jc w:val="both"/>
        <w:rPr>
          <w:rFonts w:eastAsia="Times New Roman" w:cs="Times New Roman"/>
          <w:sz w:val="22"/>
          <w:szCs w:val="22"/>
        </w:rPr>
      </w:pPr>
      <w:r w:rsidRPr="00DC0931">
        <w:rPr>
          <w:rFonts w:eastAsia="Times New Roman" w:cs="Sylfaen"/>
        </w:rPr>
        <w:t>2020 թվականի ինն ամիսների ընթացքում ՀՀ պետական բյուջե մուտքագրված  հարկային եկամուտների և պետական տուրքերի կառուցվածքն ըստ եկամտի տեսակների հետևյալն է.</w:t>
      </w:r>
    </w:p>
    <w:p w14:paraId="33E4A9BF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spacing w:line="256" w:lineRule="auto"/>
        <w:ind w:left="0" w:firstLine="0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33.0%</w:t>
      </w:r>
      <w:r w:rsidRPr="00DC0931">
        <w:rPr>
          <w:rFonts w:eastAsia="Times New Roman" w:cs="Sylfaen"/>
        </w:rPr>
        <w:noBreakHyphen/>
        <w:t>ն ապահովվել է ավելացված արժեքի հարկի հաշվին՝ կազմելով 335.1 մլրդ. դրամ, որից 199 մլրդ դրամը ստացվել է ՀՀ ներմուծվող ապրանքներից, այդ թվում՝ 78.3 մլրդ դրամը գանձվել է Եվրասիական տնտեսական միության անդամ պետություններից ներմուծվող ապրանքների համար: Մնացած 136.1 մլրդ դրամը գանձվել է ՀՀ</w:t>
      </w:r>
      <w:r w:rsidRPr="00DC0931">
        <w:rPr>
          <w:rFonts w:eastAsia="Times New Roman" w:cs="Sylfaen"/>
        </w:rPr>
        <w:noBreakHyphen/>
        <w:t>ում արտադրվող ապրանքներից և ծառայություններից:</w:t>
      </w:r>
    </w:p>
    <w:p w14:paraId="6650C5DF" w14:textId="77777777" w:rsidR="00DC0931" w:rsidRPr="00DC0931" w:rsidRDefault="00DC0931" w:rsidP="00DC0931">
      <w:pPr>
        <w:tabs>
          <w:tab w:val="left" w:pos="426"/>
        </w:tabs>
        <w:contextualSpacing/>
        <w:jc w:val="both"/>
        <w:rPr>
          <w:rFonts w:eastAsia="Times New Roman" w:cs="Sylfaen"/>
        </w:rPr>
      </w:pPr>
    </w:p>
    <w:p w14:paraId="43C3F2C6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spacing w:line="256" w:lineRule="auto"/>
        <w:ind w:left="0" w:firstLine="0"/>
        <w:contextualSpacing/>
        <w:rPr>
          <w:rFonts w:eastAsia="Times New Roman" w:cs="Sylfaen"/>
        </w:rPr>
      </w:pPr>
      <w:r w:rsidRPr="00DC0931">
        <w:rPr>
          <w:rFonts w:eastAsia="Times New Roman" w:cs="GHEA Grapalat"/>
          <w:color w:val="000000"/>
          <w:sz w:val="22"/>
          <w:szCs w:val="22"/>
        </w:rPr>
        <w:t>30.5%</w:t>
      </w:r>
      <w:r w:rsidRPr="00DC0931">
        <w:rPr>
          <w:rFonts w:eastAsia="Times New Roman" w:cs="GHEA Grapalat"/>
          <w:color w:val="000000"/>
          <w:sz w:val="22"/>
          <w:szCs w:val="22"/>
        </w:rPr>
        <w:noBreakHyphen/>
      </w:r>
      <w:r w:rsidRPr="00DC0931">
        <w:rPr>
          <w:rFonts w:eastAsia="Times New Roman" w:cs="Sylfaen"/>
        </w:rPr>
        <w:t>ը ապահովվել է եկամտային հարկի հաշվին՝ կազմելով 310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5 մլրդ. դրամ:</w:t>
      </w:r>
    </w:p>
    <w:p w14:paraId="4F456BF2" w14:textId="77777777" w:rsidR="00DC0931" w:rsidRPr="00DC0931" w:rsidRDefault="00DC0931" w:rsidP="00DC0931">
      <w:pPr>
        <w:tabs>
          <w:tab w:val="left" w:pos="426"/>
        </w:tabs>
        <w:contextualSpacing/>
        <w:rPr>
          <w:rFonts w:eastAsia="Times New Roman" w:cs="Sylfaen"/>
        </w:rPr>
      </w:pPr>
    </w:p>
    <w:p w14:paraId="354B10D6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spacing w:line="256" w:lineRule="auto"/>
        <w:ind w:left="0" w:firstLine="0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12.1%-ն ապահովվել է շահութահարկի հաշվին` կազմելով 122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6 մլրդ դրամ:</w:t>
      </w:r>
    </w:p>
    <w:p w14:paraId="1BD1A721" w14:textId="77777777" w:rsidR="00DC0931" w:rsidRPr="00DC0931" w:rsidRDefault="00DC0931" w:rsidP="00DC0931">
      <w:pPr>
        <w:tabs>
          <w:tab w:val="left" w:pos="426"/>
        </w:tabs>
        <w:contextualSpacing/>
        <w:jc w:val="both"/>
        <w:rPr>
          <w:rFonts w:eastAsia="Times New Roman" w:cs="Sylfaen"/>
        </w:rPr>
      </w:pPr>
    </w:p>
    <w:p w14:paraId="5505581B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56" w:lineRule="auto"/>
        <w:ind w:left="0" w:firstLine="0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8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2%-ն ապահովվել է ակցիզային հարկի հաշվին` կազմելով 83.6 մլրդ դրամ:</w:t>
      </w:r>
    </w:p>
    <w:p w14:paraId="4911E9B6" w14:textId="77777777" w:rsidR="00DC0931" w:rsidRPr="00DC0931" w:rsidRDefault="00DC0931" w:rsidP="00DC0931">
      <w:pPr>
        <w:tabs>
          <w:tab w:val="left" w:pos="426"/>
        </w:tabs>
        <w:spacing w:line="256" w:lineRule="auto"/>
        <w:contextualSpacing/>
        <w:rPr>
          <w:rFonts w:eastAsia="Times New Roman" w:cs="Sylfaen"/>
        </w:rPr>
      </w:pPr>
    </w:p>
    <w:p w14:paraId="4F3FC628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56" w:lineRule="auto"/>
        <w:ind w:left="0" w:firstLine="0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Մասնավորապես` հանրապետությունում արտադրվող ենթաակցիզային ապրանքների հարկումից ստացվել է 44.2</w:t>
      </w:r>
      <w:r w:rsidRPr="00DC0931">
        <w:rPr>
          <w:rFonts w:eastAsia="Times New Roman" w:cs="GHEA Grapalat"/>
          <w:color w:val="000000"/>
          <w:sz w:val="22"/>
          <w:szCs w:val="22"/>
        </w:rPr>
        <w:t xml:space="preserve"> </w:t>
      </w:r>
      <w:r w:rsidRPr="00DC0931">
        <w:rPr>
          <w:rFonts w:eastAsia="Times New Roman" w:cs="Sylfaen"/>
        </w:rPr>
        <w:t>մլրդ դրամ, հանրապետություն ներմուծվող ենթաակցիզային ապրանքների հարկումից՝ 39.4</w:t>
      </w:r>
      <w:r w:rsidRPr="00DC0931">
        <w:rPr>
          <w:rFonts w:eastAsia="Times New Roman" w:cs="GHEA Grapalat"/>
          <w:color w:val="000000"/>
          <w:sz w:val="22"/>
          <w:szCs w:val="22"/>
        </w:rPr>
        <w:t xml:space="preserve"> </w:t>
      </w:r>
      <w:r w:rsidRPr="00DC0931">
        <w:rPr>
          <w:rFonts w:eastAsia="Times New Roman" w:cs="Sylfaen"/>
        </w:rPr>
        <w:t>մլրդ դրամ։ Նախորդ համադրելի ժամանակաշրջանի համեմատ ակցիզային հարկի գծով եկամուտները աճել են 0.4%-ով՝ 1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4 մլր դրամով, ինչը հիմնականում պայմանավորված է օրենսդրական փոփոխությունների արդյունքում ակցիզային հարկի դրույքաչափերի աճով և նոր դրույքաչափերի հաստատմամբ։</w:t>
      </w:r>
    </w:p>
    <w:p w14:paraId="5CA1BA9B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ind w:left="21"/>
        <w:contextualSpacing/>
        <w:jc w:val="both"/>
        <w:rPr>
          <w:rFonts w:eastAsia="Times New Roman" w:cs="Sylfaen"/>
        </w:rPr>
      </w:pPr>
    </w:p>
    <w:p w14:paraId="4380B07D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spacing w:line="256" w:lineRule="auto"/>
        <w:ind w:left="14" w:firstLine="7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4.6%-ն ապահովվել է մաքսատուրքի հաշվին` կազմելով 46.9</w:t>
      </w:r>
      <w:r w:rsidRPr="00DC0931">
        <w:rPr>
          <w:rFonts w:ascii="Calibri" w:eastAsia="Times New Roman" w:hAnsi="Calibri" w:cs="Calibri"/>
        </w:rPr>
        <w:t> </w:t>
      </w:r>
      <w:r w:rsidRPr="00DC0931">
        <w:rPr>
          <w:rFonts w:eastAsia="Times New Roman" w:cs="Sylfaen"/>
        </w:rPr>
        <w:t>մլրդ դրամ։</w:t>
      </w:r>
    </w:p>
    <w:p w14:paraId="3AFF7FA1" w14:textId="77777777" w:rsidR="00DC0931" w:rsidRPr="00DC0931" w:rsidRDefault="00DC0931" w:rsidP="00DC0931">
      <w:pPr>
        <w:tabs>
          <w:tab w:val="left" w:pos="426"/>
        </w:tabs>
        <w:ind w:left="14" w:firstLine="7"/>
        <w:contextualSpacing/>
        <w:jc w:val="both"/>
        <w:rPr>
          <w:rFonts w:eastAsia="Times New Roman" w:cs="Sylfaen"/>
        </w:rPr>
      </w:pPr>
    </w:p>
    <w:p w14:paraId="76D0239E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56" w:lineRule="auto"/>
        <w:ind w:left="14" w:firstLine="7"/>
        <w:contextualSpacing/>
        <w:rPr>
          <w:rFonts w:eastAsia="Times New Roman" w:cs="Sylfaen"/>
        </w:rPr>
      </w:pPr>
      <w:r w:rsidRPr="00DC0931">
        <w:rPr>
          <w:rFonts w:eastAsia="Times New Roman" w:cs="Sylfaen"/>
        </w:rPr>
        <w:t>1.9%</w:t>
      </w:r>
      <w:r w:rsidRPr="00DC0931">
        <w:rPr>
          <w:rFonts w:eastAsia="Times New Roman" w:cs="Sylfaen"/>
        </w:rPr>
        <w:noBreakHyphen/>
        <w:t>ը ապահովվել է շրջանառության հարկի հաշվին՝ կազմելով 19.8 մլրդ դրամ։</w:t>
      </w:r>
    </w:p>
    <w:p w14:paraId="29F36653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ind w:left="14" w:firstLine="7"/>
        <w:contextualSpacing/>
        <w:rPr>
          <w:rFonts w:eastAsia="Times New Roman" w:cs="Sylfaen"/>
        </w:rPr>
      </w:pPr>
    </w:p>
    <w:p w14:paraId="79A956CA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56" w:lineRule="auto"/>
        <w:ind w:left="14" w:firstLine="7"/>
        <w:contextualSpacing/>
        <w:rPr>
          <w:rFonts w:eastAsia="Times New Roman" w:cs="Sylfaen"/>
        </w:rPr>
      </w:pPr>
      <w:r w:rsidRPr="00DC0931">
        <w:rPr>
          <w:rFonts w:eastAsia="Times New Roman" w:cs="Sylfaen"/>
        </w:rPr>
        <w:t>1.7%-ը ապահովվել է սոցիալական վճարի հաշվին՝ կազմելով 17.4 մլրդ դրամ։</w:t>
      </w:r>
    </w:p>
    <w:p w14:paraId="70737F03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ind w:left="14" w:firstLine="7"/>
        <w:contextualSpacing/>
        <w:rPr>
          <w:rFonts w:eastAsia="Times New Roman" w:cs="Sylfaen"/>
        </w:rPr>
      </w:pPr>
    </w:p>
    <w:p w14:paraId="19DC8B35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56" w:lineRule="auto"/>
        <w:ind w:left="14" w:firstLine="7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4.0%</w:t>
      </w:r>
      <w:r w:rsidRPr="00DC0931">
        <w:rPr>
          <w:rFonts w:eastAsia="Times New Roman" w:cs="Sylfaen"/>
        </w:rPr>
        <w:noBreakHyphen/>
        <w:t>ը ապահովվել է բնապահպանական հարկի և բնօգտագործման վճարների հաշվին՝ կազմելով 41 մլրդ դրամ։</w:t>
      </w:r>
    </w:p>
    <w:p w14:paraId="3CD52022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spacing w:after="0"/>
        <w:ind w:left="14" w:firstLine="7"/>
        <w:contextualSpacing/>
        <w:jc w:val="both"/>
        <w:rPr>
          <w:rFonts w:eastAsia="Times New Roman" w:cs="Sylfaen"/>
        </w:rPr>
      </w:pPr>
    </w:p>
    <w:p w14:paraId="573E94D0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56" w:lineRule="auto"/>
        <w:ind w:left="14" w:firstLine="7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 xml:space="preserve">1.7%-ը ապահովվել է այլ հարկերի հաշվին՝ կազմելով 17.6 մլրդ դրամ, մասնավորապես` 6.4 մլրդ դրամ կազմել են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</w:t>
      </w:r>
      <w:r w:rsidRPr="00DC0931">
        <w:rPr>
          <w:rFonts w:eastAsia="Times New Roman" w:cs="Sylfaen"/>
        </w:rPr>
        <w:lastRenderedPageBreak/>
        <w:t>վճարները, 6.2 մլրդ դրամ՝ ռադիոհաճախականության օգտագործման պարտադիր վճարները,</w:t>
      </w:r>
      <w:r w:rsidRPr="00DC0931">
        <w:rPr>
          <w:rFonts w:eastAsia="Times New Roman" w:cs="Sylfaen"/>
          <w:color w:val="FF0000"/>
        </w:rPr>
        <w:t xml:space="preserve"> </w:t>
      </w:r>
      <w:r w:rsidRPr="00DC0931">
        <w:rPr>
          <w:rFonts w:eastAsia="Times New Roman" w:cs="Sylfaen"/>
        </w:rPr>
        <w:t>2.0 մլրդ դրամ՝ ճանապարհային հարկը, 0.8 մլրդ դրամ՝ ԵՏՄ անդամ չհանդիսացող պետություններից ՀՀ մաքսային մարմինների կողմից գանձվող միասնական մաքսային վճարը,</w:t>
      </w:r>
      <w:r w:rsidRPr="00DC0931">
        <w:rPr>
          <w:rFonts w:eastAsia="Times New Roman" w:cs="Sylfaen"/>
          <w:color w:val="FF0000"/>
        </w:rPr>
        <w:t xml:space="preserve"> </w:t>
      </w:r>
      <w:r w:rsidRPr="00DC0931">
        <w:rPr>
          <w:rFonts w:eastAsia="Times New Roman" w:cs="Sylfaen"/>
        </w:rPr>
        <w:t>0.6</w:t>
      </w:r>
      <w:r w:rsidRPr="00DC0931">
        <w:rPr>
          <w:rFonts w:ascii="Calibri" w:eastAsia="Times New Roman" w:hAnsi="Calibri" w:cs="Calibri"/>
        </w:rPr>
        <w:t> </w:t>
      </w:r>
      <w:r w:rsidRPr="00DC0931">
        <w:rPr>
          <w:rFonts w:eastAsia="Times New Roman" w:cs="Sylfaen"/>
        </w:rPr>
        <w:t>մլրդ. դրամ՝ հանրային ծառայությունների կարգավորման պարտադիր վճարները,</w:t>
      </w:r>
      <w:r w:rsidRPr="00DC0931">
        <w:rPr>
          <w:rFonts w:eastAsia="Times New Roman" w:cs="Sylfaen"/>
          <w:color w:val="FF0000"/>
        </w:rPr>
        <w:t xml:space="preserve"> </w:t>
      </w:r>
      <w:r w:rsidRPr="00DC0931">
        <w:rPr>
          <w:rFonts w:eastAsia="Times New Roman" w:cs="Sylfaen"/>
        </w:rPr>
        <w:t>38.1 մլն դրամ՝ արտոնագրային հարկը:</w:t>
      </w:r>
    </w:p>
    <w:p w14:paraId="16DFCEF3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ind w:left="49"/>
        <w:contextualSpacing/>
        <w:jc w:val="both"/>
        <w:rPr>
          <w:rFonts w:eastAsia="Times New Roman" w:cs="Sylfaen"/>
        </w:rPr>
      </w:pPr>
    </w:p>
    <w:p w14:paraId="2312FC86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spacing w:line="256" w:lineRule="auto"/>
        <w:ind w:left="0" w:firstLine="0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Հաշվետու ժամանակահատվածում հարկերի անցումային գերավճարից միասնական հաշիվ փոխանցված գումարը կազմել է 307.7 մլն դրամ:</w:t>
      </w:r>
    </w:p>
    <w:p w14:paraId="2A6E55A8" w14:textId="77777777" w:rsidR="00DC0931" w:rsidRPr="00DC0931" w:rsidRDefault="00DC0931" w:rsidP="00DC0931">
      <w:pPr>
        <w:tabs>
          <w:tab w:val="left" w:pos="426"/>
        </w:tabs>
        <w:contextualSpacing/>
        <w:jc w:val="both"/>
        <w:rPr>
          <w:rFonts w:eastAsia="Times New Roman" w:cs="Sylfaen"/>
        </w:rPr>
      </w:pPr>
    </w:p>
    <w:p w14:paraId="65D8D19D" w14:textId="77777777" w:rsidR="00DC0931" w:rsidRPr="00DC0931" w:rsidRDefault="00DC0931" w:rsidP="00DC093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56" w:lineRule="auto"/>
        <w:ind w:left="42" w:hanging="7"/>
        <w:contextualSpacing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2.2%</w:t>
      </w:r>
      <w:r w:rsidRPr="00DC0931">
        <w:rPr>
          <w:rFonts w:eastAsia="Times New Roman" w:cs="Sylfaen"/>
        </w:rPr>
        <w:noBreakHyphen/>
        <w:t>ը ապահովվել է պետական տուրքերի հաշվին՝ կազմելով 22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6 մլրդ դրամ։ Վճարված պետական տուրքերը կազմել են հաշվետու ժամանակաշրջանի ծրագրային ցուցանիշի 64.7%</w:t>
      </w:r>
      <w:r w:rsidRPr="00DC0931">
        <w:rPr>
          <w:rFonts w:eastAsia="Times New Roman" w:cs="Sylfaen"/>
        </w:rPr>
        <w:noBreakHyphen/>
        <w:t>ը: Շեղումը հիմնականում պայմանավորված է օրենքով սահմանված այլ ծառայությունների և գործողությունների ու լիցենզավորման ենթակա գործունեություն իրականացնելու նպատակով լիցենզիաներ, արտոնագրեր (թույլտվություններ) տալու համար սահմանված պետական տուրքերի կատարողականով: Բացի այդ, ցածր կատարողական է արձանագրվել նաև պետական գրանցման և ֆիզիկական անձանց տրվող իրավաբանական նշանակություն ունեցող փաստաթղթերի, որոշակի ծառայությունների կամ գործողությունների համար սահմանված պետական տուրքերի գծով։</w:t>
      </w:r>
    </w:p>
    <w:p w14:paraId="49EE6E18" w14:textId="77777777" w:rsidR="00DC0931" w:rsidRPr="00DC0931" w:rsidRDefault="00DC0931" w:rsidP="00DC0931">
      <w:pPr>
        <w:autoSpaceDE w:val="0"/>
        <w:autoSpaceDN w:val="0"/>
        <w:adjustRightInd w:val="0"/>
        <w:ind w:firstLine="567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2019 թվականի ինն ամիսների համեմատ պետական տուրքի գծով բյուջեի մուտքերը նվազել են 24.6%</w:t>
      </w:r>
      <w:r w:rsidRPr="00DC0931">
        <w:rPr>
          <w:rFonts w:eastAsia="Times New Roman" w:cs="Sylfaen"/>
        </w:rPr>
        <w:noBreakHyphen/>
        <w:t>ով կամ 7.4 մլրդ</w:t>
      </w:r>
      <w:r w:rsidRPr="00DC0931">
        <w:rPr>
          <w:rFonts w:ascii="Calibri" w:eastAsia="Times New Roman" w:hAnsi="Calibri" w:cs="Calibri"/>
        </w:rPr>
        <w:t> </w:t>
      </w:r>
      <w:r w:rsidRPr="00DC0931">
        <w:rPr>
          <w:rFonts w:eastAsia="Times New Roman" w:cs="Sylfaen"/>
        </w:rPr>
        <w:t>դրամով, որը հիմնականում պայմանավորված է օրենքով սահմանված այլ ծառայությունների և գործողությունների, պետական գրանցման, ինչպես նաև ֆիզիկական անձանց տրվող իրավաբանական նշանակություն ունեցող փաստաթղթերի, որոշակի ծառայությունների կամ գործողությունների համար գանձված տուրքերի նվազմամբ: Նախորդ տարվա նույն ժամանակահատվածի համեմատ աճ է արձանագրվել լիցենզավորման ենթակա գործունեություն իրականացնելու նպատակով լիցենզիաներ, արտոնագրեր (թույլտվություններ) տալու համար գանձվող տուրքերի գծով, որոնք 29.2%-ով կամ 1.7 մլրդ դրամով գերազանցել են նախորդ տարվա նույն ժամանակահատվածի ցուցանիշը:</w:t>
      </w:r>
    </w:p>
    <w:p w14:paraId="5B02646F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Մասնավորապես` ավելի քան 7.8 մլրդ դրամ են կազմել օրենքով սահմանված այլ ծառայությունների և գործողությունների, 7</w:t>
      </w:r>
      <w:r w:rsidRPr="00DC0931">
        <w:rPr>
          <w:rFonts w:eastAsia="Times New Roman" w:cs="Cambria Math"/>
        </w:rPr>
        <w:t>.</w:t>
      </w:r>
      <w:r w:rsidRPr="00DC0931">
        <w:rPr>
          <w:rFonts w:eastAsia="Times New Roman" w:cs="Sylfaen"/>
        </w:rPr>
        <w:t>5 մլրդ դրամ՝ լիցենզավորման ենթակա գործունեություն իրականացնելու նպատակով լիցենզիաներ ու արտոնագրեր (թույլտվություններ) տալու և շուրջ 3</w:t>
      </w:r>
      <w:r w:rsidRPr="00DC0931">
        <w:rPr>
          <w:rFonts w:eastAsia="Times New Roman" w:cs="Cambria Math"/>
        </w:rPr>
        <w:t>.</w:t>
      </w:r>
      <w:r w:rsidRPr="00DC0931">
        <w:rPr>
          <w:rFonts w:eastAsia="Times New Roman" w:cs="Sylfaen"/>
        </w:rPr>
        <w:t>3 մլրդ դրամ՝ պետական գրանցման համար գանձվող տուրքերը:</w:t>
      </w:r>
    </w:p>
    <w:p w14:paraId="05D3EEBD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 xml:space="preserve">Նախորդ տարվա նույն ժամանակահատվածի համեմատ աճել են նաև բանկային և ֆինանսավարկային կազմակերպությունների ու տրանսպորտի բնագավառներում </w:t>
      </w:r>
      <w:r w:rsidRPr="00DC0931">
        <w:rPr>
          <w:rFonts w:eastAsia="Times New Roman" w:cs="Sylfaen"/>
        </w:rPr>
        <w:lastRenderedPageBreak/>
        <w:t>լիցենզավորման համար գանձվող տուրքերը՝ կազմելով համապատասխանաբար 7.3 անգամ (820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5 մլն դրամով) և 7.3 անգամ (388.8 մլն դրամով):</w:t>
      </w:r>
    </w:p>
    <w:p w14:paraId="2E7A782B" w14:textId="77777777" w:rsidR="00DC0931" w:rsidRPr="00DC0931" w:rsidRDefault="00DC0931" w:rsidP="00DC0931">
      <w:pPr>
        <w:tabs>
          <w:tab w:val="left" w:pos="426"/>
        </w:tabs>
        <w:autoSpaceDE w:val="0"/>
        <w:autoSpaceDN w:val="0"/>
        <w:adjustRightInd w:val="0"/>
        <w:spacing w:after="0"/>
        <w:ind w:left="42"/>
        <w:jc w:val="both"/>
        <w:rPr>
          <w:rFonts w:eastAsia="Times New Roman" w:cs="Sylfaen"/>
        </w:rPr>
      </w:pPr>
    </w:p>
    <w:p w14:paraId="2B60C33E" w14:textId="77777777" w:rsidR="00DC0931" w:rsidRPr="00DC0931" w:rsidRDefault="00DC0931" w:rsidP="00DC0931">
      <w:pPr>
        <w:spacing w:after="0"/>
        <w:ind w:firstLine="567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Համաձայն ՀՀ ՊԵԿ կողմից հրապարակված հաշվետվությունների, ՊԵԿ կողմից հաստատված եզրակացությունների համաձայն 2020թ. ինն ամիսների և նախորդ համադրելի ժամանակաշրջանի ԱԱՀ-ի զրոյական դրույքաչափով հարկվող գործարքներից առաջացած ԱԱՀ-ի փոխհատուցվող գումարի, բյուջեից հաշվանցման ենթակա ԱԱՀ գումարի գծով միասնական հաշվին մուտքագրված (այդ թվում հարկային ուսումնասիրությունների արդյունքում) և ԱԱՀ-ի վերադարձի (Tax free) հաշիվներով վերադարձված գումարների, ինչպես նաև վարկառուներին և համավարկառուներին հիպոտեկային վարկի սպասարկման համար վճարվող տոկոսների գծով համադրելի ցուցանիշները հետևյալն են՝</w:t>
      </w:r>
    </w:p>
    <w:p w14:paraId="3A2EEF26" w14:textId="77777777" w:rsidR="00DC0931" w:rsidRPr="00DC0931" w:rsidRDefault="00DC0931" w:rsidP="00DC0931">
      <w:pPr>
        <w:rPr>
          <w:rFonts w:eastAsia="Times New Roman" w:cs="Sylfaen"/>
        </w:rPr>
      </w:pPr>
    </w:p>
    <w:p w14:paraId="3599658A" w14:textId="77777777" w:rsidR="00DC0931" w:rsidRPr="00DC0931" w:rsidRDefault="00DC0931" w:rsidP="00D34ECC">
      <w:pPr>
        <w:spacing w:after="0"/>
        <w:ind w:left="7920" w:firstLine="18"/>
        <w:jc w:val="right"/>
        <w:rPr>
          <w:rFonts w:eastAsia="Times New Roman" w:cs="Sylfaen"/>
        </w:rPr>
      </w:pPr>
      <w:r w:rsidRPr="00DC0931">
        <w:rPr>
          <w:rFonts w:eastAsia="Times New Roman" w:cs="Times New Roman"/>
          <w:sz w:val="22"/>
          <w:szCs w:val="22"/>
          <w:lang w:val="en-US"/>
        </w:rPr>
        <w:t>(</w:t>
      </w:r>
      <w:proofErr w:type="spellStart"/>
      <w:r w:rsidRPr="00DC0931">
        <w:rPr>
          <w:rFonts w:eastAsia="Times New Roman" w:cs="Times New Roman"/>
          <w:sz w:val="22"/>
          <w:szCs w:val="22"/>
          <w:lang w:val="en-US"/>
        </w:rPr>
        <w:t>Աղյուսակ</w:t>
      </w:r>
      <w:proofErr w:type="spellEnd"/>
      <w:r w:rsidRPr="00DC0931"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DC0931">
        <w:rPr>
          <w:rFonts w:eastAsia="Times New Roman" w:cs="Times New Roman"/>
          <w:sz w:val="22"/>
          <w:szCs w:val="22"/>
        </w:rPr>
        <w:t>4</w:t>
      </w:r>
      <w:r w:rsidRPr="00DC0931">
        <w:rPr>
          <w:rFonts w:eastAsia="Times New Roman" w:cs="Times New Roman"/>
          <w:sz w:val="22"/>
          <w:szCs w:val="22"/>
          <w:lang w:val="en-US"/>
        </w:rPr>
        <w:t>)</w:t>
      </w:r>
    </w:p>
    <w:p w14:paraId="58D925B7" w14:textId="77777777" w:rsidR="00DC0931" w:rsidRPr="00DC0931" w:rsidRDefault="00DC0931" w:rsidP="00DC0931">
      <w:pPr>
        <w:spacing w:after="0"/>
        <w:ind w:right="234"/>
        <w:jc w:val="right"/>
        <w:rPr>
          <w:rFonts w:eastAsia="Times New Roman" w:cs="Sylfaen"/>
        </w:rPr>
      </w:pPr>
      <w:r w:rsidRPr="00DC0931">
        <w:rPr>
          <w:rFonts w:eastAsia="Times New Roman" w:cs="Sylfaen"/>
          <w:sz w:val="22"/>
          <w:szCs w:val="22"/>
        </w:rPr>
        <w:t>մլն.դրամ</w:t>
      </w:r>
    </w:p>
    <w:tbl>
      <w:tblPr>
        <w:tblW w:w="9991" w:type="dxa"/>
        <w:tblLook w:val="04A0" w:firstRow="1" w:lastRow="0" w:firstColumn="1" w:lastColumn="0" w:noHBand="0" w:noVBand="1"/>
      </w:tblPr>
      <w:tblGrid>
        <w:gridCol w:w="720"/>
        <w:gridCol w:w="5371"/>
        <w:gridCol w:w="1540"/>
        <w:gridCol w:w="1501"/>
        <w:gridCol w:w="859"/>
      </w:tblGrid>
      <w:tr w:rsidR="00DC0931" w:rsidRPr="00DC0931" w14:paraId="67E16491" w14:textId="77777777" w:rsidTr="00DC0931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8BB5E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Հ/Հ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CF7B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Ցուցանիշ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5C5B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20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19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թ.</w:t>
            </w:r>
            <w:r w:rsidRPr="00DC09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CB26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2020թ.</w:t>
            </w:r>
          </w:p>
        </w:tc>
      </w:tr>
      <w:tr w:rsidR="00DC0931" w:rsidRPr="00DC0931" w14:paraId="7B3E17CC" w14:textId="77777777" w:rsidTr="00DC0931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00DE" w14:textId="77777777" w:rsidR="00DC0931" w:rsidRPr="00DC0931" w:rsidRDefault="00DC0931" w:rsidP="00DC0931">
            <w:pPr>
              <w:spacing w:after="0" w:line="256" w:lineRule="auto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798" w14:textId="77777777" w:rsidR="00DC0931" w:rsidRPr="00DC0931" w:rsidRDefault="00DC0931" w:rsidP="00DC0931">
            <w:pPr>
              <w:spacing w:after="0" w:line="256" w:lineRule="auto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FEF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Հունվար-սեպտեմբեր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B814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proofErr w:type="spellStart"/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Հունվար-սեպտեմբեր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A962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Աճի</w:t>
            </w:r>
            <w:proofErr w:type="spellEnd"/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տեմպ</w:t>
            </w:r>
            <w:proofErr w:type="spellEnd"/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 xml:space="preserve"> %</w:t>
            </w:r>
          </w:p>
        </w:tc>
      </w:tr>
      <w:tr w:rsidR="00DC0931" w:rsidRPr="00DC0931" w14:paraId="271870B0" w14:textId="77777777" w:rsidTr="00DC09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EF6A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6430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657E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8DB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1B9E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C0931" w:rsidRPr="00DC0931" w14:paraId="6B2B9B21" w14:textId="77777777" w:rsidTr="00DC0931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7E62D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4F2D" w14:textId="77777777" w:rsidR="00DC0931" w:rsidRPr="00DC0931" w:rsidRDefault="00DC0931" w:rsidP="00DC0931">
            <w:pPr>
              <w:spacing w:after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ԱԱՀ-ի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զրոյական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դրույքաչափով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հարկվող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գործարքներից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առաջացած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ԱԱՀ-ի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փոխհատուցված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գումար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2A85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6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0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,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108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FA80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5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6,04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3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AD3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93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.2</w:t>
            </w:r>
          </w:p>
        </w:tc>
      </w:tr>
      <w:tr w:rsidR="00DC0931" w:rsidRPr="00DC0931" w14:paraId="14191FA4" w14:textId="77777777" w:rsidTr="00DC0931">
        <w:trPr>
          <w:trHeight w:val="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3402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DD50" w14:textId="77777777" w:rsidR="00DC0931" w:rsidRPr="00DC0931" w:rsidRDefault="00DC0931" w:rsidP="00DC0931">
            <w:pPr>
              <w:spacing w:after="0"/>
              <w:rPr>
                <w:rFonts w:eastAsia="Times New Roman" w:cs="Arial"/>
                <w:sz w:val="22"/>
                <w:szCs w:val="22"/>
                <w:lang w:val="en-US"/>
              </w:rPr>
            </w:pP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Հաշվետու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կիսամյակին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եռամսյակին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հաջորդող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ամսվա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21-ի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դրությամբ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ԱԱՀ-ի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փոխհատուցվող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գումարի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գծով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ինչպես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նաև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ՀՀ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հարկային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օրենսգրքի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457-րդ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հոդվածի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7-րդ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մասով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սահմանված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հաշվետու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կիսամյակին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հաջորդող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ամսվա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21-ի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դրությամբ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բյուջեից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հաշվանցման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ենթակա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ԱԱՀ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գումարի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գծով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միասնական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հաշվին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մուտքագրված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գումար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FC7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21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,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076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26C3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31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,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ru-RU"/>
              </w:rPr>
              <w:t>947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F641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151.6</w:t>
            </w:r>
          </w:p>
        </w:tc>
      </w:tr>
      <w:tr w:rsidR="00DC0931" w:rsidRPr="00DC0931" w14:paraId="0CAAC73D" w14:textId="77777777" w:rsidTr="00DC0931">
        <w:trPr>
          <w:trHeight w:val="1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F8C2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8922" w14:textId="77777777" w:rsidR="00DC0931" w:rsidRPr="00DC0931" w:rsidRDefault="00DC0931" w:rsidP="00DC0931">
            <w:pPr>
              <w:spacing w:after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ԱԱՀ-ի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վերադարձի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(Tax free)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հաշիվներով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ՀՀ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տարածքում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վճարված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ԱԱՀ-ի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վերադարձված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գումար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DCC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587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8A39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174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454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29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DC0931" w:rsidRPr="00DC0931" w14:paraId="7ABCBC34" w14:textId="77777777" w:rsidTr="00DC0931">
        <w:trPr>
          <w:trHeight w:val="1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A3825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3C5" w14:textId="77777777" w:rsidR="00DC0931" w:rsidRPr="00DC0931" w:rsidRDefault="00DC0931" w:rsidP="00DC0931">
            <w:pPr>
              <w:spacing w:after="0"/>
              <w:rPr>
                <w:rFonts w:eastAsia="Times New Roman" w:cs="Arial"/>
                <w:sz w:val="22"/>
                <w:szCs w:val="22"/>
                <w:lang w:val="en-US"/>
              </w:rPr>
            </w:pP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Վարկառուներին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համավարկառուներին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հիպոտեկային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վարկի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սպասարկման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համար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վճարվող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տոկոսների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գծով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ՀՀ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ֆինանսների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նախարարություն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ներկայացված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վճարման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հանձնարարականների</w:t>
            </w:r>
            <w:proofErr w:type="spellEnd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31">
              <w:rPr>
                <w:rFonts w:eastAsia="Times New Roman" w:cs="Arial"/>
                <w:sz w:val="22"/>
                <w:szCs w:val="22"/>
                <w:lang w:val="en-US"/>
              </w:rPr>
              <w:t>հանրագումար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C7A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5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,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450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2AFA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9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,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330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9DA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171.2</w:t>
            </w:r>
          </w:p>
        </w:tc>
      </w:tr>
      <w:tr w:rsidR="00DC0931" w:rsidRPr="00DC0931" w14:paraId="202DAACC" w14:textId="77777777" w:rsidTr="00DC093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D063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02A3" w14:textId="77777777" w:rsidR="00DC0931" w:rsidRPr="00DC0931" w:rsidRDefault="00DC0931" w:rsidP="00DC0931">
            <w:pPr>
              <w:spacing w:after="0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150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87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,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222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BC561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97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,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495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</w:rPr>
              <w:t>.</w:t>
            </w: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E769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C0931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111.8</w:t>
            </w:r>
          </w:p>
        </w:tc>
      </w:tr>
    </w:tbl>
    <w:p w14:paraId="12FE0D22" w14:textId="77777777" w:rsidR="00DC0931" w:rsidRPr="00DC0931" w:rsidRDefault="00DC0931" w:rsidP="00DC0931">
      <w:pPr>
        <w:rPr>
          <w:rFonts w:eastAsia="Times New Roman" w:cs="Sylfaen"/>
        </w:rPr>
      </w:pPr>
    </w:p>
    <w:p w14:paraId="374A8D98" w14:textId="77777777" w:rsidR="00DC0931" w:rsidRPr="00DC0931" w:rsidRDefault="00DC0931" w:rsidP="00DC0931">
      <w:pPr>
        <w:ind w:firstLine="567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2020թ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 xml:space="preserve"> ինն ամիսներում ԱԱՀ-ի զրոյական դրույքաչափով հարկվող գործարքներից առաջացած ԱԱՀ-ի փոխհատուցված գումարները կազմել են 56,043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0 մլն դրամ, որը նախորդ համադրելի ժամանակաշրջանի ցուցանիշից պակաս է 6.8 տոկոսով, իսկ բյուջեից հաշվանցման ենթակա ԱԱՀ գումարի գծով միասնական հաշվին մուտքագրված գումարը նախորդ համադրելի ժամանակաշրջանի համեմատ ավելի է 51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6 տոկոսով։ ԱԱՀ-ի վերադարձի հաշիվներով ՀՀ տարածքում վճարված ԱԱՀ-ի վերադարձված գումարը նախորդ համադրելի ժամանակաշրջանի համեմատ նվազել են 70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2 տոկոսով, ինչը հիմնականում պայմանավորված է COVID-19-ի հանգամանքով։</w:t>
      </w:r>
    </w:p>
    <w:p w14:paraId="4226DB8E" w14:textId="77777777" w:rsidR="00DC0931" w:rsidRPr="00DC0931" w:rsidRDefault="00DC0931" w:rsidP="00DC0931">
      <w:pPr>
        <w:ind w:firstLine="567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Վարկառուներին և համավարկառուներին հիպոտեկային վարկի սպասարկման համար վճարվող տոկոսների գումարը նախորդ համադրելի ժամանակաշրջանի համեմատ աճել է 71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>2 տոկոսով։</w:t>
      </w:r>
    </w:p>
    <w:p w14:paraId="67C1C088" w14:textId="77777777" w:rsidR="00DC0931" w:rsidRPr="00DC0931" w:rsidRDefault="00DC0931" w:rsidP="00DC0931">
      <w:pPr>
        <w:rPr>
          <w:rFonts w:eastAsia="Times New Roman" w:cs="Sylfaen"/>
        </w:rPr>
      </w:pPr>
    </w:p>
    <w:p w14:paraId="0F041B78" w14:textId="77777777" w:rsidR="00DC0931" w:rsidRPr="00DC0931" w:rsidRDefault="00DC0931" w:rsidP="00DC0931">
      <w:pPr>
        <w:ind w:firstLine="567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2020 թվականի ինն ամիսներում ՊԵԿ կողմից վերահսկվող եկամուտների մասով ՀՀ պետական բյուջե վճարված հարկային եկամուտներն ու պետական տուրքերն ըստ եկամտային հաշիվների և ծախսային ուղղությունների հետևյալն է.</w:t>
      </w:r>
    </w:p>
    <w:p w14:paraId="79B93152" w14:textId="77777777" w:rsidR="00DC0931" w:rsidRPr="00DC0931" w:rsidRDefault="00DC0931" w:rsidP="00845703">
      <w:pPr>
        <w:spacing w:after="0"/>
        <w:ind w:left="7920" w:firstLine="18"/>
        <w:jc w:val="right"/>
        <w:rPr>
          <w:rFonts w:eastAsia="Times New Roman" w:cs="Sylfaen"/>
        </w:rPr>
      </w:pPr>
      <w:r w:rsidRPr="00DC0931">
        <w:rPr>
          <w:rFonts w:eastAsia="Times New Roman" w:cs="Times New Roman"/>
          <w:sz w:val="22"/>
          <w:szCs w:val="22"/>
        </w:rPr>
        <w:t>(Աղյուսակ 5)</w:t>
      </w:r>
    </w:p>
    <w:p w14:paraId="50A61305" w14:textId="47D156CD" w:rsidR="00DC0931" w:rsidRPr="00DC0931" w:rsidRDefault="00DC0931" w:rsidP="00DC0931">
      <w:pPr>
        <w:spacing w:after="0"/>
        <w:rPr>
          <w:rFonts w:eastAsia="Times New Roman" w:cs="Sylfaen"/>
        </w:rPr>
      </w:pPr>
      <w:r w:rsidRPr="00DC0931">
        <w:rPr>
          <w:rFonts w:eastAsia="Times New Roman" w:cs="Sylfaen"/>
        </w:rPr>
        <w:t>Բյուջե մուտքերն ըստ եկամտային հաշիվների.</w:t>
      </w:r>
      <w:r w:rsidRPr="00DC0931">
        <w:rPr>
          <w:rFonts w:eastAsia="Times New Roman" w:cs="Sylfaen"/>
        </w:rPr>
        <w:tab/>
      </w:r>
      <w:r w:rsidRPr="00DC0931">
        <w:rPr>
          <w:rFonts w:eastAsia="Times New Roman" w:cs="Sylfaen"/>
        </w:rPr>
        <w:tab/>
      </w:r>
      <w:r w:rsidRPr="00DC0931">
        <w:rPr>
          <w:rFonts w:eastAsia="Times New Roman" w:cs="Sylfaen"/>
        </w:rPr>
        <w:tab/>
      </w:r>
      <w:r w:rsidRPr="00DC0931">
        <w:rPr>
          <w:rFonts w:eastAsia="Times New Roman" w:cs="Sylfaen"/>
        </w:rPr>
        <w:tab/>
      </w:r>
      <w:r w:rsidR="00845703" w:rsidRPr="006434F9">
        <w:rPr>
          <w:rFonts w:eastAsia="Times New Roman" w:cs="Sylfaen"/>
        </w:rPr>
        <w:t xml:space="preserve">        </w:t>
      </w:r>
      <w:r w:rsidRPr="00DC0931">
        <w:rPr>
          <w:rFonts w:eastAsia="Times New Roman" w:cs="Sylfaen"/>
          <w:sz w:val="22"/>
          <w:szCs w:val="22"/>
        </w:rPr>
        <w:t xml:space="preserve"> հազ. դրամ</w:t>
      </w:r>
    </w:p>
    <w:tbl>
      <w:tblPr>
        <w:tblW w:w="10177" w:type="dxa"/>
        <w:tblLook w:val="04A0" w:firstRow="1" w:lastRow="0" w:firstColumn="1" w:lastColumn="0" w:noHBand="0" w:noVBand="1"/>
      </w:tblPr>
      <w:tblGrid>
        <w:gridCol w:w="2785"/>
        <w:gridCol w:w="1800"/>
        <w:gridCol w:w="2052"/>
        <w:gridCol w:w="1835"/>
        <w:gridCol w:w="1705"/>
      </w:tblGrid>
      <w:tr w:rsidR="00DC0931" w:rsidRPr="00DC0931" w14:paraId="6E3064AD" w14:textId="77777777" w:rsidTr="00DC0931">
        <w:trPr>
          <w:trHeight w:val="138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86F4" w14:textId="77777777" w:rsidR="00DC0931" w:rsidRPr="00DC0931" w:rsidRDefault="00DC0931" w:rsidP="00DC0931">
            <w:pPr>
              <w:spacing w:after="0" w:line="240" w:lineRule="auto"/>
              <w:ind w:left="-75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Ժամանակահատված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F3D8" w14:textId="77777777" w:rsidR="00DC0931" w:rsidRPr="00DC0931" w:rsidRDefault="00DC0931" w:rsidP="00DC0931">
            <w:pPr>
              <w:spacing w:after="0" w:line="240" w:lineRule="auto"/>
              <w:ind w:left="-5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Հարկերի միասնական հաշվից բյուջե մուտքե</w:t>
            </w:r>
            <w:r w:rsidRPr="00DC0931">
              <w:rPr>
                <w:rFonts w:eastAsia="Times New Roman" w:cs="Arial"/>
                <w:b/>
                <w:lang w:eastAsia="ru-RU"/>
              </w:rPr>
              <w:t>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5799" w14:textId="77777777" w:rsidR="00DC0931" w:rsidRPr="00DC0931" w:rsidRDefault="00DC0931" w:rsidP="00DC0931">
            <w:pPr>
              <w:spacing w:after="0" w:line="240" w:lineRule="auto"/>
              <w:ind w:left="-89" w:right="-6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Այլ հաշիվներից բյուջե հարկային մուտքեր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4FEA" w14:textId="77777777" w:rsidR="00DC0931" w:rsidRPr="00DC0931" w:rsidRDefault="00DC0931" w:rsidP="00DC0931">
            <w:pPr>
              <w:spacing w:after="0" w:line="240" w:lineRule="auto"/>
              <w:ind w:left="-92" w:right="-12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Մաքսային ծառայության կողմից գանձված գումարնե</w:t>
            </w:r>
            <w:r w:rsidRPr="00DC0931">
              <w:rPr>
                <w:rFonts w:eastAsia="Times New Roman" w:cs="Arial"/>
                <w:b/>
                <w:lang w:eastAsia="ru-RU"/>
              </w:rPr>
              <w:t>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9ADA" w14:textId="77777777" w:rsidR="00DC0931" w:rsidRPr="00DC0931" w:rsidRDefault="00DC0931" w:rsidP="00DC0931">
            <w:pPr>
              <w:tabs>
                <w:tab w:val="left" w:pos="1502"/>
              </w:tabs>
              <w:spacing w:after="0" w:line="240" w:lineRule="auto"/>
              <w:ind w:left="-29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DC0931">
              <w:rPr>
                <w:rFonts w:eastAsia="Times New Roman" w:cs="Times New Roman"/>
                <w:b/>
                <w:lang w:val="ru-RU" w:eastAsia="ru-RU"/>
              </w:rPr>
              <w:t>Ընդամենը բյուջե հաշվեգրված եկամուտնե</w:t>
            </w:r>
            <w:r w:rsidRPr="00DC0931">
              <w:rPr>
                <w:rFonts w:eastAsia="Times New Roman" w:cs="Arial"/>
                <w:b/>
                <w:lang w:val="ru-RU" w:eastAsia="ru-RU"/>
              </w:rPr>
              <w:t>ր</w:t>
            </w:r>
          </w:p>
        </w:tc>
      </w:tr>
      <w:tr w:rsidR="00DC0931" w:rsidRPr="00DC0931" w14:paraId="0EB7E9A8" w14:textId="77777777" w:rsidTr="00DC0931">
        <w:trPr>
          <w:trHeight w:val="62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25A0" w14:textId="77777777" w:rsidR="00DC0931" w:rsidRPr="00007822" w:rsidRDefault="00DC0931" w:rsidP="00DC0931">
            <w:pPr>
              <w:spacing w:after="0"/>
              <w:ind w:left="-93" w:right="-60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2020թ. 9 ամիսների ընթացքում</w:t>
            </w:r>
            <w:r w:rsidRPr="00DC0931">
              <w:rPr>
                <w:rFonts w:eastAsia="Times New Roman" w:cs="GHEA Grapalat"/>
                <w:b/>
                <w:lang w:eastAsia="ru-RU"/>
              </w:rPr>
              <w:t>,</w:t>
            </w:r>
            <w:r w:rsidRPr="00DC0931">
              <w:rPr>
                <w:rFonts w:eastAsia="Times New Roman" w:cs="Times New Roman"/>
                <w:b/>
                <w:lang w:eastAsia="ru-RU"/>
              </w:rPr>
              <w:br/>
            </w:r>
            <w:r w:rsidRPr="00DC093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այդ թվում՝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50CE" w14:textId="77777777" w:rsidR="00DC0931" w:rsidRPr="00DC0931" w:rsidRDefault="00DC0931" w:rsidP="00DC0931">
            <w:pPr>
              <w:spacing w:after="0"/>
              <w:ind w:left="-122" w:right="-75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 w:rsidRPr="00DC0931">
              <w:rPr>
                <w:rFonts w:eastAsia="Times New Roman" w:cs="Times New Roman"/>
                <w:b/>
                <w:bCs/>
                <w:lang w:val="en-US"/>
              </w:rPr>
              <w:t>876,739,283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4F8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C0931">
              <w:rPr>
                <w:rFonts w:eastAsia="Times New Roman" w:cs="Times New Roman"/>
                <w:b/>
                <w:bCs/>
                <w:lang w:eastAsia="ru-RU"/>
              </w:rPr>
              <w:t>40,829,772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6888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C0931">
              <w:rPr>
                <w:rFonts w:eastAsia="Times New Roman" w:cs="Times New Roman"/>
                <w:b/>
                <w:bCs/>
                <w:lang w:eastAsia="ru-RU"/>
              </w:rPr>
              <w:t>198,978,386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0C76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b/>
                <w:bCs/>
                <w:lang w:val="en-US"/>
              </w:rPr>
              <w:t>1,116,547,437</w:t>
            </w:r>
          </w:p>
        </w:tc>
      </w:tr>
      <w:tr w:rsidR="00DC0931" w:rsidRPr="00DC0931" w14:paraId="4EFDF81D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7CE4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en-US" w:eastAsia="ru-RU"/>
              </w:rPr>
            </w:pPr>
            <w:r w:rsidRPr="00DC0931">
              <w:rPr>
                <w:rFonts w:eastAsia="Times New Roman" w:cs="Times New Roman"/>
                <w:bCs/>
                <w:lang w:val="ru-RU" w:eastAsia="ru-RU"/>
              </w:rPr>
              <w:t>Հունվար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0CC5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133,445,780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DC885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5,965,293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5FD2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21,214,740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2DC66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160,625,812</w:t>
            </w:r>
          </w:p>
        </w:tc>
      </w:tr>
      <w:tr w:rsidR="00DC0931" w:rsidRPr="00DC0931" w14:paraId="784FE627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602F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en-US" w:eastAsia="ru-RU"/>
              </w:rPr>
            </w:pPr>
            <w:r w:rsidRPr="00DC0931">
              <w:rPr>
                <w:rFonts w:eastAsia="Times New Roman" w:cs="Times New Roman"/>
                <w:bCs/>
                <w:lang w:val="ru-RU" w:eastAsia="ru-RU"/>
              </w:rPr>
              <w:t>Փետրվար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A90EB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67,231,843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6306E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4,352,3</w:t>
            </w:r>
            <w:r w:rsidRPr="00DC0931">
              <w:rPr>
                <w:rFonts w:eastAsia="Times New Roman" w:cs="Times New Roman"/>
                <w:lang w:val="ru-RU" w:eastAsia="ru-RU"/>
              </w:rP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E8D9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21,001,219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DA6AB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92,585,460</w:t>
            </w:r>
          </w:p>
        </w:tc>
      </w:tr>
      <w:tr w:rsidR="00DC0931" w:rsidRPr="00DC0931" w14:paraId="712EC4E2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65EC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ru-RU" w:eastAsia="ru-RU"/>
              </w:rPr>
            </w:pPr>
            <w:r w:rsidRPr="00DC0931">
              <w:rPr>
                <w:rFonts w:eastAsia="Times New Roman" w:cs="Times New Roman"/>
                <w:bCs/>
                <w:lang w:val="ru-RU" w:eastAsia="ru-RU"/>
              </w:rPr>
              <w:t>Մարտ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BDD09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102,800,953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B74FE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5,33</w:t>
            </w:r>
            <w:r w:rsidRPr="00DC0931">
              <w:rPr>
                <w:rFonts w:eastAsia="Times New Roman" w:cs="Times New Roman"/>
                <w:lang w:eastAsia="ru-RU"/>
              </w:rPr>
              <w:t>2,003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3FC21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22,879,590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5F3F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131,012,542</w:t>
            </w:r>
          </w:p>
        </w:tc>
      </w:tr>
      <w:tr w:rsidR="00DC0931" w:rsidRPr="00DC0931" w14:paraId="1E9DAD30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F981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Ապրիլ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796D1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140,523,351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984E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4,339,032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CD402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17,688,570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E2B3E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162,550,953</w:t>
            </w:r>
          </w:p>
        </w:tc>
      </w:tr>
      <w:tr w:rsidR="00DC0931" w:rsidRPr="00DC0931" w14:paraId="23497E9C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BEBD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lastRenderedPageBreak/>
              <w:t>Մայիս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2A41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70,019,017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CF866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3,436,667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3367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16,784,319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AC1CC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90,240,003</w:t>
            </w:r>
          </w:p>
        </w:tc>
      </w:tr>
      <w:tr w:rsidR="00DC0931" w:rsidRPr="00DC0931" w14:paraId="4E592288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F5CC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Հունիս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65C1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82,146,003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845D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3,211,495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2C92A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23,819,610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C20F5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en-US"/>
              </w:rPr>
              <w:t>109,177,108</w:t>
            </w:r>
          </w:p>
        </w:tc>
      </w:tr>
      <w:tr w:rsidR="00DC0931" w:rsidRPr="00DC0931" w14:paraId="75F4EFD6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98D7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Հուլիս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A5D5B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/>
              </w:rPr>
            </w:pPr>
            <w:r w:rsidRPr="00DC0931">
              <w:rPr>
                <w:rFonts w:eastAsia="Times New Roman" w:cs="Times New Roman"/>
                <w:lang w:val="en-US"/>
              </w:rPr>
              <w:t>90,316,516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C1916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5,972,448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B6790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25,568,302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E1D7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en-US"/>
              </w:rPr>
            </w:pPr>
            <w:r w:rsidRPr="00DC0931">
              <w:rPr>
                <w:rFonts w:eastAsia="Times New Roman" w:cs="Times New Roman"/>
                <w:lang w:val="en-US"/>
              </w:rPr>
              <w:t>121,857,265</w:t>
            </w:r>
          </w:p>
        </w:tc>
      </w:tr>
      <w:tr w:rsidR="00DC0931" w:rsidRPr="00DC0931" w14:paraId="792992A5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D2F6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Օգոստոս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08B2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/>
              </w:rPr>
            </w:pPr>
            <w:r w:rsidRPr="00DC0931">
              <w:rPr>
                <w:rFonts w:eastAsia="Times New Roman" w:cs="Times New Roman"/>
                <w:lang w:val="en-US"/>
              </w:rPr>
              <w:t>80,338,748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92FE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3,580,200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FDB4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24,317,508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5BDA8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en-US"/>
              </w:rPr>
            </w:pPr>
            <w:r w:rsidRPr="00DC0931">
              <w:rPr>
                <w:rFonts w:eastAsia="Times New Roman" w:cs="Times New Roman"/>
                <w:lang w:val="en-US"/>
              </w:rPr>
              <w:t>108,236,456</w:t>
            </w:r>
          </w:p>
        </w:tc>
      </w:tr>
      <w:tr w:rsidR="00DC0931" w:rsidRPr="00DC0931" w14:paraId="7108A8C8" w14:textId="77777777" w:rsidTr="00DC0931">
        <w:trPr>
          <w:trHeight w:val="3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21F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Սեպտեմբեր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F49B" w14:textId="77777777" w:rsidR="00DC0931" w:rsidRPr="00DC0931" w:rsidRDefault="00DC0931" w:rsidP="00DC0931">
            <w:pPr>
              <w:spacing w:after="0"/>
              <w:ind w:left="-122"/>
              <w:jc w:val="center"/>
              <w:rPr>
                <w:rFonts w:eastAsia="Times New Roman" w:cs="Times New Roman"/>
                <w:lang w:val="en-US"/>
              </w:rPr>
            </w:pPr>
            <w:r w:rsidRPr="00DC0931">
              <w:rPr>
                <w:rFonts w:eastAsia="Times New Roman" w:cs="Times New Roman"/>
                <w:lang w:val="en-US"/>
              </w:rPr>
              <w:t>109,917,072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B3E1" w14:textId="77777777" w:rsidR="00DC0931" w:rsidRPr="00DC0931" w:rsidRDefault="00DC0931" w:rsidP="00DC0931">
            <w:pPr>
              <w:spacing w:after="0"/>
              <w:ind w:left="-89" w:right="-63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4,640,237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82DA" w14:textId="77777777" w:rsidR="00DC0931" w:rsidRPr="00DC0931" w:rsidRDefault="00DC0931" w:rsidP="00DC0931">
            <w:pPr>
              <w:spacing w:after="0"/>
              <w:ind w:left="-92" w:right="-123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25,704,528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39CF2" w14:textId="77777777" w:rsidR="00DC0931" w:rsidRPr="00DC0931" w:rsidRDefault="00DC0931" w:rsidP="00DC0931">
            <w:pPr>
              <w:tabs>
                <w:tab w:val="left" w:pos="1502"/>
              </w:tabs>
              <w:spacing w:after="0"/>
              <w:ind w:left="-104"/>
              <w:jc w:val="center"/>
              <w:rPr>
                <w:rFonts w:eastAsia="Times New Roman" w:cs="Times New Roman"/>
                <w:lang w:val="en-US"/>
              </w:rPr>
            </w:pPr>
            <w:r w:rsidRPr="00DC0931">
              <w:rPr>
                <w:rFonts w:eastAsia="Times New Roman" w:cs="Times New Roman"/>
                <w:lang w:val="en-US"/>
              </w:rPr>
              <w:t>140,261,837</w:t>
            </w:r>
          </w:p>
        </w:tc>
      </w:tr>
    </w:tbl>
    <w:p w14:paraId="743FFBB0" w14:textId="77777777" w:rsidR="00DC0931" w:rsidRPr="00DC0931" w:rsidRDefault="00DC0931" w:rsidP="00DC0931">
      <w:pPr>
        <w:rPr>
          <w:rFonts w:eastAsia="Times New Roman" w:cs="Sylfaen"/>
          <w:sz w:val="22"/>
          <w:szCs w:val="22"/>
          <w:lang w:val="en-US"/>
        </w:rPr>
      </w:pPr>
    </w:p>
    <w:p w14:paraId="55A78998" w14:textId="77777777" w:rsidR="00DC0931" w:rsidRPr="00DC0931" w:rsidRDefault="00DC0931" w:rsidP="00DC0931">
      <w:pPr>
        <w:rPr>
          <w:rFonts w:eastAsia="Times New Roman" w:cs="Sylfaen"/>
          <w:sz w:val="22"/>
          <w:szCs w:val="22"/>
        </w:rPr>
      </w:pPr>
      <w:r w:rsidRPr="00DC0931">
        <w:rPr>
          <w:rFonts w:eastAsia="Times New Roman" w:cs="Sylfaen"/>
          <w:sz w:val="22"/>
          <w:szCs w:val="22"/>
          <w:lang w:val="en-US"/>
        </w:rPr>
        <w:t>*</w:t>
      </w:r>
      <w:r w:rsidRPr="00DC0931">
        <w:rPr>
          <w:rFonts w:eastAsia="Times New Roman" w:cs="Sylfaen"/>
          <w:sz w:val="22"/>
          <w:szCs w:val="22"/>
        </w:rPr>
        <w:t>Հարկերի միասնական հաշվի մուտքերում հաշվի են առնվել վերահաշվարկները և ճշտումները</w:t>
      </w:r>
    </w:p>
    <w:p w14:paraId="3E2369A0" w14:textId="77777777" w:rsidR="00DC0931" w:rsidRPr="00DC0931" w:rsidRDefault="00DC0931" w:rsidP="00DC0931">
      <w:pPr>
        <w:spacing w:after="0"/>
        <w:ind w:left="7920"/>
        <w:jc w:val="right"/>
        <w:rPr>
          <w:rFonts w:eastAsia="Times New Roman" w:cs="Times New Roman"/>
          <w:sz w:val="22"/>
          <w:szCs w:val="22"/>
        </w:rPr>
      </w:pPr>
    </w:p>
    <w:p w14:paraId="1883FB66" w14:textId="77777777" w:rsidR="00FB6870" w:rsidRPr="006434F9" w:rsidRDefault="00FB6870" w:rsidP="00DC0931">
      <w:pPr>
        <w:spacing w:after="0"/>
        <w:ind w:left="7920"/>
        <w:jc w:val="right"/>
        <w:rPr>
          <w:rFonts w:eastAsia="Times New Roman" w:cs="Times New Roman"/>
          <w:sz w:val="22"/>
          <w:szCs w:val="22"/>
        </w:rPr>
      </w:pPr>
    </w:p>
    <w:p w14:paraId="6F97FA3C" w14:textId="54262447" w:rsidR="00DC0931" w:rsidRPr="00DC0931" w:rsidRDefault="00DC0931" w:rsidP="00DC0931">
      <w:pPr>
        <w:spacing w:after="0"/>
        <w:ind w:left="7920"/>
        <w:jc w:val="right"/>
        <w:rPr>
          <w:rFonts w:eastAsia="Times New Roman" w:cs="Sylfaen"/>
        </w:rPr>
      </w:pPr>
      <w:r w:rsidRPr="00DC0931">
        <w:rPr>
          <w:rFonts w:eastAsia="Times New Roman" w:cs="Times New Roman"/>
          <w:sz w:val="22"/>
          <w:szCs w:val="22"/>
        </w:rPr>
        <w:t>(Աղյուսակ 5</w:t>
      </w:r>
      <w:r w:rsidRPr="00DC0931">
        <w:rPr>
          <w:rFonts w:ascii="Cambria Math" w:eastAsia="Times New Roman" w:hAnsi="Cambria Math" w:cs="Cambria Math"/>
          <w:sz w:val="22"/>
          <w:szCs w:val="22"/>
        </w:rPr>
        <w:t>․</w:t>
      </w:r>
      <w:r w:rsidRPr="00DC0931">
        <w:rPr>
          <w:rFonts w:eastAsia="Times New Roman" w:cs="Times New Roman"/>
          <w:sz w:val="22"/>
          <w:szCs w:val="22"/>
        </w:rPr>
        <w:t>1)</w:t>
      </w:r>
    </w:p>
    <w:p w14:paraId="3467CB34" w14:textId="7907FD02" w:rsidR="00DC0931" w:rsidRPr="00DC0931" w:rsidRDefault="00DC0931" w:rsidP="00DC0931">
      <w:pPr>
        <w:rPr>
          <w:rFonts w:eastAsia="Times New Roman" w:cs="Sylfaen"/>
        </w:rPr>
      </w:pPr>
      <w:r w:rsidRPr="00DC0931">
        <w:rPr>
          <w:rFonts w:eastAsia="Times New Roman" w:cs="Sylfaen"/>
        </w:rPr>
        <w:t>Բյուջեի եկամուտներից կատարված վերադարձները.</w:t>
      </w:r>
      <w:r w:rsidRPr="00DC0931">
        <w:rPr>
          <w:rFonts w:eastAsia="Times New Roman" w:cs="Sylfaen"/>
        </w:rPr>
        <w:tab/>
      </w:r>
      <w:r w:rsidRPr="00DC0931">
        <w:rPr>
          <w:rFonts w:eastAsia="Times New Roman" w:cs="Sylfaen"/>
        </w:rPr>
        <w:tab/>
      </w:r>
      <w:r w:rsidRPr="00DC0931">
        <w:rPr>
          <w:rFonts w:eastAsia="Times New Roman" w:cs="Sylfaen"/>
        </w:rPr>
        <w:tab/>
      </w:r>
      <w:r w:rsidR="00FB6870" w:rsidRPr="006434F9">
        <w:rPr>
          <w:rFonts w:eastAsia="Times New Roman" w:cs="Sylfaen"/>
        </w:rPr>
        <w:t xml:space="preserve">    </w:t>
      </w:r>
      <w:r w:rsidRPr="00DC0931">
        <w:rPr>
          <w:rFonts w:eastAsia="Times New Roman" w:cs="Sylfaen"/>
        </w:rPr>
        <w:t xml:space="preserve">   </w:t>
      </w:r>
      <w:r w:rsidRPr="00DC0931">
        <w:rPr>
          <w:rFonts w:eastAsia="Times New Roman" w:cs="Sylfaen"/>
          <w:sz w:val="22"/>
          <w:szCs w:val="22"/>
        </w:rPr>
        <w:t>հազ. դրամ</w:t>
      </w:r>
    </w:p>
    <w:tbl>
      <w:tblPr>
        <w:tblW w:w="104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82"/>
        <w:gridCol w:w="1573"/>
        <w:gridCol w:w="1558"/>
        <w:gridCol w:w="1559"/>
        <w:gridCol w:w="1274"/>
        <w:gridCol w:w="1239"/>
        <w:gridCol w:w="1700"/>
      </w:tblGrid>
      <w:tr w:rsidR="00DC0931" w:rsidRPr="00DC0931" w14:paraId="2F54C967" w14:textId="77777777" w:rsidTr="00DC0931">
        <w:trPr>
          <w:trHeight w:val="221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6A07" w14:textId="77777777" w:rsidR="00DC0931" w:rsidRPr="00DC0931" w:rsidRDefault="00DC0931" w:rsidP="00DC09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 w:rsidRPr="00DC0931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>Ամիս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43BE" w14:textId="77777777" w:rsidR="00DC0931" w:rsidRPr="00DC0931" w:rsidRDefault="00DC0931" w:rsidP="00DC0931">
            <w:pPr>
              <w:spacing w:after="0" w:line="240" w:lineRule="auto"/>
              <w:ind w:left="-70" w:right="-57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 w:rsidRPr="00DC0931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 xml:space="preserve"> Անցումային գերավճարից վերադարձ հարկատուներին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A885" w14:textId="77777777" w:rsidR="00DC0931" w:rsidRPr="00DC0931" w:rsidRDefault="00DC0931" w:rsidP="00DC0931">
            <w:pPr>
              <w:spacing w:after="0" w:line="240" w:lineRule="auto"/>
              <w:ind w:left="-89" w:right="-6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C0931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 xml:space="preserve"> Դեբետային գերավճարից վերադարձ հարկատուներին, </w:t>
            </w:r>
            <w:r w:rsidRPr="00DC093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այդ թվում՝ ՊԵԿ եզրակացությունների համաձայն</w:t>
            </w:r>
            <w:r w:rsidRPr="00DC0931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DC093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վերադարձված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974A" w14:textId="77777777" w:rsidR="00DC0931" w:rsidRPr="00DC0931" w:rsidRDefault="00DC0931" w:rsidP="00DC0931">
            <w:pPr>
              <w:spacing w:after="0" w:line="240" w:lineRule="auto"/>
              <w:ind w:left="-66" w:right="-58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C093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Վարկառուներին հիպոտեկային վարկի սպասարկման համար վճարված տոկոսներ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A25D" w14:textId="77777777" w:rsidR="00DC0931" w:rsidRPr="00DC0931" w:rsidRDefault="00DC0931" w:rsidP="00DC0931">
            <w:pPr>
              <w:spacing w:after="0" w:line="240" w:lineRule="auto"/>
              <w:ind w:left="-74" w:right="-78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C093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ԱԱՀ-ի վերադարձ (Tax free)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843" w14:textId="77777777" w:rsidR="00DC0931" w:rsidRPr="00DC0931" w:rsidRDefault="00DC0931" w:rsidP="00DC0931">
            <w:pPr>
              <w:spacing w:after="0" w:line="240" w:lineRule="auto"/>
              <w:ind w:right="-75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 w:rsidRPr="00DC093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C0931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>Այլ ելքեր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DED7" w14:textId="77777777" w:rsidR="00DC0931" w:rsidRPr="00DC0931" w:rsidRDefault="00DC0931" w:rsidP="00DC09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 w:rsidRPr="00DC0931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>Ընդամենը հարկերից վերադարձների գումար</w:t>
            </w:r>
            <w:r w:rsidRPr="00DC0931">
              <w:rPr>
                <w:rFonts w:eastAsia="Times New Roman" w:cs="Arial"/>
                <w:b/>
                <w:sz w:val="22"/>
                <w:szCs w:val="22"/>
                <w:lang w:val="ru-RU" w:eastAsia="ru-RU"/>
              </w:rPr>
              <w:t>ը</w:t>
            </w:r>
          </w:p>
        </w:tc>
      </w:tr>
      <w:tr w:rsidR="00DC0931" w:rsidRPr="00DC0931" w14:paraId="1B35CA84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5274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ru-RU" w:eastAsia="ru-RU"/>
              </w:rPr>
            </w:pPr>
            <w:r w:rsidRPr="00DC0931">
              <w:rPr>
                <w:rFonts w:eastAsia="Times New Roman" w:cs="Times New Roman"/>
                <w:bCs/>
                <w:lang w:val="ru-RU" w:eastAsia="ru-RU"/>
              </w:rPr>
              <w:t>Հունվար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B0468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56,203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E292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13,420,945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DE3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358,516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EDD3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25,973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A82D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65,463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555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13,927,</w:t>
            </w:r>
            <w:r w:rsidRPr="00DC0931">
              <w:rPr>
                <w:rFonts w:eastAsia="Times New Roman" w:cs="Times New Roman"/>
                <w:lang w:eastAsia="ru-RU"/>
              </w:rPr>
              <w:t>100</w:t>
            </w:r>
          </w:p>
        </w:tc>
      </w:tr>
      <w:tr w:rsidR="00DC0931" w:rsidRPr="00DC0931" w14:paraId="486EBB8E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F09B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ru-RU" w:eastAsia="ru-RU"/>
              </w:rPr>
            </w:pPr>
            <w:r w:rsidRPr="00DC0931">
              <w:rPr>
                <w:rFonts w:eastAsia="Times New Roman" w:cs="Times New Roman"/>
                <w:bCs/>
                <w:lang w:val="ru-RU" w:eastAsia="ru-RU"/>
              </w:rPr>
              <w:t>Փետրվար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758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27,404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E826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5,155,686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726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2,009,365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A89B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15,212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444B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73,812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FDE44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7,281,479</w:t>
            </w:r>
          </w:p>
        </w:tc>
      </w:tr>
      <w:tr w:rsidR="00DC0931" w:rsidRPr="00DC0931" w14:paraId="67D85E67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34E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ru-RU" w:eastAsia="ru-RU"/>
              </w:rPr>
            </w:pPr>
            <w:r w:rsidRPr="00DC0931">
              <w:rPr>
                <w:rFonts w:eastAsia="Times New Roman" w:cs="Times New Roman"/>
                <w:bCs/>
                <w:lang w:val="ru-RU" w:eastAsia="ru-RU"/>
              </w:rPr>
              <w:t>Մարտ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56AE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51,140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327E8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13,429,330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A8D3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416,063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F93AD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45,022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1295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39,254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BD21D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ru-RU" w:eastAsia="ru-RU"/>
              </w:rPr>
            </w:pPr>
            <w:r w:rsidRPr="00DC0931">
              <w:rPr>
                <w:rFonts w:eastAsia="Times New Roman" w:cs="Times New Roman"/>
                <w:lang w:val="ru-RU" w:eastAsia="ru-RU"/>
              </w:rPr>
              <w:t>13,980,809</w:t>
            </w:r>
          </w:p>
        </w:tc>
      </w:tr>
      <w:tr w:rsidR="00DC0931" w:rsidRPr="00DC0931" w14:paraId="7AC13092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7446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ru-RU"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Ապրիլ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B9FFD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31,643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5871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10,172,212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D558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593,086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B7932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39,883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5400B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41,634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A768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10,878,458</w:t>
            </w:r>
          </w:p>
        </w:tc>
      </w:tr>
      <w:tr w:rsidR="00DC0931" w:rsidRPr="00DC0931" w14:paraId="7CE31C13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518A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ru-RU"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Մայիս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208C0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11,721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A3FD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5,403,687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DECAA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1,824,020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D01BD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23,650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6A2E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34,200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3B3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7,297,278</w:t>
            </w:r>
          </w:p>
        </w:tc>
      </w:tr>
      <w:tr w:rsidR="00DC0931" w:rsidRPr="00DC0931" w14:paraId="049C738F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F659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val="ru-RU"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Հունիս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F737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15,535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ADB2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11,815,858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6859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642,884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1DA4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16,648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9543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46,514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D90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val="en-US" w:eastAsia="ru-RU"/>
              </w:rPr>
            </w:pPr>
            <w:r w:rsidRPr="00DC0931">
              <w:rPr>
                <w:rFonts w:eastAsia="Times New Roman" w:cs="Times New Roman"/>
                <w:lang w:val="en-US" w:eastAsia="ru-RU"/>
              </w:rPr>
              <w:t>12,537,439</w:t>
            </w:r>
          </w:p>
        </w:tc>
      </w:tr>
      <w:tr w:rsidR="00DC0931" w:rsidRPr="00DC0931" w14:paraId="026D1ABB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F265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Հուլիս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4BE11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28,880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C86EA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11,124,959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0A43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932,559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7AD8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4,766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AA3C9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305,523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A1E66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12,396,688</w:t>
            </w:r>
          </w:p>
        </w:tc>
      </w:tr>
      <w:tr w:rsidR="00DC0931" w:rsidRPr="00DC0931" w14:paraId="3FC1346C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2C16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Օգոստոս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0BA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12,754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2F756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7,924,001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766C6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2,285,150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E8D2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1,006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AC99E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252,782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59D53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10,475,693</w:t>
            </w:r>
          </w:p>
        </w:tc>
      </w:tr>
      <w:tr w:rsidR="00DC0931" w:rsidRPr="00DC0931" w14:paraId="354C4B8F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E0B5" w14:textId="77777777" w:rsidR="00DC0931" w:rsidRPr="00DC0931" w:rsidRDefault="00DC0931" w:rsidP="00DC0931">
            <w:pPr>
              <w:spacing w:after="0"/>
              <w:rPr>
                <w:rFonts w:eastAsia="Times New Roman" w:cs="Times New Roman"/>
                <w:bCs/>
                <w:lang w:eastAsia="ru-RU"/>
              </w:rPr>
            </w:pPr>
            <w:r w:rsidRPr="00DC0931">
              <w:rPr>
                <w:rFonts w:eastAsia="Times New Roman" w:cs="Times New Roman"/>
                <w:bCs/>
                <w:lang w:eastAsia="ru-RU"/>
              </w:rPr>
              <w:t>Սեպտեմբեր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D78EA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72,414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477E9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10,240,939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8E363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260,223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81A37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2,698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2943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435,327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9CFC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DC0931">
              <w:rPr>
                <w:rFonts w:eastAsia="Times New Roman" w:cs="Times New Roman"/>
                <w:lang w:eastAsia="ru-RU"/>
              </w:rPr>
              <w:t>11,011,054</w:t>
            </w:r>
          </w:p>
        </w:tc>
      </w:tr>
      <w:tr w:rsidR="00DC0931" w:rsidRPr="00DC0931" w14:paraId="13E73B91" w14:textId="77777777" w:rsidTr="00DC0931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88E3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Ընդամենը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F416F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307,694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1869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88,687,071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B7339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9,321,865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2DF1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174,857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6764" w14:textId="77777777" w:rsidR="00DC0931" w:rsidRPr="00DC0931" w:rsidRDefault="00DC0931" w:rsidP="00DC0931">
            <w:pPr>
              <w:spacing w:after="0"/>
              <w:ind w:left="-112" w:right="-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1,294,508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E5672" w14:textId="77777777" w:rsidR="00DC0931" w:rsidRPr="00DC0931" w:rsidRDefault="00DC0931" w:rsidP="00DC0931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C0931">
              <w:rPr>
                <w:rFonts w:eastAsia="Times New Roman" w:cs="Times New Roman"/>
                <w:b/>
                <w:lang w:eastAsia="ru-RU"/>
              </w:rPr>
              <w:t>99,785,998</w:t>
            </w:r>
          </w:p>
        </w:tc>
      </w:tr>
    </w:tbl>
    <w:p w14:paraId="28E4EF96" w14:textId="77777777" w:rsidR="00DC0931" w:rsidRPr="00DC0931" w:rsidRDefault="00DC0931" w:rsidP="00DC0931">
      <w:pPr>
        <w:rPr>
          <w:rFonts w:eastAsia="Times New Roman" w:cs="Sylfaen"/>
        </w:rPr>
      </w:pPr>
    </w:p>
    <w:p w14:paraId="71C81306" w14:textId="77777777" w:rsidR="00DC0931" w:rsidRPr="00DC0931" w:rsidRDefault="00DC0931" w:rsidP="00DC0931">
      <w:pPr>
        <w:spacing w:after="0"/>
        <w:jc w:val="both"/>
        <w:rPr>
          <w:rFonts w:eastAsia="Times New Roman" w:cs="Sylfaen"/>
        </w:rPr>
      </w:pPr>
      <w:r w:rsidRPr="00DC0931">
        <w:rPr>
          <w:rFonts w:eastAsia="Times New Roman" w:cs="Sylfaen"/>
        </w:rPr>
        <w:t>2020թ</w:t>
      </w:r>
      <w:r w:rsidRPr="00DC0931">
        <w:rPr>
          <w:rFonts w:ascii="Cambria Math" w:eastAsia="Times New Roman" w:hAnsi="Cambria Math" w:cs="Cambria Math"/>
        </w:rPr>
        <w:t>․</w:t>
      </w:r>
      <w:r w:rsidRPr="00DC0931">
        <w:rPr>
          <w:rFonts w:eastAsia="Times New Roman" w:cs="Sylfaen"/>
        </w:rPr>
        <w:t xml:space="preserve"> 9 ամիսների արդյունքներով պետական բյուջե զուտ մուտքերը՝</w:t>
      </w:r>
    </w:p>
    <w:p w14:paraId="238EBC9A" w14:textId="77777777" w:rsidR="00DC0931" w:rsidRPr="00DC0931" w:rsidRDefault="00DC0931" w:rsidP="00DC0931">
      <w:pPr>
        <w:spacing w:after="0"/>
        <w:ind w:left="5529"/>
        <w:jc w:val="right"/>
        <w:rPr>
          <w:rFonts w:eastAsia="Times New Roman" w:cs="Sylfaen"/>
        </w:rPr>
      </w:pPr>
      <w:r w:rsidRPr="00DC0931">
        <w:rPr>
          <w:rFonts w:eastAsia="Times New Roman" w:cs="Times New Roman"/>
          <w:sz w:val="22"/>
          <w:szCs w:val="22"/>
        </w:rPr>
        <w:tab/>
      </w:r>
      <w:r w:rsidRPr="00DC0931">
        <w:rPr>
          <w:rFonts w:eastAsia="Times New Roman" w:cs="Times New Roman"/>
          <w:sz w:val="22"/>
          <w:szCs w:val="22"/>
        </w:rPr>
        <w:tab/>
      </w:r>
      <w:r w:rsidRPr="00DC0931">
        <w:rPr>
          <w:rFonts w:eastAsia="Times New Roman" w:cs="Times New Roman"/>
          <w:sz w:val="22"/>
          <w:szCs w:val="22"/>
        </w:rPr>
        <w:tab/>
      </w:r>
      <w:r w:rsidRPr="00DC0931">
        <w:rPr>
          <w:rFonts w:eastAsia="Times New Roman" w:cs="Times New Roman"/>
          <w:sz w:val="22"/>
          <w:szCs w:val="22"/>
        </w:rPr>
        <w:tab/>
        <w:t xml:space="preserve">  (Աղյուսակ 5</w:t>
      </w:r>
      <w:r w:rsidRPr="00DC0931">
        <w:rPr>
          <w:rFonts w:ascii="Cambria Math" w:eastAsia="Times New Roman" w:hAnsi="Cambria Math" w:cs="Cambria Math"/>
          <w:sz w:val="22"/>
          <w:szCs w:val="22"/>
        </w:rPr>
        <w:t>․</w:t>
      </w:r>
      <w:r w:rsidRPr="00DC0931">
        <w:rPr>
          <w:rFonts w:eastAsia="Times New Roman" w:cs="Times New Roman"/>
          <w:sz w:val="22"/>
          <w:szCs w:val="22"/>
        </w:rPr>
        <w:t>2)</w:t>
      </w:r>
    </w:p>
    <w:p w14:paraId="35E61751" w14:textId="77777777" w:rsidR="00DC0931" w:rsidRPr="00DC0931" w:rsidRDefault="00DC0931" w:rsidP="00DC0931">
      <w:pPr>
        <w:ind w:left="5529"/>
        <w:jc w:val="right"/>
        <w:rPr>
          <w:rFonts w:eastAsia="Times New Roman" w:cs="Sylfaen"/>
        </w:rPr>
      </w:pPr>
      <w:r w:rsidRPr="00DC0931">
        <w:rPr>
          <w:rFonts w:eastAsia="Times New Roman" w:cs="Sylfaen"/>
          <w:sz w:val="22"/>
          <w:szCs w:val="22"/>
        </w:rPr>
        <w:tab/>
      </w:r>
      <w:r w:rsidRPr="00DC0931">
        <w:rPr>
          <w:rFonts w:eastAsia="Times New Roman" w:cs="Sylfaen"/>
          <w:sz w:val="22"/>
          <w:szCs w:val="22"/>
        </w:rPr>
        <w:tab/>
      </w:r>
      <w:r w:rsidRPr="00DC0931">
        <w:rPr>
          <w:rFonts w:eastAsia="Times New Roman" w:cs="Sylfaen"/>
          <w:sz w:val="22"/>
          <w:szCs w:val="22"/>
        </w:rPr>
        <w:tab/>
      </w:r>
      <w:r w:rsidRPr="00DC0931">
        <w:rPr>
          <w:rFonts w:eastAsia="Times New Roman" w:cs="Sylfaen"/>
          <w:sz w:val="22"/>
          <w:szCs w:val="22"/>
        </w:rPr>
        <w:tab/>
        <w:t xml:space="preserve">    հազ. դրամ</w:t>
      </w:r>
    </w:p>
    <w:tbl>
      <w:tblPr>
        <w:tblStyle w:val="TableGrid11"/>
        <w:tblpPr w:leftFromText="180" w:rightFromText="180" w:vertAnchor="text" w:horzAnchor="page" w:tblpX="1141" w:tblpY="-23"/>
        <w:tblW w:w="10485" w:type="dxa"/>
        <w:tblInd w:w="0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DC0931" w:rsidRPr="00DC0931" w14:paraId="605C4740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612E" w14:textId="77777777" w:rsidR="00DC0931" w:rsidRPr="00DC0931" w:rsidRDefault="00DC0931" w:rsidP="00DC0931">
            <w:pPr>
              <w:spacing w:line="240" w:lineRule="auto"/>
              <w:jc w:val="center"/>
              <w:rPr>
                <w:rFonts w:cs="Sylfaen"/>
                <w:b/>
                <w:noProof/>
              </w:rPr>
            </w:pPr>
            <w:r w:rsidRPr="00DC0931">
              <w:rPr>
                <w:rFonts w:cs="Sylfaen"/>
                <w:b/>
                <w:noProof/>
              </w:rPr>
              <w:lastRenderedPageBreak/>
              <w:t>Ամիս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0AFD" w14:textId="77777777" w:rsidR="00DC0931" w:rsidRPr="00DC0931" w:rsidRDefault="00DC0931" w:rsidP="00DC0931">
            <w:pPr>
              <w:spacing w:line="240" w:lineRule="auto"/>
              <w:jc w:val="center"/>
              <w:rPr>
                <w:rFonts w:cs="Sylfaen"/>
                <w:b/>
                <w:noProof/>
              </w:rPr>
            </w:pPr>
            <w:r w:rsidRPr="00DC0931">
              <w:rPr>
                <w:b/>
                <w:bCs/>
              </w:rPr>
              <w:t>Հարկային եկամուտներ և պետական տուրքերի գումարը</w:t>
            </w:r>
          </w:p>
        </w:tc>
      </w:tr>
      <w:tr w:rsidR="00DC0931" w:rsidRPr="00DC0931" w14:paraId="0665B5D4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D0F" w14:textId="77777777" w:rsidR="00DC0931" w:rsidRPr="00DC0931" w:rsidRDefault="00DC0931" w:rsidP="00DC0931">
            <w:pPr>
              <w:spacing w:line="240" w:lineRule="auto"/>
              <w:rPr>
                <w:rFonts w:cs="Sylfaen"/>
                <w:b/>
                <w:noProof/>
              </w:rPr>
            </w:pPr>
            <w:r w:rsidRPr="00DC0931">
              <w:rPr>
                <w:bCs/>
                <w:lang w:val="ru-RU" w:eastAsia="ru-RU"/>
              </w:rPr>
              <w:t>Հունվար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D721" w14:textId="77777777" w:rsidR="00DC0931" w:rsidRPr="00DC0931" w:rsidRDefault="00DC0931" w:rsidP="00DC0931">
            <w:pPr>
              <w:spacing w:line="240" w:lineRule="auto"/>
              <w:jc w:val="right"/>
              <w:rPr>
                <w:rFonts w:cs="Sylfaen"/>
                <w:noProof/>
              </w:rPr>
            </w:pPr>
            <w:r w:rsidRPr="00DC0931">
              <w:rPr>
                <w:lang w:val="en-US"/>
              </w:rPr>
              <w:t>146,698,71</w:t>
            </w:r>
            <w:r w:rsidRPr="00DC0931">
              <w:t>4</w:t>
            </w:r>
          </w:p>
        </w:tc>
      </w:tr>
      <w:tr w:rsidR="00DC0931" w:rsidRPr="00DC0931" w14:paraId="56477921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3945" w14:textId="77777777" w:rsidR="00DC0931" w:rsidRPr="00DC0931" w:rsidRDefault="00DC0931" w:rsidP="00DC0931">
            <w:pPr>
              <w:spacing w:line="240" w:lineRule="auto"/>
              <w:rPr>
                <w:rFonts w:cs="Sylfaen"/>
                <w:b/>
                <w:noProof/>
              </w:rPr>
            </w:pPr>
            <w:r w:rsidRPr="00DC0931">
              <w:rPr>
                <w:bCs/>
                <w:lang w:val="ru-RU" w:eastAsia="ru-RU"/>
              </w:rPr>
              <w:t>Փետրվար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C8D5" w14:textId="77777777" w:rsidR="00DC0931" w:rsidRPr="00DC0931" w:rsidRDefault="00DC0931" w:rsidP="00DC0931">
            <w:pPr>
              <w:spacing w:line="240" w:lineRule="auto"/>
              <w:jc w:val="right"/>
              <w:rPr>
                <w:rFonts w:cs="Sylfaen"/>
                <w:noProof/>
              </w:rPr>
            </w:pPr>
            <w:r w:rsidRPr="00DC0931">
              <w:rPr>
                <w:lang w:val="en-US"/>
              </w:rPr>
              <w:t>85,30</w:t>
            </w:r>
            <w:r w:rsidRPr="00DC0931">
              <w:t>3,981</w:t>
            </w:r>
          </w:p>
        </w:tc>
      </w:tr>
      <w:tr w:rsidR="00DC0931" w:rsidRPr="00DC0931" w14:paraId="0473EDF0" w14:textId="77777777" w:rsidTr="00DC0931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DA75" w14:textId="77777777" w:rsidR="00DC0931" w:rsidRPr="00DC0931" w:rsidRDefault="00DC0931" w:rsidP="00DC0931">
            <w:pPr>
              <w:spacing w:line="240" w:lineRule="auto"/>
              <w:rPr>
                <w:rFonts w:cs="Sylfaen"/>
                <w:b/>
                <w:noProof/>
              </w:rPr>
            </w:pPr>
            <w:r w:rsidRPr="00DC0931">
              <w:rPr>
                <w:bCs/>
                <w:lang w:val="ru-RU" w:eastAsia="ru-RU"/>
              </w:rPr>
              <w:t>Մարտ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6A75" w14:textId="77777777" w:rsidR="00DC0931" w:rsidRPr="00DC0931" w:rsidRDefault="00DC0931" w:rsidP="00DC0931">
            <w:pPr>
              <w:spacing w:line="240" w:lineRule="auto"/>
              <w:jc w:val="right"/>
              <w:rPr>
                <w:rFonts w:cs="Sylfaen"/>
                <w:noProof/>
                <w:lang w:val="en-US"/>
              </w:rPr>
            </w:pPr>
            <w:r w:rsidRPr="00DC0931">
              <w:rPr>
                <w:lang w:val="en-US"/>
              </w:rPr>
              <w:t>117,031,733</w:t>
            </w:r>
          </w:p>
        </w:tc>
      </w:tr>
      <w:tr w:rsidR="00DC0931" w:rsidRPr="00DC0931" w14:paraId="71858B58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516" w14:textId="77777777" w:rsidR="00DC0931" w:rsidRPr="00DC0931" w:rsidRDefault="00DC0931" w:rsidP="00DC0931">
            <w:pPr>
              <w:spacing w:line="240" w:lineRule="auto"/>
              <w:rPr>
                <w:rFonts w:cs="Sylfaen"/>
                <w:b/>
                <w:noProof/>
              </w:rPr>
            </w:pPr>
            <w:r w:rsidRPr="00DC0931">
              <w:rPr>
                <w:bCs/>
                <w:lang w:eastAsia="ru-RU"/>
              </w:rPr>
              <w:t>Ապրիլ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BFFA" w14:textId="77777777" w:rsidR="00DC0931" w:rsidRPr="00DC0931" w:rsidRDefault="00DC0931" w:rsidP="00DC0931">
            <w:pPr>
              <w:spacing w:line="240" w:lineRule="auto"/>
              <w:jc w:val="right"/>
              <w:rPr>
                <w:rFonts w:cs="Sylfaen"/>
                <w:noProof/>
                <w:lang w:val="en-US"/>
              </w:rPr>
            </w:pPr>
            <w:r w:rsidRPr="00DC0931">
              <w:rPr>
                <w:lang w:val="en-US"/>
              </w:rPr>
              <w:t>151,672,496</w:t>
            </w:r>
          </w:p>
        </w:tc>
      </w:tr>
      <w:tr w:rsidR="00DC0931" w:rsidRPr="00DC0931" w14:paraId="141038D1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B1A5" w14:textId="77777777" w:rsidR="00DC0931" w:rsidRPr="00DC0931" w:rsidRDefault="00DC0931" w:rsidP="00DC0931">
            <w:pPr>
              <w:spacing w:line="240" w:lineRule="auto"/>
              <w:rPr>
                <w:rFonts w:cs="Sylfaen"/>
                <w:b/>
                <w:noProof/>
              </w:rPr>
            </w:pPr>
            <w:r w:rsidRPr="00DC0931">
              <w:rPr>
                <w:bCs/>
                <w:lang w:eastAsia="ru-RU"/>
              </w:rPr>
              <w:t>Մայիս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D863" w14:textId="77777777" w:rsidR="00DC0931" w:rsidRPr="00DC0931" w:rsidRDefault="00DC0931" w:rsidP="00DC0931">
            <w:pPr>
              <w:spacing w:line="240" w:lineRule="auto"/>
              <w:jc w:val="right"/>
              <w:rPr>
                <w:rFonts w:cs="Sylfaen"/>
                <w:noProof/>
              </w:rPr>
            </w:pPr>
            <w:r w:rsidRPr="00DC0931">
              <w:rPr>
                <w:lang w:val="en-US"/>
              </w:rPr>
              <w:t>82,942,724</w:t>
            </w:r>
          </w:p>
        </w:tc>
      </w:tr>
      <w:tr w:rsidR="00DC0931" w:rsidRPr="00DC0931" w14:paraId="3D0C10A7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5E26" w14:textId="77777777" w:rsidR="00DC0931" w:rsidRPr="00DC0931" w:rsidRDefault="00DC0931" w:rsidP="00DC0931">
            <w:pPr>
              <w:spacing w:line="240" w:lineRule="auto"/>
              <w:rPr>
                <w:rFonts w:cs="Sylfaen"/>
                <w:b/>
                <w:noProof/>
              </w:rPr>
            </w:pPr>
            <w:r w:rsidRPr="00DC0931">
              <w:rPr>
                <w:bCs/>
                <w:lang w:eastAsia="ru-RU"/>
              </w:rPr>
              <w:t>Հունիս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C8CD" w14:textId="77777777" w:rsidR="00DC0931" w:rsidRPr="00DC0931" w:rsidRDefault="00DC0931" w:rsidP="00DC0931">
            <w:pPr>
              <w:spacing w:line="240" w:lineRule="auto"/>
              <w:jc w:val="right"/>
              <w:rPr>
                <w:rFonts w:cs="Sylfaen"/>
                <w:noProof/>
                <w:lang w:val="en-US"/>
              </w:rPr>
            </w:pPr>
            <w:r w:rsidRPr="00DC0931">
              <w:rPr>
                <w:lang w:val="en-US"/>
              </w:rPr>
              <w:t>96,639,670</w:t>
            </w:r>
          </w:p>
        </w:tc>
      </w:tr>
      <w:tr w:rsidR="00DC0931" w:rsidRPr="00DC0931" w14:paraId="3B2AAE6D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A8A5" w14:textId="77777777" w:rsidR="00DC0931" w:rsidRPr="00DC0931" w:rsidRDefault="00DC0931" w:rsidP="00DC0931">
            <w:pPr>
              <w:spacing w:line="240" w:lineRule="auto"/>
              <w:rPr>
                <w:bCs/>
                <w:lang w:eastAsia="ru-RU"/>
              </w:rPr>
            </w:pPr>
            <w:r w:rsidRPr="00DC0931">
              <w:rPr>
                <w:bCs/>
                <w:lang w:eastAsia="ru-RU"/>
              </w:rPr>
              <w:t>Հուլիս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6A7A" w14:textId="77777777" w:rsidR="00DC0931" w:rsidRPr="00DC0931" w:rsidRDefault="00DC0931" w:rsidP="00DC0931">
            <w:pPr>
              <w:spacing w:line="240" w:lineRule="auto"/>
              <w:jc w:val="right"/>
            </w:pPr>
            <w:r w:rsidRPr="00DC0931">
              <w:t>109,460,577</w:t>
            </w:r>
          </w:p>
        </w:tc>
      </w:tr>
      <w:tr w:rsidR="00DC0931" w:rsidRPr="00DC0931" w14:paraId="4BE46454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58D9" w14:textId="77777777" w:rsidR="00DC0931" w:rsidRPr="00DC0931" w:rsidRDefault="00DC0931" w:rsidP="00DC0931">
            <w:pPr>
              <w:spacing w:line="240" w:lineRule="auto"/>
              <w:rPr>
                <w:bCs/>
                <w:lang w:eastAsia="ru-RU"/>
              </w:rPr>
            </w:pPr>
            <w:r w:rsidRPr="00DC0931">
              <w:rPr>
                <w:bCs/>
                <w:lang w:eastAsia="ru-RU"/>
              </w:rPr>
              <w:t>Օգոստոս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6117" w14:textId="77777777" w:rsidR="00DC0931" w:rsidRPr="00DC0931" w:rsidRDefault="00DC0931" w:rsidP="00DC0931">
            <w:pPr>
              <w:spacing w:line="240" w:lineRule="auto"/>
              <w:jc w:val="right"/>
            </w:pPr>
            <w:r w:rsidRPr="00DC0931">
              <w:t>97,760,763</w:t>
            </w:r>
          </w:p>
        </w:tc>
      </w:tr>
      <w:tr w:rsidR="00DC0931" w:rsidRPr="00DC0931" w14:paraId="725ED5D0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D478" w14:textId="77777777" w:rsidR="00DC0931" w:rsidRPr="00DC0931" w:rsidRDefault="00DC0931" w:rsidP="00DC0931">
            <w:pPr>
              <w:spacing w:line="240" w:lineRule="auto"/>
              <w:rPr>
                <w:bCs/>
                <w:lang w:eastAsia="ru-RU"/>
              </w:rPr>
            </w:pPr>
            <w:r w:rsidRPr="00DC0931">
              <w:rPr>
                <w:bCs/>
                <w:lang w:eastAsia="ru-RU"/>
              </w:rPr>
              <w:t>Սեպտեմբեր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ACEE" w14:textId="77777777" w:rsidR="00DC0931" w:rsidRPr="00DC0931" w:rsidRDefault="00DC0931" w:rsidP="00DC0931">
            <w:pPr>
              <w:spacing w:line="240" w:lineRule="auto"/>
              <w:jc w:val="right"/>
            </w:pPr>
            <w:r w:rsidRPr="00DC0931">
              <w:t>129,250,783</w:t>
            </w:r>
          </w:p>
        </w:tc>
      </w:tr>
      <w:tr w:rsidR="00DC0931" w:rsidRPr="00DC0931" w14:paraId="57B8A201" w14:textId="77777777" w:rsidTr="00DC09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84F9" w14:textId="77777777" w:rsidR="00DC0931" w:rsidRPr="00DC0931" w:rsidRDefault="00DC0931" w:rsidP="00DC0931">
            <w:pPr>
              <w:spacing w:line="240" w:lineRule="auto"/>
              <w:rPr>
                <w:rFonts w:cs="Sylfaen"/>
                <w:b/>
                <w:noProof/>
              </w:rPr>
            </w:pPr>
            <w:r w:rsidRPr="00DC0931">
              <w:rPr>
                <w:rFonts w:cs="Sylfaen"/>
                <w:b/>
                <w:noProof/>
              </w:rPr>
              <w:t>Ընդամենը 2020թ. 9 ամիսներ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1A66" w14:textId="77777777" w:rsidR="00DC0931" w:rsidRPr="00DC0931" w:rsidRDefault="00DC0931" w:rsidP="00DC0931">
            <w:pPr>
              <w:spacing w:line="240" w:lineRule="auto"/>
              <w:jc w:val="right"/>
              <w:rPr>
                <w:rFonts w:cs="Sylfaen"/>
                <w:b/>
                <w:noProof/>
              </w:rPr>
            </w:pPr>
            <w:r w:rsidRPr="00DC0931">
              <w:rPr>
                <w:rFonts w:cs="Sylfaen"/>
                <w:b/>
                <w:noProof/>
              </w:rPr>
              <w:t>1,016,761,441</w:t>
            </w:r>
          </w:p>
        </w:tc>
      </w:tr>
    </w:tbl>
    <w:p w14:paraId="6AA4F116" w14:textId="77777777" w:rsidR="00DC0931" w:rsidRPr="006434F9" w:rsidRDefault="00DC0931" w:rsidP="008071DF">
      <w:pPr>
        <w:spacing w:line="259" w:lineRule="auto"/>
        <w:rPr>
          <w:rFonts w:cs="Sylfaen"/>
        </w:rPr>
      </w:pPr>
    </w:p>
    <w:p w14:paraId="6FE25749" w14:textId="593B8E91" w:rsidR="00DC0931" w:rsidRPr="006434F9" w:rsidRDefault="00DC0931" w:rsidP="008071DF">
      <w:pPr>
        <w:spacing w:line="259" w:lineRule="auto"/>
        <w:rPr>
          <w:rFonts w:cs="Sylfaen"/>
        </w:rPr>
      </w:pPr>
    </w:p>
    <w:p w14:paraId="727F6189" w14:textId="0C275F37" w:rsidR="00604B2C" w:rsidRPr="006434F9" w:rsidRDefault="00BF35AF" w:rsidP="00C537F9">
      <w:pPr>
        <w:pStyle w:val="Heading2"/>
      </w:pPr>
      <w:bookmarkStart w:id="8" w:name="_Toc64557889"/>
      <w:r w:rsidRPr="006434F9">
        <w:t xml:space="preserve">2020 ԹՎԱԿԱՆԻ </w:t>
      </w:r>
      <w:r w:rsidR="002211B7" w:rsidRPr="006434F9">
        <w:t>ԻՆՆ ԱՄԻՍՆԵՐԻ ԸՆԹԱՑՔՈԻՄ</w:t>
      </w:r>
      <w:r w:rsidRPr="006434F9">
        <w:t xml:space="preserve"> ՊԵԿ ԿՈՂՄԻՑ ԻՐԱԿԱՆԱՑՎՈՂ ՀՀ ՊԵՏԱԿԱՆ ԲՅՈՒՋԵԻ ԵԼՔԱՅԻՆ ԾՐԱԳՐԵՐԻ ԵՎ ՄԻՋՈՑԱՌՈՒՄՆԵՐԻ ԳԾՈՎ ԾԱԽՍԵՐԻ ՎԵՐԱԲԵՐՅԱԼ</w:t>
      </w:r>
      <w:bookmarkEnd w:id="8"/>
    </w:p>
    <w:p w14:paraId="758F3DCC" w14:textId="7AC68284" w:rsidR="00604B2C" w:rsidRPr="00604B2C" w:rsidRDefault="00604B2C" w:rsidP="00FB6870">
      <w:pPr>
        <w:spacing w:after="0"/>
        <w:rPr>
          <w:rFonts w:eastAsia="Times New Roman" w:cs="Sylfaen"/>
        </w:rPr>
      </w:pP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  <w:t xml:space="preserve"> </w:t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</w:rPr>
        <w:tab/>
      </w:r>
      <w:r w:rsidRPr="00604B2C">
        <w:rPr>
          <w:rFonts w:eastAsia="Times New Roman" w:cs="Sylfaen"/>
          <w:sz w:val="22"/>
          <w:szCs w:val="22"/>
        </w:rPr>
        <w:t xml:space="preserve"> </w:t>
      </w:r>
      <w:r w:rsidRPr="00604B2C">
        <w:rPr>
          <w:rFonts w:eastAsia="Times New Roman" w:cs="Sylfaen"/>
          <w:sz w:val="22"/>
          <w:szCs w:val="22"/>
        </w:rPr>
        <w:tab/>
      </w:r>
      <w:r w:rsidRPr="00604B2C">
        <w:rPr>
          <w:rFonts w:eastAsia="Times New Roman" w:cs="Sylfaen"/>
          <w:sz w:val="22"/>
          <w:szCs w:val="22"/>
        </w:rPr>
        <w:tab/>
      </w:r>
      <w:r w:rsidRPr="00604B2C">
        <w:rPr>
          <w:rFonts w:eastAsia="Times New Roman" w:cs="Sylfaen"/>
          <w:sz w:val="22"/>
          <w:szCs w:val="22"/>
        </w:rPr>
        <w:tab/>
      </w:r>
    </w:p>
    <w:p w14:paraId="1342A8BC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9" w:name="_Toc64557890"/>
      <w:r w:rsidRPr="006434F9">
        <w:rPr>
          <w:rFonts w:eastAsia="Times New Roman"/>
        </w:rPr>
        <w:t>Հ</w:t>
      </w:r>
      <w:r w:rsidRPr="006434F9">
        <w:rPr>
          <w:rFonts w:eastAsia="Times New Roman"/>
          <w:lang w:val="en-US"/>
        </w:rPr>
        <w:t>ԱՐԿԱՅԻՆ ԵՎ ՄԱՔՍԱՅԻՆ ԾԱՌԱՅՈՒԹՅՈՒՆՆԵՐ</w:t>
      </w:r>
      <w:bookmarkEnd w:id="9"/>
    </w:p>
    <w:p w14:paraId="35FFF9AC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ab/>
      </w:r>
    </w:p>
    <w:p w14:paraId="381A1BEB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Հարկային և մաքսային ծառայություններ ծրագրի շրջանակներում հարկային և մաքսային ծառայություններ միջոցառման մասով 2020թ. տարեկան ծախսերի համար 2020թ. պետական բյուջեով նախատեսվել է 20,012,049.3 հազ. դրամ գումար, իսկ տարեկան ճշտված ծրագրով՝ 19,967,038.4 հազ.դրամ:</w:t>
      </w:r>
    </w:p>
    <w:p w14:paraId="5CADD771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2020թ. ինն ամիսների պլանը սահմանվել է 13,471,918.7 հազ. դրամ, ճշտված պլանը՝ 13,426,907.8 հազ. դրամ, դրամարկղի ծախսը՝ 12,835,456.4 հազ. դրամ, ճշտված պլանի և դրամարկղի ծախսի տարբերությունը՝ 591,451.4 հազ. դրամ:</w:t>
      </w:r>
    </w:p>
    <w:p w14:paraId="142EF86C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ab/>
      </w:r>
    </w:p>
    <w:p w14:paraId="68FD1010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Մասնավորապես՝ սույն միջոցառման շրջանակներում ծախսերը ունեն հետևյալ կատա</w:t>
      </w:r>
      <w:r w:rsidRPr="00604B2C">
        <w:rPr>
          <w:rFonts w:eastAsia="Times New Roman" w:cs="Sylfaen"/>
        </w:rPr>
        <w:softHyphen/>
        <w:t>րո</w:t>
      </w:r>
      <w:r w:rsidRPr="00604B2C">
        <w:rPr>
          <w:rFonts w:eastAsia="Times New Roman" w:cs="Sylfaen"/>
        </w:rPr>
        <w:softHyphen/>
        <w:t>ղականները.</w:t>
      </w:r>
    </w:p>
    <w:p w14:paraId="4F5E24EE" w14:textId="77777777" w:rsidR="00604B2C" w:rsidRPr="00604B2C" w:rsidRDefault="00604B2C" w:rsidP="00604B2C">
      <w:pPr>
        <w:spacing w:after="0"/>
        <w:ind w:left="284"/>
        <w:contextualSpacing/>
        <w:jc w:val="right"/>
        <w:rPr>
          <w:rFonts w:eastAsia="Times New Roman" w:cs="Sylfaen"/>
          <w:sz w:val="22"/>
          <w:szCs w:val="22"/>
        </w:rPr>
      </w:pPr>
      <w:r w:rsidRPr="00604B2C">
        <w:rPr>
          <w:rFonts w:eastAsia="Times New Roman" w:cs="Sylfaen"/>
          <w:sz w:val="22"/>
          <w:szCs w:val="22"/>
        </w:rPr>
        <w:t>(Աղյուսակ 7)</w:t>
      </w:r>
    </w:p>
    <w:p w14:paraId="69BBA69C" w14:textId="77777777" w:rsidR="00604B2C" w:rsidRPr="00604B2C" w:rsidRDefault="00604B2C" w:rsidP="00604B2C">
      <w:pPr>
        <w:spacing w:after="0"/>
        <w:ind w:left="284"/>
        <w:contextualSpacing/>
        <w:jc w:val="right"/>
        <w:rPr>
          <w:rFonts w:eastAsia="Times New Roman" w:cs="Sylfaen"/>
          <w:sz w:val="22"/>
          <w:szCs w:val="22"/>
        </w:rPr>
      </w:pPr>
      <w:r w:rsidRPr="00604B2C">
        <w:rPr>
          <w:rFonts w:eastAsia="Times New Roman" w:cs="Sylfaen"/>
          <w:sz w:val="22"/>
          <w:szCs w:val="22"/>
        </w:rPr>
        <w:t>հազ. դրամ</w:t>
      </w:r>
    </w:p>
    <w:tbl>
      <w:tblPr>
        <w:tblW w:w="10350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565"/>
        <w:gridCol w:w="1652"/>
        <w:gridCol w:w="1594"/>
        <w:gridCol w:w="1546"/>
        <w:gridCol w:w="909"/>
        <w:gridCol w:w="1289"/>
      </w:tblGrid>
      <w:tr w:rsidR="00604B2C" w:rsidRPr="00604B2C" w14:paraId="289AF83D" w14:textId="77777777" w:rsidTr="00D37354">
        <w:trPr>
          <w:trHeight w:val="118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39AF1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Ծրագիր</w:t>
            </w:r>
            <w:proofErr w:type="spellEnd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(հ</w:t>
            </w: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ոդված</w:t>
            </w:r>
            <w:proofErr w:type="spellEnd"/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FB73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2020թ. ինն ամիսների ճշտված պլան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33D6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Ֆինանսավորում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500A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Դրամարկղի</w:t>
            </w:r>
            <w:proofErr w:type="spellEnd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ծախսը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6B6C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Փաստացի</w:t>
            </w:r>
            <w:proofErr w:type="spellEnd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ծախս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D544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Կատարման</w:t>
            </w:r>
            <w:proofErr w:type="spellEnd"/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%-ը </w:t>
            </w:r>
            <w:r w:rsidRPr="00604B2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br/>
              <w:t>6=4/2 x100%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57308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Պլանի</w:t>
            </w:r>
            <w:proofErr w:type="spellEnd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մնացորդ</w:t>
            </w:r>
            <w:proofErr w:type="spellEnd"/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br/>
              <w:t>7=2-4</w:t>
            </w:r>
          </w:p>
        </w:tc>
      </w:tr>
      <w:tr w:rsidR="00604B2C" w:rsidRPr="00604B2C" w14:paraId="1F79A8FB" w14:textId="77777777" w:rsidTr="00D37354">
        <w:trPr>
          <w:trHeight w:val="28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1F913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4198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2914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6BB54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8844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17131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527F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604B2C" w:rsidRPr="00604B2C" w14:paraId="275D4504" w14:textId="77777777" w:rsidTr="00D37354">
        <w:trPr>
          <w:trHeight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6CAB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Ընդամենը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9A89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13,426,907</w:t>
            </w:r>
            <w:r w:rsidRPr="00604B2C">
              <w:rPr>
                <w:rFonts w:ascii="Cambria Math" w:eastAsia="Times New Roman" w:hAnsi="Cambria Math" w:cs="Cambria Math"/>
                <w:b/>
                <w:bCs/>
                <w:sz w:val="22"/>
                <w:szCs w:val="22"/>
              </w:rPr>
              <w:t>․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A5F5F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12,854,064</w:t>
            </w:r>
            <w:r w:rsidRPr="00604B2C">
              <w:rPr>
                <w:rFonts w:ascii="Cambria Math" w:eastAsia="Times New Roman" w:hAnsi="Cambria Math" w:cs="Cambria Math"/>
                <w:b/>
                <w:bCs/>
                <w:sz w:val="22"/>
                <w:szCs w:val="22"/>
              </w:rPr>
              <w:t>․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A50B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12,835,456</w:t>
            </w:r>
            <w:r w:rsidRPr="00604B2C">
              <w:rPr>
                <w:rFonts w:ascii="Cambria Math" w:eastAsia="Times New Roman" w:hAnsi="Cambria Math" w:cs="Cambria Math"/>
                <w:b/>
                <w:bCs/>
                <w:sz w:val="22"/>
                <w:szCs w:val="22"/>
              </w:rPr>
              <w:t>․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D4F44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13,065,887</w:t>
            </w:r>
            <w:r w:rsidRPr="00604B2C">
              <w:rPr>
                <w:rFonts w:ascii="Cambria Math" w:eastAsia="Times New Roman" w:hAnsi="Cambria Math" w:cs="Cambria Math"/>
                <w:b/>
                <w:bCs/>
                <w:sz w:val="22"/>
                <w:szCs w:val="22"/>
              </w:rPr>
              <w:t>․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CD59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95.59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D3E2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</w:rPr>
              <w:t>591,451.43</w:t>
            </w:r>
          </w:p>
        </w:tc>
      </w:tr>
      <w:tr w:rsidR="00604B2C" w:rsidRPr="00604B2C" w14:paraId="3B193BF1" w14:textId="77777777" w:rsidTr="00D37354">
        <w:trPr>
          <w:trHeight w:val="62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81F8" w14:textId="77777777" w:rsidR="00604B2C" w:rsidRPr="00604B2C" w:rsidRDefault="00604B2C" w:rsidP="00604B2C">
            <w:pPr>
              <w:spacing w:after="0"/>
              <w:ind w:left="75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00604B2C">
              <w:rPr>
                <w:rFonts w:eastAsia="Times New Roman" w:cs="Arial"/>
                <w:bCs/>
                <w:sz w:val="20"/>
                <w:szCs w:val="20"/>
                <w:lang w:val="en-US"/>
              </w:rPr>
              <w:t>Աշխատանքի</w:t>
            </w:r>
            <w:proofErr w:type="spellEnd"/>
            <w:r w:rsidRPr="00604B2C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B2C">
              <w:rPr>
                <w:rFonts w:eastAsia="Times New Roman" w:cs="Arial"/>
                <w:bCs/>
                <w:sz w:val="20"/>
                <w:szCs w:val="20"/>
                <w:lang w:val="en-US"/>
              </w:rPr>
              <w:t>վարձատրություն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FE6EE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10,453,924.00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AF827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10,453,924.00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EB2C7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10,453,641.64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D687D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10,856,924.66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E6856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59EC9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282.36</w:t>
            </w:r>
          </w:p>
        </w:tc>
      </w:tr>
      <w:tr w:rsidR="00604B2C" w:rsidRPr="00604B2C" w14:paraId="604D2E6A" w14:textId="77777777" w:rsidTr="00D37354">
        <w:trPr>
          <w:trHeight w:val="11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6BDC" w14:textId="77777777" w:rsidR="00604B2C" w:rsidRPr="00007822" w:rsidRDefault="00604B2C" w:rsidP="00604B2C">
            <w:pPr>
              <w:spacing w:after="0"/>
              <w:ind w:left="75"/>
              <w:rPr>
                <w:rFonts w:eastAsia="Times New Roman" w:cs="Times New Roman"/>
                <w:sz w:val="22"/>
                <w:szCs w:val="22"/>
              </w:rPr>
            </w:pPr>
            <w:r w:rsidRPr="00007822">
              <w:rPr>
                <w:rFonts w:eastAsia="Times New Roman" w:cs="Arial"/>
                <w:sz w:val="20"/>
                <w:szCs w:val="20"/>
              </w:rPr>
              <w:t>Ապրանքների, ծառայությունների ձեռքբերում և այլ ծախսեր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FC990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2,972,983.80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46FB4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2,400,140.59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E36CA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2,381,814.73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8BA86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2,208,963.20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88A0A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80.10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44F90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604B2C">
              <w:rPr>
                <w:rFonts w:eastAsia="Times New Roman" w:cs="Arial"/>
                <w:sz w:val="20"/>
                <w:szCs w:val="20"/>
                <w:lang w:val="en-US"/>
              </w:rPr>
              <w:t>591,169.07</w:t>
            </w:r>
          </w:p>
        </w:tc>
      </w:tr>
    </w:tbl>
    <w:p w14:paraId="0BFA6FF4" w14:textId="77777777" w:rsidR="00604B2C" w:rsidRPr="00604B2C" w:rsidRDefault="00604B2C" w:rsidP="00604B2C">
      <w:pPr>
        <w:spacing w:after="0"/>
        <w:ind w:left="284"/>
        <w:contextualSpacing/>
        <w:rPr>
          <w:rFonts w:eastAsia="Times New Roman" w:cs="Sylfaen"/>
        </w:rPr>
      </w:pPr>
    </w:p>
    <w:p w14:paraId="21A59625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  <w:color w:val="000000"/>
        </w:rPr>
      </w:pPr>
      <w:r w:rsidRPr="00604B2C">
        <w:rPr>
          <w:rFonts w:eastAsia="Times New Roman" w:cs="Sylfaen"/>
        </w:rPr>
        <w:t xml:space="preserve">Աշխատանքի վարձատրության գծով փաստացի ծախսը կազմել է 10,856,924.7 հազ. դրամ, </w:t>
      </w:r>
      <w:r w:rsidRPr="00604B2C">
        <w:rPr>
          <w:rFonts w:eastAsia="Times New Roman" w:cs="Sylfaen"/>
          <w:color w:val="000000"/>
        </w:rPr>
        <w:t>դրամարկղի ծախսը՝ 10,453,924.0 հազ. դրամ, աշխատանքի վարձատրության մասով ինն ամիսների վերջի դրությամբ կրեդիտորական պարտքը կազմում է 417,690.1 հազ. դրամ:</w:t>
      </w:r>
    </w:p>
    <w:p w14:paraId="687DCD40" w14:textId="77777777" w:rsidR="00604B2C" w:rsidRPr="00604B2C" w:rsidRDefault="00604B2C" w:rsidP="00604B2C">
      <w:pPr>
        <w:ind w:firstLine="567"/>
        <w:jc w:val="both"/>
        <w:rPr>
          <w:rFonts w:eastAsia="Times New Roman" w:cs="Sylfaen"/>
        </w:rPr>
      </w:pPr>
      <w:r w:rsidRPr="00604B2C">
        <w:rPr>
          <w:rFonts w:eastAsia="Times New Roman" w:cs="Sylfaen"/>
          <w:color w:val="000000"/>
        </w:rPr>
        <w:t xml:space="preserve">Աշխատանքի վարձատրության </w:t>
      </w:r>
      <w:r w:rsidRPr="00604B2C">
        <w:rPr>
          <w:rFonts w:eastAsia="Times New Roman" w:cs="Sylfaen"/>
        </w:rPr>
        <w:t xml:space="preserve">գծով ծախսի (դրամարկղի ծախսի) կատարողականը  ինն ամիսների ճշտված ծրագրային ցուցանիշի նկատմամբ կազմել է </w:t>
      </w:r>
      <w:r w:rsidRPr="00604B2C">
        <w:rPr>
          <w:rFonts w:eastAsia="Times New Roman" w:cs="GHEA Grapalat"/>
          <w:sz w:val="22"/>
          <w:szCs w:val="22"/>
        </w:rPr>
        <w:t>100</w:t>
      </w:r>
      <w:r w:rsidRPr="00604B2C">
        <w:rPr>
          <w:rFonts w:eastAsia="Times New Roman" w:cs="Sylfaen"/>
        </w:rPr>
        <w:t>%։</w:t>
      </w:r>
    </w:p>
    <w:p w14:paraId="3D37F8DA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</w:p>
    <w:p w14:paraId="27528C8D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Ծառայությունների և ապրանքների ձեռքբերումների և այլ ծախսերի գծով ծախսերի կատարողականը կազմել է 80.1 տոկոս, 2020թ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ինն ամիսների ճշտված պլանի համեմատ տարբերությունը հիմնականում պայմանավորված է նրանով, որ որոշ ապրանքների և ծառայությունների ձեռքբերման մրցույթները COVID-19-ի հետևանքով կայացել են կիսամյակի վերջում:</w:t>
      </w:r>
    </w:p>
    <w:p w14:paraId="24E6D065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</w:p>
    <w:p w14:paraId="45D57DFF" w14:textId="0E6CE08D" w:rsidR="00604B2C" w:rsidRPr="006434F9" w:rsidRDefault="00604B2C" w:rsidP="00604B2C">
      <w:pPr>
        <w:spacing w:after="0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ab/>
      </w:r>
    </w:p>
    <w:p w14:paraId="01EF2E2F" w14:textId="77777777" w:rsidR="000A6A5F" w:rsidRPr="00604B2C" w:rsidRDefault="000A6A5F" w:rsidP="00604B2C">
      <w:pPr>
        <w:spacing w:after="0"/>
        <w:contextualSpacing/>
        <w:jc w:val="both"/>
        <w:rPr>
          <w:rFonts w:eastAsia="Times New Roman" w:cs="Sylfaen"/>
        </w:rPr>
      </w:pPr>
    </w:p>
    <w:p w14:paraId="2A4F682B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0" w:name="_Toc64557891"/>
      <w:r w:rsidRPr="006434F9">
        <w:rPr>
          <w:rFonts w:eastAsia="Times New Roman"/>
        </w:rPr>
        <w:t>ԱԿՑԻԶԱՅԻՆ ԴՐՈՇՄԱՆԻՇՆԵՐԻ ԵՎ ԴՐՈՇՄԱՊԻՏԱԿՆԵՐԻ ՁԵՌՔԲԵՐՈՒՄ</w:t>
      </w:r>
      <w:bookmarkEnd w:id="10"/>
    </w:p>
    <w:p w14:paraId="435C0CDE" w14:textId="77777777" w:rsidR="00604B2C" w:rsidRPr="00604B2C" w:rsidRDefault="00604B2C" w:rsidP="00604B2C">
      <w:pPr>
        <w:spacing w:after="0"/>
        <w:ind w:left="1080"/>
        <w:jc w:val="both"/>
        <w:rPr>
          <w:rFonts w:eastAsia="Times New Roman" w:cs="Sylfaen"/>
        </w:rPr>
      </w:pPr>
    </w:p>
    <w:p w14:paraId="3D6672EC" w14:textId="77777777" w:rsidR="00604B2C" w:rsidRPr="00604B2C" w:rsidRDefault="00604B2C" w:rsidP="00604B2C">
      <w:pPr>
        <w:spacing w:after="0"/>
        <w:ind w:firstLine="567"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Ակցիզային դրոշմանիշների և դրոշմապիտակների ձեռքբերման միջոցառումների շրջանակներում կատարված ծախսերի ցուցանիշները հետևյալն են.</w:t>
      </w:r>
    </w:p>
    <w:p w14:paraId="1E538C25" w14:textId="77777777" w:rsidR="00604B2C" w:rsidRPr="00604B2C" w:rsidRDefault="00604B2C" w:rsidP="00604B2C">
      <w:pPr>
        <w:spacing w:after="0"/>
        <w:ind w:left="284"/>
        <w:contextualSpacing/>
        <w:jc w:val="right"/>
        <w:rPr>
          <w:rFonts w:eastAsia="Times New Roman" w:cs="Sylfaen"/>
          <w:sz w:val="22"/>
          <w:szCs w:val="22"/>
        </w:rPr>
      </w:pPr>
      <w:r w:rsidRPr="00604B2C">
        <w:rPr>
          <w:rFonts w:eastAsia="Times New Roman" w:cs="Sylfaen"/>
          <w:sz w:val="22"/>
          <w:szCs w:val="22"/>
        </w:rPr>
        <w:t>(Աղյուսակ 8)</w:t>
      </w:r>
    </w:p>
    <w:p w14:paraId="06343B11" w14:textId="77777777" w:rsidR="00604B2C" w:rsidRPr="00604B2C" w:rsidRDefault="00604B2C" w:rsidP="00604B2C">
      <w:pPr>
        <w:spacing w:after="0"/>
        <w:ind w:left="284"/>
        <w:contextualSpacing/>
        <w:jc w:val="right"/>
        <w:rPr>
          <w:rFonts w:eastAsia="Times New Roman" w:cs="Sylfaen"/>
        </w:rPr>
      </w:pPr>
      <w:r w:rsidRPr="00604B2C">
        <w:rPr>
          <w:rFonts w:eastAsia="Times New Roman" w:cs="Sylfaen"/>
          <w:sz w:val="22"/>
          <w:szCs w:val="22"/>
        </w:rPr>
        <w:t>հազ. դրամ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404"/>
        <w:gridCol w:w="1560"/>
        <w:gridCol w:w="1560"/>
        <w:gridCol w:w="1492"/>
        <w:gridCol w:w="1449"/>
        <w:gridCol w:w="1311"/>
      </w:tblGrid>
      <w:tr w:rsidR="00604B2C" w:rsidRPr="00604B2C" w14:paraId="5249AFB2" w14:textId="77777777" w:rsidTr="00D37354">
        <w:trPr>
          <w:trHeight w:val="121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391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Ծրագիր 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(հ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ոդված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A17B" w14:textId="77777777" w:rsidR="00604B2C" w:rsidRPr="00604B2C" w:rsidRDefault="00604B2C" w:rsidP="00D37354">
            <w:pPr>
              <w:spacing w:after="0"/>
              <w:ind w:left="-109" w:right="-114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2020թ. 9 ամիսների ճշտված պլան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C12D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Ֆինանսավորում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BEDB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 Փաստ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936E" w14:textId="77777777" w:rsidR="00604B2C" w:rsidRPr="00604B2C" w:rsidRDefault="00604B2C" w:rsidP="00D37354">
            <w:pPr>
              <w:spacing w:after="0"/>
              <w:ind w:left="-83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 Փաստացի ծախս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9B76" w14:textId="77777777" w:rsidR="00604B2C" w:rsidRPr="00604B2C" w:rsidRDefault="00604B2C" w:rsidP="00604B2C">
            <w:pPr>
              <w:spacing w:after="0"/>
              <w:ind w:right="-49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Կատարման %-ը </w:t>
            </w: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br/>
              <w:t>6=4/2 x100%</w:t>
            </w:r>
          </w:p>
        </w:tc>
      </w:tr>
      <w:tr w:rsidR="00604B2C" w:rsidRPr="00604B2C" w14:paraId="2F00BC8F" w14:textId="77777777" w:rsidTr="00D37354">
        <w:trPr>
          <w:trHeight w:val="3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117C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A95F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8DF0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D4B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6D6C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6B8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604B2C" w:rsidRPr="00604B2C" w14:paraId="21A361D7" w14:textId="77777777" w:rsidTr="00D37354">
        <w:trPr>
          <w:trHeight w:val="3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A03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lastRenderedPageBreak/>
              <w:t>Ընդամենը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AA8B" w14:textId="77777777" w:rsidR="00604B2C" w:rsidRPr="00604B2C" w:rsidRDefault="00604B2C" w:rsidP="00604B2C">
            <w:pPr>
              <w:spacing w:after="0"/>
              <w:ind w:left="-82" w:right="-7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 w:eastAsia="ru-RU"/>
              </w:rPr>
              <w:t>6,635,520.0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6E17" w14:textId="77777777" w:rsidR="00604B2C" w:rsidRPr="00604B2C" w:rsidRDefault="00604B2C" w:rsidP="00D37354">
            <w:pPr>
              <w:spacing w:after="0"/>
              <w:ind w:left="-81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6,635,520.0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E28CC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6,635,520.0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D5AD" w14:textId="77777777" w:rsidR="00604B2C" w:rsidRPr="00604B2C" w:rsidRDefault="00604B2C" w:rsidP="00D37354">
            <w:pPr>
              <w:spacing w:after="0"/>
              <w:ind w:left="-83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en-US" w:eastAsia="ru-RU"/>
              </w:rPr>
              <w:t>4,103,839.3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53732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/>
              </w:rPr>
              <w:t>100,0</w:t>
            </w:r>
          </w:p>
        </w:tc>
      </w:tr>
      <w:tr w:rsidR="00604B2C" w:rsidRPr="00604B2C" w14:paraId="3A930A43" w14:textId="77777777" w:rsidTr="00D37354">
        <w:trPr>
          <w:trHeight w:val="3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ED456E" w14:textId="77777777" w:rsidR="00604B2C" w:rsidRPr="00604B2C" w:rsidRDefault="00604B2C" w:rsidP="00604B2C">
            <w:pPr>
              <w:spacing w:after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val="ru-RU" w:eastAsia="ru-RU"/>
              </w:rPr>
              <w:t>Ակցիզային դրոշմանիշների ձեռքբերում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5C03" w14:textId="77777777" w:rsidR="00604B2C" w:rsidRPr="00604B2C" w:rsidRDefault="00604B2C" w:rsidP="00604B2C">
            <w:pPr>
              <w:spacing w:after="0"/>
              <w:ind w:left="-82" w:right="-70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1,872,720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AAC5" w14:textId="77777777" w:rsidR="00604B2C" w:rsidRPr="00604B2C" w:rsidRDefault="00604B2C" w:rsidP="00D37354">
            <w:pPr>
              <w:spacing w:after="0"/>
              <w:ind w:left="-81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1,872,720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70C93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1,872,720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A4868" w14:textId="77777777" w:rsidR="00604B2C" w:rsidRPr="00604B2C" w:rsidRDefault="00604B2C" w:rsidP="00D37354">
            <w:pPr>
              <w:spacing w:after="0"/>
              <w:ind w:left="-83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1,031,806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91ED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val="ru-RU" w:eastAsia="ru-RU"/>
              </w:rPr>
              <w:t>100,0</w:t>
            </w:r>
          </w:p>
        </w:tc>
      </w:tr>
      <w:tr w:rsidR="00604B2C" w:rsidRPr="00604B2C" w14:paraId="50458715" w14:textId="77777777" w:rsidTr="00D37354">
        <w:trPr>
          <w:trHeight w:val="3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FD8C06" w14:textId="77777777" w:rsidR="00604B2C" w:rsidRPr="00604B2C" w:rsidRDefault="00604B2C" w:rsidP="00604B2C">
            <w:pPr>
              <w:spacing w:after="0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val="ru-RU" w:eastAsia="ru-RU"/>
              </w:rPr>
              <w:t>Դրոշմապիտակների ձեռքբերում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19A4B" w14:textId="77777777" w:rsidR="00604B2C" w:rsidRPr="00604B2C" w:rsidRDefault="00604B2C" w:rsidP="00604B2C">
            <w:pPr>
              <w:spacing w:after="0"/>
              <w:ind w:left="-82" w:right="-7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4,762,800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92078" w14:textId="77777777" w:rsidR="00604B2C" w:rsidRPr="00604B2C" w:rsidRDefault="00604B2C" w:rsidP="00D37354">
            <w:pPr>
              <w:spacing w:after="0"/>
              <w:ind w:left="-81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4,762,800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F3A51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4,762,800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CFB09" w14:textId="77777777" w:rsidR="00604B2C" w:rsidRPr="00604B2C" w:rsidRDefault="00604B2C" w:rsidP="00D37354">
            <w:pPr>
              <w:spacing w:after="0"/>
              <w:ind w:left="-83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3,072,032</w:t>
            </w:r>
            <w:r w:rsidRPr="00604B2C">
              <w:rPr>
                <w:rFonts w:ascii="Cambria Math" w:eastAsia="Times New Roman" w:hAnsi="Cambria Math" w:cs="Cambria Math"/>
                <w:sz w:val="22"/>
                <w:szCs w:val="22"/>
                <w:lang w:eastAsia="ru-RU"/>
              </w:rPr>
              <w:t>․</w:t>
            </w:r>
            <w:r w:rsidRPr="00604B2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76F4B" w14:textId="77777777" w:rsidR="00604B2C" w:rsidRPr="00604B2C" w:rsidRDefault="00604B2C" w:rsidP="00604B2C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604B2C">
              <w:rPr>
                <w:rFonts w:eastAsia="Times New Roman" w:cs="Times New Roman"/>
                <w:sz w:val="22"/>
                <w:szCs w:val="22"/>
                <w:lang w:val="ru-RU" w:eastAsia="ru-RU"/>
              </w:rPr>
              <w:t>100,0</w:t>
            </w:r>
          </w:p>
        </w:tc>
      </w:tr>
    </w:tbl>
    <w:p w14:paraId="165C0DC5" w14:textId="77777777" w:rsidR="00604B2C" w:rsidRPr="00604B2C" w:rsidRDefault="00604B2C" w:rsidP="00604B2C">
      <w:pPr>
        <w:spacing w:after="0"/>
        <w:ind w:left="284"/>
        <w:contextualSpacing/>
        <w:rPr>
          <w:rFonts w:eastAsia="Times New Roman" w:cs="Sylfaen"/>
        </w:rPr>
      </w:pPr>
    </w:p>
    <w:p w14:paraId="6488E993" w14:textId="77777777" w:rsidR="00604B2C" w:rsidRPr="00604B2C" w:rsidRDefault="00604B2C" w:rsidP="00604B2C">
      <w:pPr>
        <w:spacing w:after="0"/>
        <w:ind w:firstLine="567"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Նշված ծրագրերով ծախսերի (դրամարկղի ծախսի) կատարողականը ինն ամիսների և տարեկան ճշտված պլանների նկատմամբ կազմել են 100 տոկոս, փաստացի ծախսերը ակցիզային դրոշմանիշների մասով կազմել է 1,031,806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8 հազ. դրամ, իսկ դրոշմա</w:t>
      </w:r>
      <w:r w:rsidRPr="00604B2C">
        <w:rPr>
          <w:rFonts w:eastAsia="Times New Roman" w:cs="Sylfaen"/>
        </w:rPr>
        <w:softHyphen/>
        <w:t>պի</w:t>
      </w:r>
      <w:r w:rsidRPr="00604B2C">
        <w:rPr>
          <w:rFonts w:eastAsia="Times New Roman" w:cs="Sylfaen"/>
        </w:rPr>
        <w:softHyphen/>
        <w:t>տակ</w:t>
      </w:r>
      <w:r w:rsidRPr="00604B2C">
        <w:rPr>
          <w:rFonts w:eastAsia="Times New Roman" w:cs="Sylfaen"/>
        </w:rPr>
        <w:softHyphen/>
        <w:t>ների մասով՝ 3,072,032.5 հազ. դրամ, ձեռքբերումները կատարվել են տարեկան նախա</w:t>
      </w:r>
      <w:r w:rsidRPr="00604B2C">
        <w:rPr>
          <w:rFonts w:eastAsia="Times New Roman" w:cs="Sylfaen"/>
        </w:rPr>
        <w:softHyphen/>
        <w:t>տեսված ամբողջ ծավալների չափով և համապատասխանաբար կազմել են 477,000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հատ 1,872,720.0 հազ. դրամ և 1,260,000.0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հատ 4,762,800.0 հազ. դրամ։ Հաշվետու ժամանակաշրջանի վերջի դրությամբ պահեստավորված ակցիզային դրոշմանիշների մնացորդը կազմել է 1,455,808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3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դրամ, իսկ դրոշմապիտակների մնացորդը՝  4,058,990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3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դրամ։</w:t>
      </w:r>
    </w:p>
    <w:p w14:paraId="73759047" w14:textId="77777777" w:rsidR="00604B2C" w:rsidRPr="00604B2C" w:rsidRDefault="00604B2C" w:rsidP="00604B2C">
      <w:pPr>
        <w:spacing w:after="0"/>
        <w:jc w:val="both"/>
        <w:rPr>
          <w:rFonts w:eastAsia="Times New Roman" w:cs="Sylfaen"/>
        </w:rPr>
      </w:pPr>
    </w:p>
    <w:p w14:paraId="002CF8DF" w14:textId="77777777" w:rsidR="00604B2C" w:rsidRPr="00604B2C" w:rsidRDefault="00604B2C" w:rsidP="00604B2C">
      <w:pPr>
        <w:spacing w:after="0"/>
        <w:jc w:val="both"/>
        <w:rPr>
          <w:rFonts w:eastAsia="Times New Roman" w:cs="Sylfaen"/>
          <w:color w:val="7030A0"/>
        </w:rPr>
      </w:pPr>
    </w:p>
    <w:p w14:paraId="2F6545FC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1" w:name="_Toc64557892"/>
      <w:r w:rsidRPr="006434F9">
        <w:rPr>
          <w:rFonts w:eastAsia="Times New Roman"/>
        </w:rPr>
        <w:t>ՀՀ ՊԵՏԱԿԱՆ ԵԿԱՄՈՒՏՆԵՐԻ ԿՈՄԻՏԵԻ ՏԵԽՆԻԿԱԿԱՆ ՀԱԳԵՑ</w:t>
      </w:r>
      <w:r w:rsidRPr="006434F9">
        <w:rPr>
          <w:rFonts w:eastAsia="Times New Roman"/>
        </w:rPr>
        <w:softHyphen/>
        <w:t>ՎԱ</w:t>
      </w:r>
      <w:r w:rsidRPr="006434F9">
        <w:rPr>
          <w:rFonts w:eastAsia="Times New Roman"/>
        </w:rPr>
        <w:softHyphen/>
        <w:t>ԾՈՒ</w:t>
      </w:r>
      <w:r w:rsidRPr="006434F9">
        <w:rPr>
          <w:rFonts w:eastAsia="Times New Roman"/>
        </w:rPr>
        <w:softHyphen/>
        <w:t>ԹՅԱՆ ԲԱՐԵԼԱՎՈՒՄ</w:t>
      </w:r>
      <w:bookmarkEnd w:id="11"/>
    </w:p>
    <w:p w14:paraId="5B3AA325" w14:textId="77777777" w:rsidR="00604B2C" w:rsidRPr="00604B2C" w:rsidRDefault="00604B2C" w:rsidP="00604B2C">
      <w:pPr>
        <w:spacing w:line="256" w:lineRule="auto"/>
        <w:rPr>
          <w:rFonts w:eastAsia="Times New Roman" w:cs="Times New Roman"/>
          <w:sz w:val="22"/>
          <w:szCs w:val="22"/>
        </w:rPr>
      </w:pPr>
    </w:p>
    <w:p w14:paraId="7391B108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ՀՀ պետական եկամուտների կոմիտեի տեխնիկական հագեցվածության բարելավում միջոցառումով  2020թ. տարեկան և ինն ամիսների ճշտված պլանները կազմել են համապատասխանաբար 1,179,914.0 հազ. դրամ և 1,098,247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3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դրամ: Հաշվետու ժամանակաշրջանի ֆինանսավորումը կազմել է 530,792.0 հազ.դրամ, իսկ դրամարկղի և փաստացի ծախսերը կազմել են 530,516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16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դրամ։ Հաշվետու ժամանակաշրջանի պլանի և դրամարկղի ծախսի տարբերությունը կազմել է 567,731.14 հազ.դրամ: Տարբերությունը ՊԵԿ կողմից հիմնավորվել է, COVID-19-ով պայմանավորված՝ ոչ ռեզիդենտ կազմակերպության կողմից վճարահաշվարկային փաստաթղթերի ոչ ամբողջությամբ ներկայացման, թվով 596 հատ համակարգիչների  և 223 միավոր գույքի ձեռքբերմների ժամանակավորապես հետաձգման, թվով 4 վարժեցվող շների և 1 ծրագրային փաթեթի ձեռքբերումը չորրորդ եռամսյակ տեղափոխման հանգամանքներով:</w:t>
      </w:r>
    </w:p>
    <w:p w14:paraId="37418401" w14:textId="77777777" w:rsidR="00604B2C" w:rsidRPr="00604B2C" w:rsidRDefault="00604B2C" w:rsidP="00604B2C">
      <w:pPr>
        <w:spacing w:after="0"/>
        <w:jc w:val="both"/>
        <w:rPr>
          <w:rFonts w:eastAsia="Times New Roman" w:cs="Sylfaen"/>
          <w:color w:val="7030A0"/>
        </w:rPr>
      </w:pPr>
    </w:p>
    <w:p w14:paraId="6771FD31" w14:textId="77777777" w:rsidR="00604B2C" w:rsidRPr="00604B2C" w:rsidRDefault="00604B2C" w:rsidP="00604B2C">
      <w:pPr>
        <w:spacing w:after="0"/>
        <w:jc w:val="both"/>
        <w:rPr>
          <w:rFonts w:eastAsia="Times New Roman" w:cs="Sylfaen"/>
          <w:color w:val="7030A0"/>
        </w:rPr>
      </w:pPr>
    </w:p>
    <w:p w14:paraId="1B0B310C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2" w:name="_Toc64557893"/>
      <w:r w:rsidRPr="006434F9">
        <w:rPr>
          <w:rFonts w:eastAsia="Times New Roman"/>
        </w:rPr>
        <w:lastRenderedPageBreak/>
        <w:t>ՀՀ ՊԵՏԱԿԱՆ ԵԿԱՄՈՒՏՆԵՐԻ ԿՈՄԻՏԵԻ ՇԵՆՔԱՅԻՆ ԱՊԱՀՈՎՎԱԾՈՒԹՅԱՆ ԲԱՐԵԼԱՎՈՒՄ ԵՎ ՀՀ ՊԵՏԱԿԱՆ ԵԿԱՄՈՒՏՆԵՐԻ ԿՈՄԻՏԵԻ ՇԵՆՔԱՅԻՆ ՊԱՅՄԱՆՆԵՐԻ ԲԱՐԵԼԱ</w:t>
      </w:r>
      <w:r w:rsidRPr="006434F9">
        <w:rPr>
          <w:rFonts w:eastAsia="Times New Roman"/>
        </w:rPr>
        <w:softHyphen/>
        <w:t>ՎՈՒՄ</w:t>
      </w:r>
      <w:bookmarkEnd w:id="12"/>
    </w:p>
    <w:p w14:paraId="17655096" w14:textId="77777777" w:rsidR="00604B2C" w:rsidRPr="00604B2C" w:rsidRDefault="00604B2C" w:rsidP="00604B2C">
      <w:pPr>
        <w:spacing w:after="0"/>
        <w:jc w:val="both"/>
        <w:rPr>
          <w:rFonts w:eastAsia="Times New Roman" w:cs="Sylfaen"/>
          <w:color w:val="7030A0"/>
        </w:rPr>
      </w:pPr>
    </w:p>
    <w:p w14:paraId="24D138F3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ՀՀ պետական եկամուտների կոմիտեի շենքային ապահովվածության բարելավում և ՀՀ պետական եկամուտների կոմիտեի շենքային պայմանների բարելավում միջոցառումներով 2020թ. ինն ամիսների պլանային ճշտված ցուցանիշները համապատասխանաբար կազմել են 1,478,281.6 հազ. դրամ և 13,995.0 հազ. դրամ:</w:t>
      </w:r>
    </w:p>
    <w:p w14:paraId="09828D6F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ՀՀ պետական եկամուտների կոմիտեի շենքային ապահովվածության բարելավում միջոցառոմով դրամարկղի ծախսը կազմել է 1,004,149.58 հազ.դրամ, փաստացի ծախսը՝ 1,179,837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40 հազ.դրամ իսկ հաշվետու ժամանակաշրջանի պլանի և դրամարկղի ծախսի տարբերությունը՝ 474,132.0 հազ.դրամ: Շինարարական աշխատանքները հետաձգվել են, պայմանավորված է COVID-19-ով, կատարված աշխատանքների ավարտվածության աստիճանը կազմել է 83.3 տոկոս:</w:t>
      </w:r>
    </w:p>
    <w:p w14:paraId="707895EA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ՀՀ պետական եկամուտների կոմիտեի շենքային պայմանների բարելավում միջոցառումով դրամարկղի ծախսը կազմել է 9,525.0 հազ.դրամ, փաստացի ծախսը՝ 9,525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0 հազ.դրամ իսկ հաշվետու ժամանակաշրջանի պլանի և դրամարկղի ծախսի տարբերությունը՝ 4,470.0 հազ.դրամ: Շինարարական աշխատանքները է COVID-19-ով պայմանավորված ուշ են սկսվել:</w:t>
      </w:r>
    </w:p>
    <w:p w14:paraId="5D1C33DB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1DFE5085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3" w:name="_Toc64557894"/>
      <w:r w:rsidRPr="006434F9">
        <w:rPr>
          <w:rFonts w:eastAsia="Times New Roman"/>
        </w:rPr>
        <w:t>ՓՈՐՁԱՔՆՆՈՒԹՅՈՒՆՆԵՐԻ ԾԱՌԱՅՈՒԹՅՈՒՆՆԵՐ</w:t>
      </w:r>
      <w:bookmarkEnd w:id="13"/>
    </w:p>
    <w:p w14:paraId="4063D0BD" w14:textId="77777777" w:rsidR="00604B2C" w:rsidRPr="00604B2C" w:rsidRDefault="00604B2C" w:rsidP="00604B2C">
      <w:pPr>
        <w:spacing w:line="256" w:lineRule="auto"/>
        <w:rPr>
          <w:rFonts w:eastAsia="Times New Roman" w:cs="Times New Roman"/>
          <w:sz w:val="22"/>
          <w:szCs w:val="22"/>
        </w:rPr>
      </w:pPr>
    </w:p>
    <w:p w14:paraId="504BB501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Փորձաքննությունների ծառայությունների միջոցառումով 2020թ. ինն ամիսների պլանը կազմել է 8,135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5 հազ. դրամ, դրամարկղի և փաստացի ծախսերը՝ 7,735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3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դրամ։ Պլանավորված և փաստացի ծախսված գումարների տարբերում</w:t>
      </w:r>
      <w:r w:rsidRPr="00604B2C">
        <w:rPr>
          <w:rFonts w:eastAsia="Times New Roman" w:cs="Sylfaen"/>
        </w:rPr>
        <w:softHyphen/>
        <w:t>թյունը կազմել է 400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2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դրամ, պայմանավորված է  փորձաքննությունների ծառայությունների ավելի նվազ գներով ձեռք բերման հանգամանքով:</w:t>
      </w:r>
    </w:p>
    <w:p w14:paraId="036BD91C" w14:textId="4FCB73F3" w:rsidR="00604B2C" w:rsidRPr="006434F9" w:rsidRDefault="00604B2C" w:rsidP="00604B2C">
      <w:pPr>
        <w:spacing w:after="0"/>
        <w:jc w:val="both"/>
        <w:rPr>
          <w:rFonts w:eastAsia="Times New Roman" w:cs="Sylfaen"/>
        </w:rPr>
      </w:pPr>
    </w:p>
    <w:p w14:paraId="4B2C17EE" w14:textId="77777777" w:rsidR="000A6A5F" w:rsidRPr="00604B2C" w:rsidRDefault="000A6A5F" w:rsidP="00604B2C">
      <w:pPr>
        <w:spacing w:after="0"/>
        <w:jc w:val="both"/>
        <w:rPr>
          <w:rFonts w:eastAsia="Times New Roman" w:cs="Sylfaen"/>
        </w:rPr>
      </w:pPr>
    </w:p>
    <w:p w14:paraId="5B74B04E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4" w:name="_Toc64557895"/>
      <w:r w:rsidRPr="006434F9">
        <w:rPr>
          <w:rFonts w:eastAsia="Times New Roman"/>
        </w:rPr>
        <w:t>ՀԱՐԿԱՅԻՆ ԵՎ ՄԱՔՍԱՅԻՆ ԾԱՌԱՅՈՂՆԵՐԻ ՎԵՐԱՊԱՏՐԱՍՏՈՒՄ</w:t>
      </w:r>
      <w:bookmarkEnd w:id="14"/>
    </w:p>
    <w:p w14:paraId="269C95D3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</w:p>
    <w:p w14:paraId="602C924C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 xml:space="preserve">Հարկային և մաքսային ծառայողների վերապատրաստում միջոցառման շրջանակներում ծախսերի կատարողականը կազմել է 100 տոկոս: Հաշվետու </w:t>
      </w:r>
      <w:r w:rsidRPr="00604B2C">
        <w:rPr>
          <w:rFonts w:eastAsia="Times New Roman" w:cs="Sylfaen"/>
        </w:rPr>
        <w:lastRenderedPageBreak/>
        <w:t>ժամանակաշրջանի ճշտված պլանը, ֆինանսավորումը և դրամարկղի ծախսերը կազմել 97,808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3 հազ. դրամ, իսկ փաստացի ծախսը՝ 99,146.7 հազ. դրամ: Հաշվետու ժամանակաշրջանում նախատեսվել է թվով 1680 հարկային և մաքսային ծառայողների համար կազմակերպել վերապատրաստման դասընթացներ (թվով 29 դասընթաց 113 ուսումնական խմբերով)։ Վերապատրաստումները իրականացվել են պլանավորված դասընթացների և ուսումնական խմբերի քանակներին համապատասխան, սակայն Հանրապետությունում  ստեղծված արտակարգ  իրավիճակով պայմանավորված  (COVID-19) մասնակիցների թվաքանակը նվազել է 795 ծառայողով՝ կազմելով  885 մասնակից:</w:t>
      </w:r>
    </w:p>
    <w:p w14:paraId="28F554DD" w14:textId="3ADD725E" w:rsidR="00604B2C" w:rsidRPr="006434F9" w:rsidRDefault="00604B2C" w:rsidP="00604B2C">
      <w:pPr>
        <w:spacing w:after="0"/>
        <w:contextualSpacing/>
        <w:jc w:val="both"/>
        <w:rPr>
          <w:rFonts w:eastAsia="Times New Roman" w:cs="Sylfaen"/>
        </w:rPr>
      </w:pPr>
    </w:p>
    <w:p w14:paraId="5C795E7B" w14:textId="77777777" w:rsidR="000A6A5F" w:rsidRPr="00604B2C" w:rsidRDefault="000A6A5F" w:rsidP="00604B2C">
      <w:pPr>
        <w:spacing w:after="0"/>
        <w:contextualSpacing/>
        <w:jc w:val="both"/>
        <w:rPr>
          <w:rFonts w:eastAsia="Times New Roman" w:cs="Sylfaen"/>
        </w:rPr>
      </w:pPr>
    </w:p>
    <w:p w14:paraId="66C5614C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5" w:name="_Toc64557896"/>
      <w:r w:rsidRPr="006434F9">
        <w:rPr>
          <w:rFonts w:eastAsia="Times New Roman"/>
        </w:rPr>
        <w:t>ՊԱՐՏԱԴԻՐ ՎՃԱՐՆԵՐ</w:t>
      </w:r>
      <w:bookmarkEnd w:id="15"/>
    </w:p>
    <w:p w14:paraId="3D329799" w14:textId="77777777" w:rsidR="00604B2C" w:rsidRPr="00604B2C" w:rsidRDefault="00604B2C" w:rsidP="00604B2C">
      <w:pPr>
        <w:spacing w:line="256" w:lineRule="auto"/>
        <w:rPr>
          <w:rFonts w:eastAsia="Times New Roman" w:cs="Times New Roman"/>
          <w:color w:val="7030A0"/>
          <w:sz w:val="22"/>
          <w:szCs w:val="22"/>
        </w:rPr>
      </w:pPr>
    </w:p>
    <w:p w14:paraId="58EE8D24" w14:textId="404371B5" w:rsidR="00604B2C" w:rsidRPr="006434F9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ՀՀ պետական կառավարման մարմինների կողմից դիմումներ, հայցադիմումներ, դատարանի վճիռների և որոշումների դեմ վերաքննիչ և վճռաբեկ բողոքներ ներկայացնելիս «Պետական տուրքի մասին» ՀՀ օրենքով սահմանված վճարումների գծով ծախսերը կազմել են 145,077.7 հազ. դրամ, կատարողականը կազմել է 100 տոկոս:</w:t>
      </w:r>
    </w:p>
    <w:p w14:paraId="766E0B63" w14:textId="44D871C0" w:rsidR="000A6A5F" w:rsidRPr="006434F9" w:rsidRDefault="000A6A5F">
      <w:pPr>
        <w:spacing w:line="259" w:lineRule="auto"/>
        <w:rPr>
          <w:rFonts w:eastAsia="Times New Roman" w:cs="Sylfaen"/>
        </w:rPr>
      </w:pPr>
      <w:r w:rsidRPr="006434F9">
        <w:rPr>
          <w:rFonts w:eastAsia="Times New Roman" w:cs="Sylfaen"/>
        </w:rPr>
        <w:br w:type="page"/>
      </w:r>
    </w:p>
    <w:p w14:paraId="52A97FA2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6" w:name="_Toc64557897"/>
      <w:r w:rsidRPr="006434F9">
        <w:rPr>
          <w:rFonts w:eastAsia="Times New Roman"/>
        </w:rPr>
        <w:lastRenderedPageBreak/>
        <w:t>ՀՀ ՊԵՏԱԿԱՆ ԵԿԱՄՈՒՏՆԵՐԻ ԿՈՄԻՏԵԻ ՇԵՆՔԱՅԻՆ ՊԱՅՄԱՆ</w:t>
      </w:r>
      <w:r w:rsidRPr="006434F9">
        <w:rPr>
          <w:rFonts w:eastAsia="Times New Roman"/>
        </w:rPr>
        <w:softHyphen/>
        <w:t>ՆԵ</w:t>
      </w:r>
      <w:r w:rsidRPr="006434F9">
        <w:rPr>
          <w:rFonts w:eastAsia="Times New Roman"/>
        </w:rPr>
        <w:softHyphen/>
        <w:t>ՐՈՎ ԱՊԱՀՈՎՈՒՄ</w:t>
      </w:r>
      <w:bookmarkEnd w:id="16"/>
    </w:p>
    <w:p w14:paraId="4B9256B9" w14:textId="77777777" w:rsidR="00604B2C" w:rsidRPr="00604B2C" w:rsidRDefault="00604B2C" w:rsidP="00604B2C">
      <w:pPr>
        <w:spacing w:line="256" w:lineRule="auto"/>
        <w:rPr>
          <w:rFonts w:eastAsia="Times New Roman" w:cs="Times New Roman"/>
          <w:sz w:val="22"/>
          <w:szCs w:val="22"/>
        </w:rPr>
      </w:pPr>
    </w:p>
    <w:p w14:paraId="4815CE20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ՀՀ պետական եկամուտների կոմիտեի շենքային պայմաններով ապահովվում միջոցա</w:t>
      </w:r>
      <w:r w:rsidRPr="00604B2C">
        <w:rPr>
          <w:rFonts w:eastAsia="Times New Roman" w:cs="Sylfaen"/>
        </w:rPr>
        <w:softHyphen/>
        <w:t>ռումով 2020թ. տարեկան և ինն ամիսների ճշտված պլանները կազմել են 17,325.0 հազ. դրամ, որից հողերի ձեռք բերման համար՝ 15,092.5 հազ.դրամ և  շենքերի և շինությունների ձեռք բերման համար՝ 2,233.0 հազ.դրամ:</w:t>
      </w:r>
    </w:p>
    <w:p w14:paraId="07917014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Սույն ծրագրով նախատեսվել է քաղաք Գյումրի, Թբիլիսյան խճուղի 2/16 հասցեում ձեռք բերել  25,506.9 քառ.մետր հողատարածք և 195.57 քառ.մետր շենք-շինություն, սակայն գույքի սեփականատիրոջ կողմից սեփականության իրավունքի պետական գրանցման գործընթացում ի հայտ եկած անհամապատասխանություններով պայմանավորված գործարքներ չեն կատարվել:</w:t>
      </w:r>
    </w:p>
    <w:p w14:paraId="7185698F" w14:textId="127F8CE5" w:rsidR="00604B2C" w:rsidRPr="006434F9" w:rsidRDefault="00604B2C" w:rsidP="00604B2C">
      <w:pPr>
        <w:spacing w:line="256" w:lineRule="auto"/>
        <w:rPr>
          <w:rFonts w:eastAsia="Times New Roman" w:cs="Sylfaen"/>
        </w:rPr>
      </w:pPr>
    </w:p>
    <w:p w14:paraId="262F78EE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7" w:name="_Toc64557898"/>
      <w:r w:rsidRPr="006434F9">
        <w:rPr>
          <w:rFonts w:eastAsia="Times New Roman"/>
        </w:rPr>
        <w:t>ՍՈՑԻԱԼԱԿԱՆ ՓԱԹԵԹՆԵՐԻ ԱՊԱՀՈՎՈՒՄ</w:t>
      </w:r>
      <w:bookmarkEnd w:id="17"/>
    </w:p>
    <w:p w14:paraId="063EFE2F" w14:textId="77777777" w:rsidR="00604B2C" w:rsidRPr="00604B2C" w:rsidRDefault="00604B2C" w:rsidP="00604B2C">
      <w:pPr>
        <w:spacing w:line="256" w:lineRule="auto"/>
        <w:rPr>
          <w:rFonts w:eastAsia="Times New Roman" w:cs="Times New Roman"/>
          <w:sz w:val="22"/>
          <w:szCs w:val="22"/>
        </w:rPr>
      </w:pPr>
    </w:p>
    <w:p w14:paraId="39A9FBA2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Սոցիալական փաթեթների ապահովում ծրագրի շրջանակներում ՊԵԿ աշխատողներին սոցիալական փաթեթով ապահովման համար 2020թ. պետական բյուջեի տարեկան և ինն ամիսների ճշտված պալնները համապատասխանաբար կազմել են՝ 237,168.0 հազ. դրամ և 158,112.0 հազ. դրամ: 2020թ. ինն ամիսների դրամարկղի ծախսը կազմել է 109,482.35 հազ. դրամ, ճշտված պլանի և դրամարկղի ծախսի տարբերությունը կազմում է 48,629.65 հազ. դրամ գումար կամ ճշտված պլանի 30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8%-ը:</w:t>
      </w:r>
    </w:p>
    <w:p w14:paraId="49275649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Շահառուների նախատեսված քանակը կազմել է 3294 աշխատակից, սակայն սոցիալական փաթեթից օգտվել են 2281 աշխատակից, նախատեսված քանակից 1013 աշխատակցով պակաս, որը համաձայն ՊԵԿ կողմից ներկայացված հաշվետվության, պայմանավորված է աշխատողների աշխատանքի ընդունման վեց ամիսը լրացած չլինելու և շահառուների ցանկում չընդգրկվելու, ինպչես նաև մի շարք աշխատողների կողմից դիմումներ չներկայացնելու հանգամանքներով:</w:t>
      </w:r>
    </w:p>
    <w:p w14:paraId="0525FF99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</w:p>
    <w:p w14:paraId="1DCB323A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8" w:name="_Toc64557899"/>
      <w:r w:rsidRPr="006434F9">
        <w:rPr>
          <w:rFonts w:eastAsia="Times New Roman"/>
        </w:rPr>
        <w:t>ԴՐՈՇՄԱՆԻՇԱՅԻՆ ՎՃԱՐՆԵՐ</w:t>
      </w:r>
      <w:bookmarkEnd w:id="18"/>
    </w:p>
    <w:p w14:paraId="1752A3E7" w14:textId="77777777" w:rsidR="00604B2C" w:rsidRPr="00604B2C" w:rsidRDefault="00604B2C" w:rsidP="00604B2C">
      <w:pPr>
        <w:spacing w:line="256" w:lineRule="auto"/>
        <w:rPr>
          <w:rFonts w:eastAsia="Times New Roman" w:cs="Times New Roman"/>
          <w:sz w:val="22"/>
          <w:szCs w:val="22"/>
        </w:rPr>
      </w:pPr>
    </w:p>
    <w:p w14:paraId="58669DAC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Հայաստանի Հանրապետության պաշտպանության ժամանակ զինծառայողների կյանքին կամ առողջությանը պատճառված վնասների հատուցման մասով 2020թ. պետական բյուջեի ինն ամիսների ճշտված պլանը, ֆինանսավորումը, դրամարկղի և փաստացի ծախսերը համապատասխանաբար կազմել են 6,434,621.9 հազ. դրամ:</w:t>
      </w:r>
    </w:p>
    <w:p w14:paraId="73BBB7A2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lastRenderedPageBreak/>
        <w:t>Վճարումները կատարվել են ՊԵԿ ՏՏ ստորաբաժանման կողմից տրամադրված` փաստացի վճարումների անհատականացված տվյալների հիման վրա:</w:t>
      </w:r>
    </w:p>
    <w:p w14:paraId="1E7C18D3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19" w:name="_Toc64557900"/>
      <w:r w:rsidRPr="006434F9">
        <w:rPr>
          <w:rFonts w:eastAsia="Times New Roman"/>
        </w:rPr>
        <w:t>ԿՈՒՏԱԿԱՅԻՆ ՀԱՏԿԱՑՈՒՄՆԵՐ ՄԱՍՆԱԿՑԻ ԿԵՆՍԱԹՈՇԱԿԱՅԻՆ ՀԱՇՎԻՆ</w:t>
      </w:r>
      <w:bookmarkEnd w:id="19"/>
    </w:p>
    <w:p w14:paraId="19D109D5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</w:rPr>
      </w:pPr>
    </w:p>
    <w:p w14:paraId="0372E62E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Կենշաթոշակային ապահովություն ծրագրի շրջանակներում կուտակային հատկա</w:t>
      </w:r>
      <w:r w:rsidRPr="00604B2C">
        <w:rPr>
          <w:rFonts w:eastAsia="Times New Roman" w:cs="Sylfaen"/>
        </w:rPr>
        <w:softHyphen/>
        <w:t>ցում</w:t>
      </w:r>
      <w:r w:rsidRPr="00604B2C">
        <w:rPr>
          <w:rFonts w:eastAsia="Times New Roman" w:cs="Sylfaen"/>
        </w:rPr>
        <w:softHyphen/>
        <w:t>ներ մասնակցի կենսաթոշակային հաշվին միջոցառման մասով 2020 թվականի տարե</w:t>
      </w:r>
      <w:r w:rsidRPr="00604B2C">
        <w:rPr>
          <w:rFonts w:eastAsia="Times New Roman" w:cs="Sylfaen"/>
        </w:rPr>
        <w:softHyphen/>
        <w:t>կան և ինն ամիսների ճշտված պլանները կազմել են համապատասխանաբար՝ 70,007,556.2 հազ. դրամ և 60,583,055.0 հազ. դրամ։ Դրամարկղի և փաստացի ծախսերը կազմել են 58,705,485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71 հազ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դրամ: Հաշվետու ժամանակաշրջանի պլանի և դրամարկղի ծախսի տարբերությունը կազմել է 1,877,569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>29 հազ. դրամ, մասնակիցների պլանային թվաքանակի՝ 345</w:t>
      </w:r>
      <w:r w:rsidRPr="00604B2C">
        <w:rPr>
          <w:rFonts w:ascii="Calibri" w:eastAsia="Times New Roman" w:hAnsi="Calibri" w:cs="Calibri"/>
        </w:rPr>
        <w:t> </w:t>
      </w:r>
      <w:r w:rsidRPr="00604B2C">
        <w:rPr>
          <w:rFonts w:eastAsia="Times New Roman" w:cs="Sylfaen"/>
        </w:rPr>
        <w:t>467 մարդ, համեմատ փաստացի ցուցանիշը համաձայն ՊԵԿ ՏՏ ստորաբաժանման ամփոփած տվյալների (փաստացի վճարումների անհատականացված տվյալների) կազմել է 376,711 մարդ՝ 31,244 միավորով պակաս:</w:t>
      </w:r>
    </w:p>
    <w:p w14:paraId="69F53638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7F2DF56E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212D7D2A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20" w:name="_Toc64557901"/>
      <w:r w:rsidRPr="006434F9">
        <w:rPr>
          <w:rFonts w:eastAsia="Times New Roman"/>
        </w:rPr>
        <w:t>ԿՈՐՈՆԱՎԻՐՈՒՍԻ ՏՆՏԵՍԱԿԱՆ ՀԵՏԵՎԱՆՔՆԵՐԻ ՉԵԶՈՔԱՑՄԱՆ 5-ՐԴ ԵՎ 10-ՐԴ ՄԻՋՈՑԱՌՄԱՆ ՇՐՋԱՆԱԿՆԵՐՈՒՄ ԱՋԱԿՑՈՒԹՅԱՆ ՏՐԱՄԱԴՐՈՒՄ</w:t>
      </w:r>
      <w:bookmarkEnd w:id="20"/>
    </w:p>
    <w:p w14:paraId="69278601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2C4CB4B9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Միջոցառումով նախատեսվել է կորոնավիրուսի տարածման հետևանքով ՀՀ առանձին տնտեսավարողների (մինչև 20000 սուբյեկտ) մոտ առաջացած դժվարությունների հետևանքով  աշխատատեղերի պահպանության և շուրջ 6200 միկրոձեռնարկատիրության սուբյեկտ հանդիսացող տնտեսավարողներին ցուցաբերել օժանդակություն, որի նպատակով 2020թ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ինն ամիսներում նախատեսվել է 2,200,000.0 հազ.դրամ գումար: Միջոցառման շրջանակներում աջակցություն ստանալու նպատակով փաստացի դիմել է 13928 տնտեսվարող սուբյեկտ և 5134 միկրոձեռնարկատիրության սուբյեկտներ, որոնց գծով ծախսը կազմել է 2,185,193.39 հազ.դրամ:</w:t>
      </w:r>
    </w:p>
    <w:p w14:paraId="15BDE750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315FB431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3F908442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21" w:name="_Toc64557902"/>
      <w:r w:rsidRPr="006434F9">
        <w:rPr>
          <w:rFonts w:eastAsia="Times New Roman"/>
        </w:rPr>
        <w:t>ԿՈՐՈՆԱՎԻՐՈՒՍԻ ՏՆՏԵՍԱԿԱՆ ՀԵՏԵՎԱՆՔՆԵՐԻ ՉԵԶՈՔԱՑՄԱՆ 18-ՐԴ ՄԻՋՈՑԱՌՄԱՆ ՇՐՋԱՆԱԿՆԵՐՈՒՄ ԱՋԱԿՑՈՒԹՅԱՆ ՏՐԱՄԱԴՐՈՒՄ</w:t>
      </w:r>
      <w:bookmarkEnd w:id="21"/>
    </w:p>
    <w:p w14:paraId="262EA441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00B050"/>
        </w:rPr>
      </w:pPr>
    </w:p>
    <w:p w14:paraId="66602801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lastRenderedPageBreak/>
        <w:t>Միջոցառումով նախատեսվել է կորոնավիրուսի տարածման հետևանքով ՀՀ առանձին տնտեսավարողների (մինչև 20000 սուբյեկտ) մոտ առաջացած դժվարությունների հետևանքով  աշխատատեղերի պահպանության նպատակով տնտեսավարողներին ցուցաբերել օժանդակություն, որի համար 2020թ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ինն ամիսներում նախատեսվել նախատեսվել է 2,114,000.0 հազ.դրամ գումար: Միջոցառման շրջանակներում աջակցություն ստանալու նպատակով փաստացի դիմել է 11700 շահառու, ծախսված միջոցների գումարը կազմել է 2,113,996.7 հազ.դրամ:</w:t>
      </w:r>
    </w:p>
    <w:p w14:paraId="11EB98C4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165047FC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7030A0"/>
        </w:rPr>
      </w:pPr>
    </w:p>
    <w:p w14:paraId="20E64B8A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22" w:name="_Toc64557903"/>
      <w:r w:rsidRPr="006434F9">
        <w:rPr>
          <w:rFonts w:eastAsia="Times New Roman"/>
        </w:rPr>
        <w:t>ԿՈՐՈՆԱՎԻՐՈՒՍԻ ՏՆՏԵՍԱԿԱՆ ՀԵՏԵՎԱՆՔՆԵՐԻ ՉԵԶՈՔԱՑՄԱՆ 21-ՐԴ ՄԻՋՈՑԱՌՄԱՆ ՇՐՋԱՆԱԿՆԵՐՈՒՄ ԱՋԱԿՑՈՒԹՅԱՆ ՏՐԱՄԱԴՐՈՒՄ</w:t>
      </w:r>
      <w:bookmarkEnd w:id="22"/>
    </w:p>
    <w:p w14:paraId="3DECC16D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00B050"/>
        </w:rPr>
      </w:pPr>
    </w:p>
    <w:p w14:paraId="3EC559B3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Միջոցառումով նախատեսվել է կորոնավիրուսի տարածման հետևանքով ՀՀ առանձին տնտեսավարողների (մինչև 15,630 սուբյեկտ) մոտ առաջացած դժվարությունների հետևանքով  աշխատատեղերի պահպանության նպատակով տնտեսավարողներին ցուցաբերել օժանդակություն, որի համար 2020թ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ինն ամիսներում նախատեսվել նախատեսվել է 2,630,000.0 հազ.դրամ գումար: Միջոցառման շրջանակներում աջակցություն ստանալու նպատակով փաստացի դիմել է 12,841 շահառու, ծախսված միջոցների գումարը կազմել է 2,614,916.9 հազ.դրամ:</w:t>
      </w:r>
    </w:p>
    <w:p w14:paraId="340EFF78" w14:textId="77777777" w:rsidR="00604B2C" w:rsidRPr="00604B2C" w:rsidRDefault="00604B2C" w:rsidP="00604B2C">
      <w:pPr>
        <w:spacing w:after="0"/>
        <w:ind w:firstLine="360"/>
        <w:contextualSpacing/>
        <w:jc w:val="both"/>
        <w:rPr>
          <w:rFonts w:eastAsia="Times New Roman" w:cs="Sylfaen"/>
        </w:rPr>
      </w:pPr>
    </w:p>
    <w:p w14:paraId="3E6B7776" w14:textId="77777777" w:rsidR="00604B2C" w:rsidRPr="00604B2C" w:rsidRDefault="00604B2C" w:rsidP="00604B2C">
      <w:pPr>
        <w:spacing w:after="0"/>
        <w:ind w:firstLine="360"/>
        <w:contextualSpacing/>
        <w:jc w:val="both"/>
        <w:rPr>
          <w:rFonts w:eastAsia="Times New Roman" w:cs="Sylfaen"/>
        </w:rPr>
      </w:pPr>
    </w:p>
    <w:p w14:paraId="3BD2ADAE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23" w:name="_Toc64557904"/>
      <w:r w:rsidRPr="006434F9">
        <w:rPr>
          <w:rFonts w:eastAsia="Times New Roman"/>
        </w:rPr>
        <w:t>ԿՈՐՈՆԱՎԻՐՈՒՍԻ ՏՆՏԵՍԱԿԱՆ ՀԵՏԵՎԱՆՔՆԵՐԻ ՉԵԶՈՔԱՑՄԱՆ 10-ՐԴ ՄԻՋՈՑԱՌՄԱՆ ՇՐՋԱՆԱԿՆԵՐՈՒՄ ԱՋԱԿՑՈՒԹՅԱՆ ՏՐԱՄԱԴՐՈՒՄ</w:t>
      </w:r>
      <w:bookmarkEnd w:id="23"/>
    </w:p>
    <w:p w14:paraId="1C5DAE73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00B050"/>
        </w:rPr>
      </w:pPr>
    </w:p>
    <w:p w14:paraId="50FA3B22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  <w:r w:rsidRPr="00604B2C">
        <w:rPr>
          <w:rFonts w:eastAsia="Times New Roman" w:cs="Sylfaen"/>
        </w:rPr>
        <w:t>Միջոցառումով նախատեսվել է կորոնավիրուսի տարածման հետևանքով ՀՀ առանձին տնտեսավարողների (մինչև 6,200 տնտեսվարող) մոտ առաջացած դժվարությունների հետևանքով աշխատատեղերի պահպանության նպատակով տնտեսավարողներին ցուցաբերել օժանդակություն, որի համար 2020թ</w:t>
      </w:r>
      <w:r w:rsidRPr="00604B2C">
        <w:rPr>
          <w:rFonts w:ascii="Cambria Math" w:eastAsia="Times New Roman" w:hAnsi="Cambria Math" w:cs="Cambria Math"/>
        </w:rPr>
        <w:t>․</w:t>
      </w:r>
      <w:r w:rsidRPr="00604B2C">
        <w:rPr>
          <w:rFonts w:eastAsia="Times New Roman" w:cs="Sylfaen"/>
        </w:rPr>
        <w:t xml:space="preserve"> ինն ամիսներում նախատեսվել նախատեսվել է 300,000.0 հազ.դրամ գումար: Միջոցառման շրջանակներում աջակցություն ստանալու նպատակով փաստացի դիմել է 5,388 շահառու, ծախսված միջոցների գումարը կազմել է 294,684.23 հազ.դրամ:</w:t>
      </w:r>
    </w:p>
    <w:p w14:paraId="2ABB5A86" w14:textId="77777777" w:rsidR="00604B2C" w:rsidRPr="00604B2C" w:rsidRDefault="00604B2C" w:rsidP="00604B2C">
      <w:pPr>
        <w:spacing w:after="0"/>
        <w:ind w:firstLine="567"/>
        <w:contextualSpacing/>
        <w:jc w:val="both"/>
        <w:rPr>
          <w:rFonts w:eastAsia="Times New Roman" w:cs="Sylfaen"/>
        </w:rPr>
      </w:pPr>
    </w:p>
    <w:p w14:paraId="708C91FB" w14:textId="12FCB214" w:rsidR="000A6A5F" w:rsidRPr="006434F9" w:rsidRDefault="000A6A5F">
      <w:pPr>
        <w:spacing w:line="259" w:lineRule="auto"/>
        <w:rPr>
          <w:rFonts w:eastAsia="Times New Roman" w:cs="Sylfaen"/>
        </w:rPr>
      </w:pPr>
      <w:r w:rsidRPr="006434F9">
        <w:rPr>
          <w:rFonts w:eastAsia="Times New Roman" w:cs="Sylfaen"/>
        </w:rPr>
        <w:br w:type="page"/>
      </w:r>
    </w:p>
    <w:p w14:paraId="5BC93913" w14:textId="77777777" w:rsidR="00604B2C" w:rsidRPr="006434F9" w:rsidRDefault="00604B2C" w:rsidP="00D13D82">
      <w:pPr>
        <w:pStyle w:val="Heading3"/>
        <w:rPr>
          <w:rFonts w:eastAsia="Times New Roman"/>
        </w:rPr>
      </w:pPr>
      <w:bookmarkStart w:id="24" w:name="_Toc64557905"/>
      <w:r w:rsidRPr="006434F9">
        <w:rPr>
          <w:rFonts w:eastAsia="Times New Roman"/>
        </w:rPr>
        <w:lastRenderedPageBreak/>
        <w:t>ԿՈՐՈՆԱՎԻՐՈՒՍԻ ՏՆՏԵՍԱԿԱՆ ՀԵՏԵՎԱՆՔՆԵՐԻ ՉԵԶՈՔԱՑՄԱՆ 23-ՐԴ ՄԻՋՈՑԱՌՄԱՆ ՇՐՋԱՆԱԿՆԵՐՈՒՄ ԱՋԱԿՑՈՒԹՅԱՆ ՏՐԱՄԱԴՐՈՒՄ</w:t>
      </w:r>
      <w:bookmarkEnd w:id="24"/>
    </w:p>
    <w:p w14:paraId="519F8783" w14:textId="77777777" w:rsidR="00604B2C" w:rsidRPr="00604B2C" w:rsidRDefault="00604B2C" w:rsidP="00604B2C">
      <w:pPr>
        <w:spacing w:after="0"/>
        <w:contextualSpacing/>
        <w:jc w:val="both"/>
        <w:rPr>
          <w:rFonts w:eastAsia="Times New Roman" w:cs="Sylfaen"/>
          <w:color w:val="00B050"/>
        </w:rPr>
      </w:pPr>
    </w:p>
    <w:p w14:paraId="21FC5051" w14:textId="701E7EDC" w:rsidR="00604B2C" w:rsidRPr="006434F9" w:rsidRDefault="00604B2C" w:rsidP="00604B2C">
      <w:pPr>
        <w:spacing w:after="120"/>
        <w:ind w:firstLine="567"/>
        <w:jc w:val="both"/>
        <w:rPr>
          <w:rFonts w:cs="Sylfaen"/>
        </w:rPr>
      </w:pPr>
      <w:r w:rsidRPr="006434F9">
        <w:rPr>
          <w:rFonts w:eastAsia="Times New Roman" w:cs="Sylfaen"/>
        </w:rPr>
        <w:t>Միջոցառումով նախատեսվել է կորոնավիրուսի տարածման հետևանքով ՀՀ առանձին տնտեսավարողների (մինչև 1,500 տնտեսվարող) մոտ առաջացած դժվարությունների հետևանքով  աշխատատեղերի պահպանության նպատակով տնտեսավարողներին ցուցաբերել օժանդակություն, որի համար 2020թ</w:t>
      </w:r>
      <w:r w:rsidRPr="006434F9">
        <w:rPr>
          <w:rFonts w:ascii="Cambria Math" w:eastAsia="Times New Roman" w:hAnsi="Cambria Math" w:cs="Cambria Math"/>
        </w:rPr>
        <w:t>․</w:t>
      </w:r>
      <w:r w:rsidRPr="006434F9">
        <w:rPr>
          <w:rFonts w:eastAsia="Times New Roman" w:cs="Sylfaen"/>
        </w:rPr>
        <w:t xml:space="preserve"> ինն ամիսներում նախատեսվել է 3,300,000.0 հազ.դրամ գումար: Միջոցառման շրջանակներում աջակցություն ստանալու նպատակով փաստացի դիմել է 1,394 շահառու, ծախսված միջոցների գումարը կազմել է 1,139,726.16 հազ.դրամ:</w:t>
      </w:r>
    </w:p>
    <w:p w14:paraId="032E3A05" w14:textId="22D92428" w:rsidR="00F868B6" w:rsidRPr="006434F9" w:rsidRDefault="00F868B6">
      <w:pPr>
        <w:spacing w:line="259" w:lineRule="auto"/>
        <w:rPr>
          <w:rFonts w:cs="Sylfaen"/>
        </w:rPr>
      </w:pPr>
      <w:r w:rsidRPr="006434F9">
        <w:rPr>
          <w:rFonts w:cs="Sylfaen"/>
        </w:rPr>
        <w:br w:type="page"/>
      </w:r>
    </w:p>
    <w:p w14:paraId="6BC874BB" w14:textId="1287133A" w:rsidR="00E64A89" w:rsidRPr="006434F9" w:rsidRDefault="00E64A89" w:rsidP="002A1C58">
      <w:pPr>
        <w:pStyle w:val="Heading2"/>
      </w:pPr>
      <w:bookmarkStart w:id="25" w:name="_Toc64557906"/>
      <w:r w:rsidRPr="006434F9">
        <w:lastRenderedPageBreak/>
        <w:t>ԱՆՀԱՄԱՊԱՏԱՍԽԱՆՈՒԹՅՈՒՆՆԵՐԻ ՎԵՐԱԲԵՐՅԱԼ ԳՐԱՌՈՒՄՆԵՐ</w:t>
      </w:r>
      <w:bookmarkEnd w:id="25"/>
    </w:p>
    <w:p w14:paraId="16A964FF" w14:textId="77777777" w:rsidR="00BE238B" w:rsidRPr="006434F9" w:rsidRDefault="00BE238B" w:rsidP="00F44095">
      <w:pPr>
        <w:ind w:firstLine="567"/>
      </w:pPr>
    </w:p>
    <w:p w14:paraId="62F94434" w14:textId="02FC00D2" w:rsidR="00D069EB" w:rsidRPr="006434F9" w:rsidRDefault="00F44095" w:rsidP="008616B8">
      <w:pPr>
        <w:ind w:firstLine="567"/>
        <w:jc w:val="both"/>
      </w:pPr>
      <w:r w:rsidRPr="006434F9">
        <w:t xml:space="preserve">Հաշվեքննության ընթացքում էական </w:t>
      </w:r>
      <w:r w:rsidR="00BE238B" w:rsidRPr="006434F9">
        <w:t>անհամապատասխանություններ</w:t>
      </w:r>
      <w:r w:rsidRPr="006434F9">
        <w:t xml:space="preserve"> չեն հայտնաբերվել</w:t>
      </w:r>
      <w:r w:rsidR="000713E2" w:rsidRPr="006434F9">
        <w:t>։</w:t>
      </w:r>
    </w:p>
    <w:p w14:paraId="7AD6B082" w14:textId="193E6177" w:rsidR="00D069EB" w:rsidRPr="006434F9" w:rsidRDefault="00D069EB" w:rsidP="00D069EB"/>
    <w:p w14:paraId="092DDDFD" w14:textId="77777777" w:rsidR="00D069EB" w:rsidRPr="006434F9" w:rsidRDefault="00D069EB" w:rsidP="00D069EB"/>
    <w:p w14:paraId="20879211" w14:textId="3FA9D886" w:rsidR="00AE0401" w:rsidRPr="006434F9" w:rsidRDefault="00AE0401" w:rsidP="002A1C58">
      <w:pPr>
        <w:pStyle w:val="Heading2"/>
      </w:pPr>
      <w:bookmarkStart w:id="26" w:name="_Toc64557907"/>
      <w:r w:rsidRPr="006434F9">
        <w:t>ԽԵՂԱԹՅՈՒՐՈՒՄՆԵՐԻ ՎԵՐԱԲԵՐՅԱԼ ԳՐԱՌՈՒՄՆԵՐ</w:t>
      </w:r>
      <w:bookmarkEnd w:id="26"/>
    </w:p>
    <w:p w14:paraId="0BFCA2D1" w14:textId="77777777" w:rsidR="00D069EB" w:rsidRPr="006434F9" w:rsidRDefault="00D069EB" w:rsidP="00D069EB"/>
    <w:p w14:paraId="71E46D8F" w14:textId="3857664E" w:rsidR="00D069EB" w:rsidRPr="006434F9" w:rsidRDefault="00D069EB" w:rsidP="008616B8">
      <w:pPr>
        <w:ind w:firstLine="567"/>
        <w:jc w:val="both"/>
      </w:pPr>
      <w:r w:rsidRPr="006434F9">
        <w:t>Հաշվեքննության ընթացքում էական խեղաթյուրումներ չեն հայտնաբերվել։</w:t>
      </w:r>
    </w:p>
    <w:p w14:paraId="6CBE7D24" w14:textId="62D3C07E" w:rsidR="008071DF" w:rsidRPr="006434F9" w:rsidRDefault="008071DF" w:rsidP="008071DF"/>
    <w:p w14:paraId="708C89B2" w14:textId="77777777" w:rsidR="008071DF" w:rsidRPr="006434F9" w:rsidRDefault="008071DF" w:rsidP="008071DF"/>
    <w:p w14:paraId="599FC639" w14:textId="4B332774" w:rsidR="00603D17" w:rsidRPr="006434F9" w:rsidRDefault="00603D17" w:rsidP="00603D17">
      <w:pPr>
        <w:pStyle w:val="Heading2"/>
      </w:pPr>
      <w:bookmarkStart w:id="27" w:name="_Toc64557908"/>
      <w:r w:rsidRPr="006434F9">
        <w:t>ՀԵՏՀՍԿՈՂԱԿԱՆ ԳՈՐԾԸՆԹԱՑ</w:t>
      </w:r>
      <w:bookmarkEnd w:id="27"/>
    </w:p>
    <w:p w14:paraId="7B7103B9" w14:textId="77777777" w:rsidR="00A51240" w:rsidRPr="006434F9" w:rsidRDefault="00A51240" w:rsidP="00A51240">
      <w:pPr>
        <w:ind w:firstLine="567"/>
      </w:pPr>
    </w:p>
    <w:p w14:paraId="34F40CFE" w14:textId="419728EE" w:rsidR="00D069EB" w:rsidRPr="006434F9" w:rsidRDefault="00A51240" w:rsidP="00010168">
      <w:pPr>
        <w:ind w:firstLine="567"/>
        <w:jc w:val="both"/>
      </w:pPr>
      <w:r w:rsidRPr="006434F9">
        <w:t xml:space="preserve">ՀՀ պետական եկամուտների կոմիտեում 2020 թվականի պետական բյուջեի </w:t>
      </w:r>
      <w:r w:rsidR="00DD7B2D" w:rsidRPr="006434F9">
        <w:t>ինն</w:t>
      </w:r>
      <w:r w:rsidRPr="006434F9">
        <w:t xml:space="preserve"> ամիսների կատարման հաշվեքննության</w:t>
      </w:r>
      <w:r w:rsidR="00A00D79" w:rsidRPr="006434F9">
        <w:t xml:space="preserve"> </w:t>
      </w:r>
      <w:r w:rsidR="00FD1AF1" w:rsidRPr="006434F9">
        <w:t xml:space="preserve">արդյունքում </w:t>
      </w:r>
      <w:r w:rsidR="00DD2782" w:rsidRPr="006434F9">
        <w:t>անհամապատասխանություններ և խեղաթյուրումներ չեն հայտնաբերվել</w:t>
      </w:r>
      <w:r w:rsidR="00E1111B" w:rsidRPr="006434F9">
        <w:t xml:space="preserve">, ՀՀ հաշվեքննիչ պալատի կողմից </w:t>
      </w:r>
      <w:r w:rsidR="009D44BE" w:rsidRPr="006434F9">
        <w:t>առաջարկություններ</w:t>
      </w:r>
      <w:r w:rsidR="00E1111B" w:rsidRPr="006434F9">
        <w:t xml:space="preserve"> չեն ներկայացվել</w:t>
      </w:r>
      <w:r w:rsidR="00C63238" w:rsidRPr="006434F9">
        <w:t>։</w:t>
      </w:r>
    </w:p>
    <w:p w14:paraId="14C7A34B" w14:textId="77777777" w:rsidR="00EF338A" w:rsidRPr="006434F9" w:rsidRDefault="00EF338A" w:rsidP="00666151">
      <w:pPr>
        <w:ind w:firstLine="567"/>
      </w:pPr>
    </w:p>
    <w:p w14:paraId="089D2788" w14:textId="31DD3DA5" w:rsidR="00603D17" w:rsidRPr="006434F9" w:rsidRDefault="00603D17" w:rsidP="004A70C6"/>
    <w:p w14:paraId="0F929F43" w14:textId="77777777" w:rsidR="00603D17" w:rsidRPr="006434F9" w:rsidRDefault="00603D17" w:rsidP="004A70C6"/>
    <w:p w14:paraId="6443215F" w14:textId="77777777" w:rsidR="00A615E2" w:rsidRPr="006434F9" w:rsidRDefault="00A615E2" w:rsidP="00596DD0">
      <w:pPr>
        <w:pStyle w:val="ListParagraph"/>
        <w:spacing w:after="120"/>
        <w:ind w:left="0"/>
        <w:jc w:val="both"/>
        <w:rPr>
          <w:rFonts w:cs="Sylfaen"/>
        </w:rPr>
      </w:pPr>
    </w:p>
    <w:p w14:paraId="23CC037B" w14:textId="77777777" w:rsidR="00F965A4" w:rsidRPr="006434F9" w:rsidRDefault="00F965A4" w:rsidP="00596DD0">
      <w:pPr>
        <w:pStyle w:val="ListParagraph"/>
        <w:spacing w:after="120"/>
        <w:ind w:left="0"/>
        <w:jc w:val="both"/>
        <w:rPr>
          <w:rFonts w:cs="Sylfaen"/>
        </w:rPr>
      </w:pPr>
    </w:p>
    <w:p w14:paraId="2E753989" w14:textId="622D1782" w:rsidR="009F759F" w:rsidRPr="006434F9" w:rsidRDefault="009F759F" w:rsidP="00596DD0">
      <w:pPr>
        <w:pStyle w:val="ListParagraph"/>
        <w:spacing w:after="120"/>
        <w:ind w:left="0"/>
        <w:jc w:val="both"/>
        <w:rPr>
          <w:rFonts w:cs="Sylfaen"/>
        </w:rPr>
      </w:pPr>
    </w:p>
    <w:p w14:paraId="5FFCD1DE" w14:textId="6402AAED" w:rsidR="009F759F" w:rsidRPr="00C869EB" w:rsidRDefault="009F759F" w:rsidP="00C869EB">
      <w:pPr>
        <w:spacing w:after="120"/>
        <w:jc w:val="both"/>
        <w:rPr>
          <w:rFonts w:cs="Sylfaen"/>
          <w:b/>
          <w:bCs/>
        </w:rPr>
      </w:pPr>
    </w:p>
    <w:p w14:paraId="47DC382A" w14:textId="77777777" w:rsidR="009F759F" w:rsidRPr="006434F9" w:rsidRDefault="009F759F" w:rsidP="00596DD0">
      <w:pPr>
        <w:pStyle w:val="ListParagraph"/>
        <w:spacing w:after="120"/>
        <w:ind w:left="0"/>
        <w:jc w:val="right"/>
        <w:rPr>
          <w:rFonts w:cs="Sylfaen"/>
        </w:rPr>
      </w:pPr>
    </w:p>
    <w:sectPr w:rsidR="009F759F" w:rsidRPr="006434F9" w:rsidSect="000159A2">
      <w:headerReference w:type="default" r:id="rId11"/>
      <w:type w:val="continuous"/>
      <w:pgSz w:w="11906" w:h="16838" w:code="9"/>
      <w:pgMar w:top="862" w:right="902" w:bottom="851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2DD6" w14:textId="77777777" w:rsidR="00CE5E1A" w:rsidRDefault="00CE5E1A" w:rsidP="00D40702">
      <w:r>
        <w:separator/>
      </w:r>
    </w:p>
  </w:endnote>
  <w:endnote w:type="continuationSeparator" w:id="0">
    <w:p w14:paraId="6602BBBD" w14:textId="77777777" w:rsidR="00CE5E1A" w:rsidRDefault="00CE5E1A" w:rsidP="00D4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06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37D11" w14:textId="37E4BBDE" w:rsidR="00415264" w:rsidRDefault="00415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80E52" w14:textId="77777777" w:rsidR="00415264" w:rsidRDefault="00415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E2A8" w14:textId="77777777" w:rsidR="00CE5E1A" w:rsidRDefault="00CE5E1A" w:rsidP="00D40702">
      <w:r>
        <w:separator/>
      </w:r>
    </w:p>
  </w:footnote>
  <w:footnote w:type="continuationSeparator" w:id="0">
    <w:p w14:paraId="5EFA38EE" w14:textId="77777777" w:rsidR="00CE5E1A" w:rsidRDefault="00CE5E1A" w:rsidP="00D4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C604" w14:textId="77777777" w:rsidR="00C869EB" w:rsidRPr="00C869EB" w:rsidRDefault="00C869EB" w:rsidP="00C869EB">
    <w:pPr>
      <w:pStyle w:val="Header"/>
      <w:jc w:val="right"/>
      <w:rPr>
        <w:i/>
        <w:sz w:val="22"/>
        <w:szCs w:val="22"/>
      </w:rPr>
    </w:pPr>
    <w:r w:rsidRPr="00C869EB">
      <w:rPr>
        <w:i/>
        <w:sz w:val="22"/>
        <w:szCs w:val="22"/>
      </w:rPr>
      <w:t>Հավելված</w:t>
    </w:r>
  </w:p>
  <w:p w14:paraId="0CCE419A" w14:textId="77777777" w:rsidR="00C869EB" w:rsidRPr="00C869EB" w:rsidRDefault="00C869EB" w:rsidP="00C869EB">
    <w:pPr>
      <w:pStyle w:val="Header"/>
      <w:jc w:val="right"/>
      <w:rPr>
        <w:i/>
        <w:sz w:val="22"/>
        <w:szCs w:val="22"/>
      </w:rPr>
    </w:pPr>
    <w:r w:rsidRPr="00C869EB">
      <w:rPr>
        <w:i/>
        <w:sz w:val="22"/>
        <w:szCs w:val="22"/>
      </w:rPr>
      <w:t>Հաշվեքննիչ պալատի</w:t>
    </w:r>
  </w:p>
  <w:p w14:paraId="5FB7629F" w14:textId="488B40AE" w:rsidR="00C869EB" w:rsidRPr="00C869EB" w:rsidRDefault="00C869EB" w:rsidP="00C869EB">
    <w:pPr>
      <w:pStyle w:val="Header"/>
      <w:jc w:val="right"/>
      <w:rPr>
        <w:i/>
        <w:sz w:val="22"/>
        <w:szCs w:val="22"/>
      </w:rPr>
    </w:pPr>
    <w:r w:rsidRPr="00C869EB">
      <w:rPr>
        <w:i/>
        <w:sz w:val="22"/>
        <w:szCs w:val="22"/>
      </w:rPr>
      <w:t>2021թ</w:t>
    </w:r>
    <w:r w:rsidRPr="00C869EB">
      <w:rPr>
        <w:i/>
        <w:sz w:val="22"/>
        <w:szCs w:val="22"/>
      </w:rPr>
      <w:t>.</w:t>
    </w:r>
    <w:r w:rsidRPr="00C869EB">
      <w:rPr>
        <w:i/>
        <w:sz w:val="22"/>
        <w:szCs w:val="22"/>
      </w:rPr>
      <w:t>փետրվարի 25-ի թիվ</w:t>
    </w:r>
    <w:r w:rsidRPr="00C869EB">
      <w:rPr>
        <w:i/>
        <w:sz w:val="22"/>
        <w:szCs w:val="22"/>
      </w:rPr>
      <w:t xml:space="preserve"> 48</w:t>
    </w:r>
    <w:r w:rsidRPr="00C869EB">
      <w:rPr>
        <w:i/>
        <w:sz w:val="22"/>
        <w:szCs w:val="22"/>
      </w:rPr>
      <w:t>-Ա որոշման</w:t>
    </w:r>
  </w:p>
  <w:p w14:paraId="5C6DEDA0" w14:textId="603118E9" w:rsidR="00FD00CC" w:rsidRPr="00C869EB" w:rsidRDefault="00FD00CC" w:rsidP="00C869EB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3D4D" w14:textId="2A87F128" w:rsidR="003450D0" w:rsidRDefault="003450D0" w:rsidP="00C869EB">
    <w:pPr>
      <w:pStyle w:val="Header"/>
    </w:pPr>
  </w:p>
  <w:p w14:paraId="3C3B4CB8" w14:textId="77777777" w:rsidR="00C869EB" w:rsidRPr="00C869EB" w:rsidRDefault="00C869EB" w:rsidP="00C86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FD4"/>
    <w:multiLevelType w:val="hybridMultilevel"/>
    <w:tmpl w:val="AFD4D486"/>
    <w:lvl w:ilvl="0" w:tplc="2AEE7590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1498"/>
    <w:multiLevelType w:val="hybridMultilevel"/>
    <w:tmpl w:val="4AFCF94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9A42917"/>
    <w:multiLevelType w:val="hybridMultilevel"/>
    <w:tmpl w:val="455C51DA"/>
    <w:lvl w:ilvl="0" w:tplc="D43200AC">
      <w:start w:val="1"/>
      <w:numFmt w:val="decimal"/>
      <w:lvlText w:val="%1."/>
      <w:lvlJc w:val="left"/>
      <w:pPr>
        <w:ind w:left="720" w:hanging="360"/>
      </w:pPr>
      <w:rPr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77AC"/>
    <w:multiLevelType w:val="hybridMultilevel"/>
    <w:tmpl w:val="9A785EA8"/>
    <w:lvl w:ilvl="0" w:tplc="B4AA6DC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873D0"/>
    <w:multiLevelType w:val="hybridMultilevel"/>
    <w:tmpl w:val="2D044ED0"/>
    <w:lvl w:ilvl="0" w:tplc="E31A00C2">
      <w:start w:val="1"/>
      <w:numFmt w:val="decimal"/>
      <w:pStyle w:val="Heading3"/>
      <w:lvlText w:val="%1."/>
      <w:lvlJc w:val="left"/>
      <w:pPr>
        <w:ind w:left="720" w:hanging="360"/>
      </w:pPr>
      <w:rPr>
        <w:rFonts w:ascii="GHEA Grapalat" w:hAnsi="GHEA Grapalat"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3"/>
    <w:rsid w:val="00000920"/>
    <w:rsid w:val="00001BB7"/>
    <w:rsid w:val="000055F6"/>
    <w:rsid w:val="000069C5"/>
    <w:rsid w:val="00007822"/>
    <w:rsid w:val="00010168"/>
    <w:rsid w:val="00011404"/>
    <w:rsid w:val="000159A2"/>
    <w:rsid w:val="00020345"/>
    <w:rsid w:val="000240B0"/>
    <w:rsid w:val="00033F36"/>
    <w:rsid w:val="000363FD"/>
    <w:rsid w:val="00044807"/>
    <w:rsid w:val="00063502"/>
    <w:rsid w:val="00066A45"/>
    <w:rsid w:val="000675A0"/>
    <w:rsid w:val="000713E2"/>
    <w:rsid w:val="000749E0"/>
    <w:rsid w:val="000874DF"/>
    <w:rsid w:val="00087B1C"/>
    <w:rsid w:val="00093A2E"/>
    <w:rsid w:val="000A1070"/>
    <w:rsid w:val="000A6170"/>
    <w:rsid w:val="000A6A5F"/>
    <w:rsid w:val="000B315C"/>
    <w:rsid w:val="000B5A8D"/>
    <w:rsid w:val="000C00F7"/>
    <w:rsid w:val="000C4E32"/>
    <w:rsid w:val="000C5D05"/>
    <w:rsid w:val="000D4336"/>
    <w:rsid w:val="000D57D8"/>
    <w:rsid w:val="000E3149"/>
    <w:rsid w:val="000F0FCA"/>
    <w:rsid w:val="000F3D40"/>
    <w:rsid w:val="000F5EFE"/>
    <w:rsid w:val="000F7854"/>
    <w:rsid w:val="001077F0"/>
    <w:rsid w:val="00107DF2"/>
    <w:rsid w:val="00111CAA"/>
    <w:rsid w:val="00112578"/>
    <w:rsid w:val="00112C78"/>
    <w:rsid w:val="0011474A"/>
    <w:rsid w:val="00115DFA"/>
    <w:rsid w:val="001232A9"/>
    <w:rsid w:val="00133CFD"/>
    <w:rsid w:val="001426C7"/>
    <w:rsid w:val="0015036C"/>
    <w:rsid w:val="0015668C"/>
    <w:rsid w:val="001607BE"/>
    <w:rsid w:val="00165671"/>
    <w:rsid w:val="00175A69"/>
    <w:rsid w:val="0017666D"/>
    <w:rsid w:val="001770EE"/>
    <w:rsid w:val="001800EF"/>
    <w:rsid w:val="00183511"/>
    <w:rsid w:val="00184193"/>
    <w:rsid w:val="001855FB"/>
    <w:rsid w:val="00187EBB"/>
    <w:rsid w:val="001B06CC"/>
    <w:rsid w:val="001B0E9D"/>
    <w:rsid w:val="001B1D72"/>
    <w:rsid w:val="001B6BD3"/>
    <w:rsid w:val="001B6ED3"/>
    <w:rsid w:val="001B7612"/>
    <w:rsid w:val="001C03A1"/>
    <w:rsid w:val="001C13CB"/>
    <w:rsid w:val="001C3535"/>
    <w:rsid w:val="001C62FE"/>
    <w:rsid w:val="001C6F69"/>
    <w:rsid w:val="001E000E"/>
    <w:rsid w:val="001F3088"/>
    <w:rsid w:val="001F35E0"/>
    <w:rsid w:val="001F45B0"/>
    <w:rsid w:val="001F7D15"/>
    <w:rsid w:val="0020534D"/>
    <w:rsid w:val="002072E9"/>
    <w:rsid w:val="00207522"/>
    <w:rsid w:val="00214B21"/>
    <w:rsid w:val="002158BE"/>
    <w:rsid w:val="0022096A"/>
    <w:rsid w:val="00220E21"/>
    <w:rsid w:val="002211B7"/>
    <w:rsid w:val="00221BFB"/>
    <w:rsid w:val="00223711"/>
    <w:rsid w:val="002251BF"/>
    <w:rsid w:val="00231AD1"/>
    <w:rsid w:val="00232A6B"/>
    <w:rsid w:val="00236EEA"/>
    <w:rsid w:val="002411FF"/>
    <w:rsid w:val="002432E2"/>
    <w:rsid w:val="002473B1"/>
    <w:rsid w:val="00256CF8"/>
    <w:rsid w:val="00260875"/>
    <w:rsid w:val="00265B34"/>
    <w:rsid w:val="00270BFD"/>
    <w:rsid w:val="00272E9E"/>
    <w:rsid w:val="00290267"/>
    <w:rsid w:val="00290776"/>
    <w:rsid w:val="00290B8A"/>
    <w:rsid w:val="0029324C"/>
    <w:rsid w:val="00293841"/>
    <w:rsid w:val="002943BB"/>
    <w:rsid w:val="00296C48"/>
    <w:rsid w:val="002A1C58"/>
    <w:rsid w:val="002A4733"/>
    <w:rsid w:val="002A4946"/>
    <w:rsid w:val="002A56E4"/>
    <w:rsid w:val="002A7CAF"/>
    <w:rsid w:val="002B1CF4"/>
    <w:rsid w:val="002C0B4D"/>
    <w:rsid w:val="002C4C2A"/>
    <w:rsid w:val="002C67CF"/>
    <w:rsid w:val="002C6D6C"/>
    <w:rsid w:val="002D02BB"/>
    <w:rsid w:val="002E06BB"/>
    <w:rsid w:val="002E6030"/>
    <w:rsid w:val="002E75CB"/>
    <w:rsid w:val="002E78D5"/>
    <w:rsid w:val="002E7D05"/>
    <w:rsid w:val="002F2AC9"/>
    <w:rsid w:val="002F35C0"/>
    <w:rsid w:val="002F6053"/>
    <w:rsid w:val="002F7260"/>
    <w:rsid w:val="0030097F"/>
    <w:rsid w:val="00303D35"/>
    <w:rsid w:val="00316F20"/>
    <w:rsid w:val="00316FC9"/>
    <w:rsid w:val="00317930"/>
    <w:rsid w:val="00325B41"/>
    <w:rsid w:val="00325DFF"/>
    <w:rsid w:val="0032687A"/>
    <w:rsid w:val="003277C5"/>
    <w:rsid w:val="003277E7"/>
    <w:rsid w:val="0033301B"/>
    <w:rsid w:val="003351F4"/>
    <w:rsid w:val="00336089"/>
    <w:rsid w:val="00340168"/>
    <w:rsid w:val="00342405"/>
    <w:rsid w:val="00343F1D"/>
    <w:rsid w:val="00344E1C"/>
    <w:rsid w:val="003450D0"/>
    <w:rsid w:val="00350667"/>
    <w:rsid w:val="00351BD1"/>
    <w:rsid w:val="00352EE0"/>
    <w:rsid w:val="0035346F"/>
    <w:rsid w:val="00354524"/>
    <w:rsid w:val="00364E36"/>
    <w:rsid w:val="0037081A"/>
    <w:rsid w:val="00370DD9"/>
    <w:rsid w:val="0037165F"/>
    <w:rsid w:val="00372750"/>
    <w:rsid w:val="00374B4D"/>
    <w:rsid w:val="00375D78"/>
    <w:rsid w:val="00386951"/>
    <w:rsid w:val="00395CEC"/>
    <w:rsid w:val="003A13F3"/>
    <w:rsid w:val="003A6213"/>
    <w:rsid w:val="003B4898"/>
    <w:rsid w:val="003B5297"/>
    <w:rsid w:val="003B6A38"/>
    <w:rsid w:val="003B73AC"/>
    <w:rsid w:val="003C2732"/>
    <w:rsid w:val="003C6BAC"/>
    <w:rsid w:val="003C743C"/>
    <w:rsid w:val="003D04E2"/>
    <w:rsid w:val="003E1C7A"/>
    <w:rsid w:val="003E37C8"/>
    <w:rsid w:val="003E43D7"/>
    <w:rsid w:val="003E759A"/>
    <w:rsid w:val="003F14C0"/>
    <w:rsid w:val="004001E9"/>
    <w:rsid w:val="00406253"/>
    <w:rsid w:val="00415264"/>
    <w:rsid w:val="004175FB"/>
    <w:rsid w:val="004233D2"/>
    <w:rsid w:val="004260B9"/>
    <w:rsid w:val="00431CC9"/>
    <w:rsid w:val="00432640"/>
    <w:rsid w:val="004333F6"/>
    <w:rsid w:val="00434A6C"/>
    <w:rsid w:val="004364E7"/>
    <w:rsid w:val="004426D5"/>
    <w:rsid w:val="0044725F"/>
    <w:rsid w:val="0045351B"/>
    <w:rsid w:val="00460D80"/>
    <w:rsid w:val="00466A04"/>
    <w:rsid w:val="00472CCB"/>
    <w:rsid w:val="00473563"/>
    <w:rsid w:val="00477159"/>
    <w:rsid w:val="00485447"/>
    <w:rsid w:val="00491D12"/>
    <w:rsid w:val="00492DC2"/>
    <w:rsid w:val="00497776"/>
    <w:rsid w:val="004A399E"/>
    <w:rsid w:val="004A578F"/>
    <w:rsid w:val="004A5A15"/>
    <w:rsid w:val="004A70C6"/>
    <w:rsid w:val="004B0A26"/>
    <w:rsid w:val="004B2313"/>
    <w:rsid w:val="004B47FC"/>
    <w:rsid w:val="004C3AFF"/>
    <w:rsid w:val="004C3DC8"/>
    <w:rsid w:val="004D2FE4"/>
    <w:rsid w:val="004D5659"/>
    <w:rsid w:val="004D5688"/>
    <w:rsid w:val="004D7B2B"/>
    <w:rsid w:val="004E3733"/>
    <w:rsid w:val="004E498A"/>
    <w:rsid w:val="004F0F37"/>
    <w:rsid w:val="004F1033"/>
    <w:rsid w:val="004F2B69"/>
    <w:rsid w:val="004F4B2C"/>
    <w:rsid w:val="004F6B27"/>
    <w:rsid w:val="00510367"/>
    <w:rsid w:val="00510870"/>
    <w:rsid w:val="00517214"/>
    <w:rsid w:val="005265F4"/>
    <w:rsid w:val="00531706"/>
    <w:rsid w:val="0055396B"/>
    <w:rsid w:val="00565F5E"/>
    <w:rsid w:val="00567D85"/>
    <w:rsid w:val="00574669"/>
    <w:rsid w:val="00581E41"/>
    <w:rsid w:val="0059147D"/>
    <w:rsid w:val="00592993"/>
    <w:rsid w:val="00594FF1"/>
    <w:rsid w:val="00596DD0"/>
    <w:rsid w:val="00597356"/>
    <w:rsid w:val="005A17E3"/>
    <w:rsid w:val="005A59BE"/>
    <w:rsid w:val="005A7AFA"/>
    <w:rsid w:val="005B094D"/>
    <w:rsid w:val="005B153C"/>
    <w:rsid w:val="005B1A7A"/>
    <w:rsid w:val="005B231B"/>
    <w:rsid w:val="005B44C9"/>
    <w:rsid w:val="005C02F4"/>
    <w:rsid w:val="005C0AE4"/>
    <w:rsid w:val="005C0F9B"/>
    <w:rsid w:val="005C71F9"/>
    <w:rsid w:val="005D3730"/>
    <w:rsid w:val="005D3F30"/>
    <w:rsid w:val="005D7410"/>
    <w:rsid w:val="005F66A0"/>
    <w:rsid w:val="005F7E20"/>
    <w:rsid w:val="00603D17"/>
    <w:rsid w:val="00603F6C"/>
    <w:rsid w:val="00604B2C"/>
    <w:rsid w:val="006106EE"/>
    <w:rsid w:val="006152B2"/>
    <w:rsid w:val="006160D6"/>
    <w:rsid w:val="006234C8"/>
    <w:rsid w:val="00623618"/>
    <w:rsid w:val="00623C7E"/>
    <w:rsid w:val="00626032"/>
    <w:rsid w:val="0062759F"/>
    <w:rsid w:val="00632BBE"/>
    <w:rsid w:val="0064288D"/>
    <w:rsid w:val="00643046"/>
    <w:rsid w:val="006434F9"/>
    <w:rsid w:val="00645810"/>
    <w:rsid w:val="0065080E"/>
    <w:rsid w:val="00653096"/>
    <w:rsid w:val="00657126"/>
    <w:rsid w:val="00661434"/>
    <w:rsid w:val="0066241A"/>
    <w:rsid w:val="0066386A"/>
    <w:rsid w:val="00666151"/>
    <w:rsid w:val="0066653D"/>
    <w:rsid w:val="00672B70"/>
    <w:rsid w:val="00674A61"/>
    <w:rsid w:val="00676807"/>
    <w:rsid w:val="00680C17"/>
    <w:rsid w:val="006827E1"/>
    <w:rsid w:val="006829E3"/>
    <w:rsid w:val="00683D42"/>
    <w:rsid w:val="00686BBC"/>
    <w:rsid w:val="00686C6A"/>
    <w:rsid w:val="00687901"/>
    <w:rsid w:val="006927CF"/>
    <w:rsid w:val="006A0100"/>
    <w:rsid w:val="006A4A2B"/>
    <w:rsid w:val="006A4E38"/>
    <w:rsid w:val="006B5BBD"/>
    <w:rsid w:val="006B6D5F"/>
    <w:rsid w:val="006C245D"/>
    <w:rsid w:val="006C2D70"/>
    <w:rsid w:val="006C4E9F"/>
    <w:rsid w:val="006C5A68"/>
    <w:rsid w:val="006C5BA2"/>
    <w:rsid w:val="006D0816"/>
    <w:rsid w:val="006D0B36"/>
    <w:rsid w:val="006D3E34"/>
    <w:rsid w:val="006D4255"/>
    <w:rsid w:val="006E72F4"/>
    <w:rsid w:val="006F3954"/>
    <w:rsid w:val="0070140D"/>
    <w:rsid w:val="0071617F"/>
    <w:rsid w:val="00717AC6"/>
    <w:rsid w:val="00721D53"/>
    <w:rsid w:val="00722EDB"/>
    <w:rsid w:val="00727C52"/>
    <w:rsid w:val="00731106"/>
    <w:rsid w:val="00740754"/>
    <w:rsid w:val="00744E4B"/>
    <w:rsid w:val="00745DA9"/>
    <w:rsid w:val="00752DEB"/>
    <w:rsid w:val="0075451B"/>
    <w:rsid w:val="00763D34"/>
    <w:rsid w:val="007764AE"/>
    <w:rsid w:val="00776C62"/>
    <w:rsid w:val="00777E1D"/>
    <w:rsid w:val="007807A1"/>
    <w:rsid w:val="007857A7"/>
    <w:rsid w:val="007A3345"/>
    <w:rsid w:val="007A36E7"/>
    <w:rsid w:val="007A4BD1"/>
    <w:rsid w:val="007C0136"/>
    <w:rsid w:val="007C2A5E"/>
    <w:rsid w:val="007C2A7E"/>
    <w:rsid w:val="007D0BBB"/>
    <w:rsid w:val="007D13DD"/>
    <w:rsid w:val="007D39C1"/>
    <w:rsid w:val="007D49FA"/>
    <w:rsid w:val="007D6089"/>
    <w:rsid w:val="007D6C4D"/>
    <w:rsid w:val="007D7F46"/>
    <w:rsid w:val="007E0A98"/>
    <w:rsid w:val="007E1986"/>
    <w:rsid w:val="007F3116"/>
    <w:rsid w:val="008006C5"/>
    <w:rsid w:val="008022B3"/>
    <w:rsid w:val="00803FFE"/>
    <w:rsid w:val="00805A5E"/>
    <w:rsid w:val="008071DF"/>
    <w:rsid w:val="008071ED"/>
    <w:rsid w:val="00817D91"/>
    <w:rsid w:val="00817E0C"/>
    <w:rsid w:val="00820B84"/>
    <w:rsid w:val="00823129"/>
    <w:rsid w:val="00823613"/>
    <w:rsid w:val="0082538E"/>
    <w:rsid w:val="0082647C"/>
    <w:rsid w:val="00826CF7"/>
    <w:rsid w:val="008275C6"/>
    <w:rsid w:val="00830897"/>
    <w:rsid w:val="00842FE5"/>
    <w:rsid w:val="00845703"/>
    <w:rsid w:val="008463CD"/>
    <w:rsid w:val="008500D5"/>
    <w:rsid w:val="00850354"/>
    <w:rsid w:val="00854967"/>
    <w:rsid w:val="00856BDB"/>
    <w:rsid w:val="008616B8"/>
    <w:rsid w:val="00866C5C"/>
    <w:rsid w:val="00876B29"/>
    <w:rsid w:val="00881E7C"/>
    <w:rsid w:val="00884001"/>
    <w:rsid w:val="00885552"/>
    <w:rsid w:val="00886E84"/>
    <w:rsid w:val="00890773"/>
    <w:rsid w:val="00891401"/>
    <w:rsid w:val="00894413"/>
    <w:rsid w:val="008954AA"/>
    <w:rsid w:val="00897724"/>
    <w:rsid w:val="00897802"/>
    <w:rsid w:val="008A3436"/>
    <w:rsid w:val="008A6520"/>
    <w:rsid w:val="008A716A"/>
    <w:rsid w:val="008A7A1E"/>
    <w:rsid w:val="008B420C"/>
    <w:rsid w:val="008B6A7F"/>
    <w:rsid w:val="008C07D2"/>
    <w:rsid w:val="008C08B3"/>
    <w:rsid w:val="008D0862"/>
    <w:rsid w:val="008E5923"/>
    <w:rsid w:val="008F081E"/>
    <w:rsid w:val="008F3298"/>
    <w:rsid w:val="008F5570"/>
    <w:rsid w:val="008F5ED8"/>
    <w:rsid w:val="008F7ACD"/>
    <w:rsid w:val="0090379D"/>
    <w:rsid w:val="00907D05"/>
    <w:rsid w:val="00913571"/>
    <w:rsid w:val="00913F57"/>
    <w:rsid w:val="009148D4"/>
    <w:rsid w:val="00915002"/>
    <w:rsid w:val="009173E2"/>
    <w:rsid w:val="00927387"/>
    <w:rsid w:val="00933D49"/>
    <w:rsid w:val="00933FC4"/>
    <w:rsid w:val="0094086A"/>
    <w:rsid w:val="00944CE6"/>
    <w:rsid w:val="00944FDB"/>
    <w:rsid w:val="00945389"/>
    <w:rsid w:val="00950392"/>
    <w:rsid w:val="009511D1"/>
    <w:rsid w:val="00952A2C"/>
    <w:rsid w:val="0095635C"/>
    <w:rsid w:val="00957472"/>
    <w:rsid w:val="00961C02"/>
    <w:rsid w:val="009675CA"/>
    <w:rsid w:val="00972938"/>
    <w:rsid w:val="00976245"/>
    <w:rsid w:val="0097690F"/>
    <w:rsid w:val="00980DE7"/>
    <w:rsid w:val="00985956"/>
    <w:rsid w:val="0099101E"/>
    <w:rsid w:val="009932C6"/>
    <w:rsid w:val="009966F0"/>
    <w:rsid w:val="00997927"/>
    <w:rsid w:val="009C0030"/>
    <w:rsid w:val="009C2AA7"/>
    <w:rsid w:val="009C5563"/>
    <w:rsid w:val="009C6736"/>
    <w:rsid w:val="009D44BE"/>
    <w:rsid w:val="009D4841"/>
    <w:rsid w:val="009D6A75"/>
    <w:rsid w:val="009D729B"/>
    <w:rsid w:val="009E02DB"/>
    <w:rsid w:val="009E0B55"/>
    <w:rsid w:val="009E2521"/>
    <w:rsid w:val="009F36F2"/>
    <w:rsid w:val="009F5985"/>
    <w:rsid w:val="009F5A68"/>
    <w:rsid w:val="009F5DDD"/>
    <w:rsid w:val="009F759F"/>
    <w:rsid w:val="00A00614"/>
    <w:rsid w:val="00A00D79"/>
    <w:rsid w:val="00A042DF"/>
    <w:rsid w:val="00A05897"/>
    <w:rsid w:val="00A101D2"/>
    <w:rsid w:val="00A16B24"/>
    <w:rsid w:val="00A17245"/>
    <w:rsid w:val="00A22C81"/>
    <w:rsid w:val="00A31C0E"/>
    <w:rsid w:val="00A361DD"/>
    <w:rsid w:val="00A40005"/>
    <w:rsid w:val="00A40792"/>
    <w:rsid w:val="00A4282B"/>
    <w:rsid w:val="00A45269"/>
    <w:rsid w:val="00A51240"/>
    <w:rsid w:val="00A55A3E"/>
    <w:rsid w:val="00A564D1"/>
    <w:rsid w:val="00A5684F"/>
    <w:rsid w:val="00A56B37"/>
    <w:rsid w:val="00A60B3D"/>
    <w:rsid w:val="00A60BE8"/>
    <w:rsid w:val="00A615E2"/>
    <w:rsid w:val="00A6378D"/>
    <w:rsid w:val="00A707BB"/>
    <w:rsid w:val="00A7668B"/>
    <w:rsid w:val="00A80966"/>
    <w:rsid w:val="00A86E96"/>
    <w:rsid w:val="00A91AF0"/>
    <w:rsid w:val="00A9254C"/>
    <w:rsid w:val="00A95712"/>
    <w:rsid w:val="00A97749"/>
    <w:rsid w:val="00AA1663"/>
    <w:rsid w:val="00AA3136"/>
    <w:rsid w:val="00AA709F"/>
    <w:rsid w:val="00AC0683"/>
    <w:rsid w:val="00AC0D70"/>
    <w:rsid w:val="00AC4E18"/>
    <w:rsid w:val="00AD1D00"/>
    <w:rsid w:val="00AD1F5F"/>
    <w:rsid w:val="00AE0401"/>
    <w:rsid w:val="00AF0151"/>
    <w:rsid w:val="00AF03BF"/>
    <w:rsid w:val="00AF0811"/>
    <w:rsid w:val="00AF4372"/>
    <w:rsid w:val="00AF4C3A"/>
    <w:rsid w:val="00AF4C42"/>
    <w:rsid w:val="00AF6E37"/>
    <w:rsid w:val="00AF7ED5"/>
    <w:rsid w:val="00B03737"/>
    <w:rsid w:val="00B118BD"/>
    <w:rsid w:val="00B17C95"/>
    <w:rsid w:val="00B2053A"/>
    <w:rsid w:val="00B22BE9"/>
    <w:rsid w:val="00B275DB"/>
    <w:rsid w:val="00B30A38"/>
    <w:rsid w:val="00B40BF9"/>
    <w:rsid w:val="00B4130A"/>
    <w:rsid w:val="00B44C69"/>
    <w:rsid w:val="00B5276D"/>
    <w:rsid w:val="00B57EF2"/>
    <w:rsid w:val="00B63DA3"/>
    <w:rsid w:val="00B7086F"/>
    <w:rsid w:val="00B76BA7"/>
    <w:rsid w:val="00B82153"/>
    <w:rsid w:val="00B828DD"/>
    <w:rsid w:val="00B8308D"/>
    <w:rsid w:val="00B84D66"/>
    <w:rsid w:val="00B92C12"/>
    <w:rsid w:val="00B93A97"/>
    <w:rsid w:val="00B940C8"/>
    <w:rsid w:val="00B972D8"/>
    <w:rsid w:val="00B977EC"/>
    <w:rsid w:val="00BA63F4"/>
    <w:rsid w:val="00BB38B3"/>
    <w:rsid w:val="00BB5DD1"/>
    <w:rsid w:val="00BB7E30"/>
    <w:rsid w:val="00BC0EBF"/>
    <w:rsid w:val="00BC0F95"/>
    <w:rsid w:val="00BC4939"/>
    <w:rsid w:val="00BC5818"/>
    <w:rsid w:val="00BC5BC7"/>
    <w:rsid w:val="00BD5E4E"/>
    <w:rsid w:val="00BE238B"/>
    <w:rsid w:val="00BE60AF"/>
    <w:rsid w:val="00BE6298"/>
    <w:rsid w:val="00BF35AF"/>
    <w:rsid w:val="00BF5730"/>
    <w:rsid w:val="00BF5B31"/>
    <w:rsid w:val="00BF739C"/>
    <w:rsid w:val="00C0076D"/>
    <w:rsid w:val="00C04B76"/>
    <w:rsid w:val="00C05498"/>
    <w:rsid w:val="00C205C9"/>
    <w:rsid w:val="00C20D51"/>
    <w:rsid w:val="00C23213"/>
    <w:rsid w:val="00C23C4B"/>
    <w:rsid w:val="00C248DD"/>
    <w:rsid w:val="00C34297"/>
    <w:rsid w:val="00C5083B"/>
    <w:rsid w:val="00C50C98"/>
    <w:rsid w:val="00C51CC8"/>
    <w:rsid w:val="00C537F9"/>
    <w:rsid w:val="00C557BC"/>
    <w:rsid w:val="00C5580D"/>
    <w:rsid w:val="00C63238"/>
    <w:rsid w:val="00C6505A"/>
    <w:rsid w:val="00C65564"/>
    <w:rsid w:val="00C75581"/>
    <w:rsid w:val="00C83D95"/>
    <w:rsid w:val="00C869EB"/>
    <w:rsid w:val="00C90DC8"/>
    <w:rsid w:val="00C96B6D"/>
    <w:rsid w:val="00CA0B9E"/>
    <w:rsid w:val="00CA76F7"/>
    <w:rsid w:val="00CB394B"/>
    <w:rsid w:val="00CC5424"/>
    <w:rsid w:val="00CD0B3D"/>
    <w:rsid w:val="00CE47EC"/>
    <w:rsid w:val="00CE5E1A"/>
    <w:rsid w:val="00CF11C8"/>
    <w:rsid w:val="00CF1B50"/>
    <w:rsid w:val="00CF24BD"/>
    <w:rsid w:val="00CF26F3"/>
    <w:rsid w:val="00CF5F75"/>
    <w:rsid w:val="00CF6BB5"/>
    <w:rsid w:val="00D01DAC"/>
    <w:rsid w:val="00D01EDD"/>
    <w:rsid w:val="00D0241C"/>
    <w:rsid w:val="00D027B2"/>
    <w:rsid w:val="00D069EB"/>
    <w:rsid w:val="00D13D82"/>
    <w:rsid w:val="00D24A52"/>
    <w:rsid w:val="00D339FC"/>
    <w:rsid w:val="00D34ECC"/>
    <w:rsid w:val="00D37354"/>
    <w:rsid w:val="00D37656"/>
    <w:rsid w:val="00D40702"/>
    <w:rsid w:val="00D468A6"/>
    <w:rsid w:val="00D517FF"/>
    <w:rsid w:val="00D56F06"/>
    <w:rsid w:val="00D57A73"/>
    <w:rsid w:val="00D65D79"/>
    <w:rsid w:val="00D66348"/>
    <w:rsid w:val="00D70036"/>
    <w:rsid w:val="00D736B5"/>
    <w:rsid w:val="00D73833"/>
    <w:rsid w:val="00D83184"/>
    <w:rsid w:val="00D83923"/>
    <w:rsid w:val="00D8633D"/>
    <w:rsid w:val="00D86CA2"/>
    <w:rsid w:val="00D90645"/>
    <w:rsid w:val="00D97CF2"/>
    <w:rsid w:val="00DA443C"/>
    <w:rsid w:val="00DA5E89"/>
    <w:rsid w:val="00DB6FD3"/>
    <w:rsid w:val="00DC0931"/>
    <w:rsid w:val="00DC0A27"/>
    <w:rsid w:val="00DC2249"/>
    <w:rsid w:val="00DC7476"/>
    <w:rsid w:val="00DC7D0A"/>
    <w:rsid w:val="00DD2782"/>
    <w:rsid w:val="00DD7B2D"/>
    <w:rsid w:val="00DE2396"/>
    <w:rsid w:val="00DF0792"/>
    <w:rsid w:val="00DF72BC"/>
    <w:rsid w:val="00E00239"/>
    <w:rsid w:val="00E002F2"/>
    <w:rsid w:val="00E1111B"/>
    <w:rsid w:val="00E30ADF"/>
    <w:rsid w:val="00E40223"/>
    <w:rsid w:val="00E43066"/>
    <w:rsid w:val="00E45CEB"/>
    <w:rsid w:val="00E45F04"/>
    <w:rsid w:val="00E4748D"/>
    <w:rsid w:val="00E518D0"/>
    <w:rsid w:val="00E60506"/>
    <w:rsid w:val="00E64A89"/>
    <w:rsid w:val="00E65495"/>
    <w:rsid w:val="00E65EFF"/>
    <w:rsid w:val="00E718FB"/>
    <w:rsid w:val="00E83FF2"/>
    <w:rsid w:val="00E857D3"/>
    <w:rsid w:val="00E8710D"/>
    <w:rsid w:val="00E96D39"/>
    <w:rsid w:val="00EA24EA"/>
    <w:rsid w:val="00EA508F"/>
    <w:rsid w:val="00EB3240"/>
    <w:rsid w:val="00EB7B45"/>
    <w:rsid w:val="00EC54C6"/>
    <w:rsid w:val="00ED0F77"/>
    <w:rsid w:val="00ED15AD"/>
    <w:rsid w:val="00ED2D2B"/>
    <w:rsid w:val="00ED662A"/>
    <w:rsid w:val="00ED7950"/>
    <w:rsid w:val="00EE11D9"/>
    <w:rsid w:val="00EE3493"/>
    <w:rsid w:val="00EE5FCC"/>
    <w:rsid w:val="00EF11C7"/>
    <w:rsid w:val="00EF338A"/>
    <w:rsid w:val="00EF3C17"/>
    <w:rsid w:val="00EF6B63"/>
    <w:rsid w:val="00F05B20"/>
    <w:rsid w:val="00F13D4C"/>
    <w:rsid w:val="00F15638"/>
    <w:rsid w:val="00F16162"/>
    <w:rsid w:val="00F30806"/>
    <w:rsid w:val="00F416D2"/>
    <w:rsid w:val="00F44095"/>
    <w:rsid w:val="00F46867"/>
    <w:rsid w:val="00F51372"/>
    <w:rsid w:val="00F57FF5"/>
    <w:rsid w:val="00F606D9"/>
    <w:rsid w:val="00F623D7"/>
    <w:rsid w:val="00F634F8"/>
    <w:rsid w:val="00F63789"/>
    <w:rsid w:val="00F637F9"/>
    <w:rsid w:val="00F66750"/>
    <w:rsid w:val="00F704AC"/>
    <w:rsid w:val="00F77A44"/>
    <w:rsid w:val="00F833D4"/>
    <w:rsid w:val="00F83535"/>
    <w:rsid w:val="00F85968"/>
    <w:rsid w:val="00F868B6"/>
    <w:rsid w:val="00F92D0E"/>
    <w:rsid w:val="00F942EB"/>
    <w:rsid w:val="00F95415"/>
    <w:rsid w:val="00F965A4"/>
    <w:rsid w:val="00FA598D"/>
    <w:rsid w:val="00FA5B88"/>
    <w:rsid w:val="00FA5E3C"/>
    <w:rsid w:val="00FB1BC5"/>
    <w:rsid w:val="00FB377B"/>
    <w:rsid w:val="00FB3C7F"/>
    <w:rsid w:val="00FB6870"/>
    <w:rsid w:val="00FC0257"/>
    <w:rsid w:val="00FC6C9A"/>
    <w:rsid w:val="00FD00CC"/>
    <w:rsid w:val="00FD054F"/>
    <w:rsid w:val="00FD1AF1"/>
    <w:rsid w:val="00FD352F"/>
    <w:rsid w:val="00FD6397"/>
    <w:rsid w:val="00FE26E8"/>
    <w:rsid w:val="00FE5B66"/>
    <w:rsid w:val="00FF11A0"/>
    <w:rsid w:val="00FF3013"/>
    <w:rsid w:val="00FF3F7D"/>
    <w:rsid w:val="00FF6C6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9ADED"/>
  <w15:chartTrackingRefBased/>
  <w15:docId w15:val="{56FB0A75-26E7-45DF-937E-87989D3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02"/>
    <w:pPr>
      <w:spacing w:line="276" w:lineRule="auto"/>
    </w:pPr>
    <w:rPr>
      <w:rFonts w:ascii="GHEA Grapalat" w:hAnsi="GHEA Grapalat"/>
      <w:sz w:val="24"/>
      <w:szCs w:val="24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F2"/>
    <w:pPr>
      <w:keepNext/>
      <w:keepLines/>
      <w:spacing w:before="240" w:after="0"/>
      <w:ind w:left="284"/>
      <w:outlineLvl w:val="0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36"/>
    <w:pPr>
      <w:keepNext/>
      <w:keepLines/>
      <w:numPr>
        <w:numId w:val="1"/>
      </w:numPr>
      <w:spacing w:after="120"/>
      <w:outlineLvl w:val="1"/>
    </w:pPr>
    <w:rPr>
      <w:rFonts w:eastAsiaTheme="majorEastAsia" w:cs="Sylfaen"/>
      <w:b/>
      <w:bCs/>
      <w:noProof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8D0"/>
    <w:pPr>
      <w:keepNext/>
      <w:keepLines/>
      <w:numPr>
        <w:numId w:val="2"/>
      </w:numPr>
      <w:spacing w:after="120"/>
      <w:outlineLvl w:val="2"/>
    </w:pPr>
    <w:rPr>
      <w:rFonts w:eastAsiaTheme="majorEastAsia" w:cstheme="majorBidi"/>
      <w:b/>
      <w:bCs/>
      <w:color w:val="1F4E79" w:themeColor="accent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CF2"/>
    <w:rPr>
      <w:rFonts w:ascii="GHEA Grapalat" w:eastAsiaTheme="majorEastAsia" w:hAnsi="GHEA Grapalat" w:cstheme="majorBidi"/>
      <w:color w:val="2E74B5" w:themeColor="accent1" w:themeShade="BF"/>
      <w:sz w:val="28"/>
      <w:szCs w:val="28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8A3436"/>
    <w:rPr>
      <w:rFonts w:ascii="GHEA Grapalat" w:eastAsiaTheme="majorEastAsia" w:hAnsi="GHEA Grapalat" w:cs="Sylfaen"/>
      <w:b/>
      <w:bCs/>
      <w:noProof/>
      <w:color w:val="002060"/>
      <w:sz w:val="28"/>
      <w:szCs w:val="28"/>
      <w:lang w:val="hy-AM"/>
    </w:rPr>
  </w:style>
  <w:style w:type="character" w:customStyle="1" w:styleId="Heading3Char">
    <w:name w:val="Heading 3 Char"/>
    <w:basedOn w:val="DefaultParagraphFont"/>
    <w:link w:val="Heading3"/>
    <w:uiPriority w:val="9"/>
    <w:rsid w:val="00E518D0"/>
    <w:rPr>
      <w:rFonts w:ascii="GHEA Grapalat" w:eastAsiaTheme="majorEastAsia" w:hAnsi="GHEA Grapalat" w:cstheme="majorBidi"/>
      <w:b/>
      <w:bCs/>
      <w:color w:val="1F4E79" w:themeColor="accent1" w:themeShade="80"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5A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8C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B3"/>
  </w:style>
  <w:style w:type="paragraph" w:styleId="Footer">
    <w:name w:val="footer"/>
    <w:basedOn w:val="Normal"/>
    <w:link w:val="FooterChar"/>
    <w:uiPriority w:val="99"/>
    <w:unhideWhenUsed/>
    <w:rsid w:val="008C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B3"/>
  </w:style>
  <w:style w:type="paragraph" w:styleId="TOCHeading">
    <w:name w:val="TOC Heading"/>
    <w:basedOn w:val="Heading1"/>
    <w:next w:val="Normal"/>
    <w:uiPriority w:val="39"/>
    <w:unhideWhenUsed/>
    <w:qFormat/>
    <w:rsid w:val="008F5570"/>
    <w:pPr>
      <w:outlineLvl w:val="9"/>
    </w:pPr>
  </w:style>
  <w:style w:type="table" w:styleId="TableGrid">
    <w:name w:val="Table Grid"/>
    <w:basedOn w:val="TableNormal"/>
    <w:uiPriority w:val="39"/>
    <w:rsid w:val="00B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03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73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037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73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D57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D57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378D"/>
    <w:pPr>
      <w:spacing w:after="0" w:line="240" w:lineRule="auto"/>
    </w:pPr>
    <w:rPr>
      <w:rFonts w:ascii="GHEA Grapalat" w:hAnsi="GHEA Grapalat"/>
      <w:sz w:val="24"/>
      <w:szCs w:val="24"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E30ADF"/>
    <w:pPr>
      <w:spacing w:after="100"/>
      <w:ind w:left="240"/>
      <w:jc w:val="both"/>
    </w:pPr>
  </w:style>
  <w:style w:type="paragraph" w:styleId="BodyText2">
    <w:name w:val="Body Text 2"/>
    <w:aliases w:val="1Text"/>
    <w:basedOn w:val="Normal"/>
    <w:link w:val="BodyText2Char"/>
    <w:autoRedefine/>
    <w:rsid w:val="005C02F4"/>
    <w:pPr>
      <w:spacing w:after="0"/>
      <w:ind w:left="2" w:hanging="2"/>
      <w:contextualSpacing/>
      <w:jc w:val="both"/>
    </w:pPr>
    <w:rPr>
      <w:rFonts w:eastAsia="Calibri" w:cs="Times New Roman"/>
    </w:rPr>
  </w:style>
  <w:style w:type="character" w:customStyle="1" w:styleId="BodyText2Char">
    <w:name w:val="Body Text 2 Char"/>
    <w:aliases w:val="1Text Char"/>
    <w:basedOn w:val="DefaultParagraphFont"/>
    <w:link w:val="BodyText2"/>
    <w:rsid w:val="005C02F4"/>
    <w:rPr>
      <w:rFonts w:ascii="GHEA Grapalat" w:eastAsia="Calibri" w:hAnsi="GHEA Grapalat" w:cs="Times New Roman"/>
      <w:sz w:val="24"/>
      <w:szCs w:val="24"/>
      <w:lang w:val="hy-AM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0F5E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F35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5A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5A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5A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5AF"/>
    <w:rPr>
      <w:rFonts w:asciiTheme="majorHAnsi" w:eastAsiaTheme="majorEastAsia" w:hAnsiTheme="majorHAnsi" w:cstheme="majorBidi"/>
      <w:color w:val="385623" w:themeColor="accent6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F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AF"/>
    <w:pPr>
      <w:spacing w:after="0" w:line="259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AF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AF"/>
    <w:pPr>
      <w:spacing w:line="259" w:lineRule="auto"/>
    </w:pPr>
    <w:rPr>
      <w:rFonts w:asciiTheme="minorHAnsi" w:eastAsiaTheme="minorEastAsia" w:hAnsiTheme="minorHAnsi"/>
      <w:b/>
      <w:bCs/>
      <w:lang w:val="en-US"/>
    </w:rPr>
  </w:style>
  <w:style w:type="paragraph" w:styleId="BlockText">
    <w:name w:val="Block Text"/>
    <w:basedOn w:val="Normal"/>
    <w:rsid w:val="00BF35AF"/>
    <w:pPr>
      <w:spacing w:after="0" w:line="259" w:lineRule="auto"/>
      <w:ind w:left="209" w:right="-108" w:hanging="209"/>
    </w:pPr>
    <w:rPr>
      <w:rFonts w:ascii="Arial Armenian" w:eastAsia="Times New Roman" w:hAnsi="Arial Armenian" w:cs="Times New Roman"/>
      <w:sz w:val="22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35AF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35AF"/>
    <w:pPr>
      <w:spacing w:after="0" w:line="259" w:lineRule="auto"/>
    </w:pPr>
    <w:rPr>
      <w:rFonts w:asciiTheme="minorHAnsi" w:eastAsiaTheme="minorEastAsia" w:hAnsiTheme="minorHAnsi"/>
      <w:sz w:val="20"/>
      <w:szCs w:val="20"/>
      <w:lang w:val="en-US"/>
    </w:rPr>
  </w:style>
  <w:style w:type="paragraph" w:customStyle="1" w:styleId="IASBTitle">
    <w:name w:val="IASB Title"/>
    <w:basedOn w:val="Normal"/>
    <w:rsid w:val="00BF35AF"/>
    <w:pPr>
      <w:keepNext/>
      <w:keepLines/>
      <w:spacing w:before="300" w:after="400" w:line="259" w:lineRule="auto"/>
    </w:pPr>
    <w:rPr>
      <w:rFonts w:ascii="Arial" w:eastAsia="Times New Roman" w:hAnsi="Arial" w:cs="Arial"/>
      <w:b/>
      <w:sz w:val="3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F35A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F35AF"/>
    <w:rPr>
      <w:b/>
      <w:bCs/>
    </w:rPr>
  </w:style>
  <w:style w:type="paragraph" w:customStyle="1" w:styleId="Heading11">
    <w:name w:val="Heading 11"/>
    <w:basedOn w:val="ListParagraph"/>
    <w:next w:val="Normal"/>
    <w:autoRedefine/>
    <w:uiPriority w:val="9"/>
    <w:rsid w:val="00BF35AF"/>
    <w:pPr>
      <w:pageBreakBefore/>
      <w:tabs>
        <w:tab w:val="left" w:pos="90"/>
        <w:tab w:val="num" w:pos="360"/>
      </w:tabs>
      <w:spacing w:after="0" w:line="259" w:lineRule="auto"/>
      <w:outlineLvl w:val="0"/>
    </w:pPr>
    <w:rPr>
      <w:rFonts w:asciiTheme="minorHAnsi" w:eastAsia="Times New Roman" w:hAnsiTheme="minorHAnsi" w:cs="Sylfaen"/>
      <w:b/>
      <w:sz w:val="28"/>
      <w:szCs w:val="22"/>
      <w:lang w:val="en-US"/>
    </w:rPr>
  </w:style>
  <w:style w:type="paragraph" w:customStyle="1" w:styleId="mechtex">
    <w:name w:val="mechtex"/>
    <w:basedOn w:val="Normal"/>
    <w:link w:val="mechtexChar"/>
    <w:rsid w:val="00BF35AF"/>
    <w:pPr>
      <w:spacing w:after="0" w:line="259" w:lineRule="auto"/>
      <w:jc w:val="center"/>
    </w:pPr>
    <w:rPr>
      <w:rFonts w:ascii="Arial Armenian" w:eastAsia="Times New Roman" w:hAnsi="Arial Armenian" w:cs="Times New Roman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BF35AF"/>
    <w:rPr>
      <w:rFonts w:ascii="Arial Armenian" w:eastAsia="Times New Roman" w:hAnsi="Arial Armeni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5AF"/>
    <w:pPr>
      <w:spacing w:line="259" w:lineRule="auto"/>
      <w:ind w:left="283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5AF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F35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F35A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5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F35AF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F35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F35AF"/>
    <w:pPr>
      <w:spacing w:before="120" w:line="259" w:lineRule="auto"/>
      <w:ind w:left="720" w:right="720"/>
      <w:jc w:val="center"/>
    </w:pPr>
    <w:rPr>
      <w:rFonts w:asciiTheme="minorHAnsi" w:eastAsiaTheme="minorEastAsia" w:hAnsiTheme="minorHAns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F35AF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5A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5A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F35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35AF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F35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35AF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35AF"/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AD1D00"/>
    <w:pPr>
      <w:spacing w:after="100"/>
      <w:ind w:left="480"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E002F2"/>
    <w:rPr>
      <w:rFonts w:ascii="GHEA Grapalat" w:hAnsi="GHEA Grapalat"/>
      <w:sz w:val="24"/>
      <w:szCs w:val="24"/>
      <w:lang w:val="hy-AM"/>
    </w:rPr>
  </w:style>
  <w:style w:type="table" w:customStyle="1" w:styleId="TableGrid1">
    <w:name w:val="Table Grid1"/>
    <w:basedOn w:val="TableNormal"/>
    <w:next w:val="TableGrid"/>
    <w:uiPriority w:val="39"/>
    <w:rsid w:val="00866C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DC093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095-3945-489C-9000-D14567EF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24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NARA</cp:lastModifiedBy>
  <cp:revision>730</cp:revision>
  <cp:lastPrinted>2021-02-22T11:30:00Z</cp:lastPrinted>
  <dcterms:created xsi:type="dcterms:W3CDTF">2020-07-20T10:34:00Z</dcterms:created>
  <dcterms:modified xsi:type="dcterms:W3CDTF">2021-02-26T05:56:00Z</dcterms:modified>
</cp:coreProperties>
</file>