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72C9C" w14:textId="20165E04" w:rsidR="0082538E" w:rsidRPr="005B24F2" w:rsidRDefault="0082538E" w:rsidP="006F7683">
      <w:pPr>
        <w:jc w:val="center"/>
        <w:rPr>
          <w:i/>
          <w:iCs/>
        </w:rPr>
      </w:pPr>
    </w:p>
    <w:p w14:paraId="25EFB7D5" w14:textId="1DC02ED7" w:rsidR="008C08B3" w:rsidRPr="00F87809" w:rsidRDefault="008C08B3" w:rsidP="002D7B0A">
      <w:pPr>
        <w:spacing w:after="0"/>
        <w:jc w:val="center"/>
        <w:rPr>
          <w:b/>
          <w:bCs/>
          <w:sz w:val="32"/>
          <w:szCs w:val="32"/>
        </w:rPr>
      </w:pPr>
      <w:r w:rsidRPr="00F87809">
        <w:rPr>
          <w:b/>
          <w:bCs/>
          <w:sz w:val="32"/>
          <w:szCs w:val="32"/>
        </w:rPr>
        <w:t>ՀԱՅԱՍՏԱՆԻ ՀԱՆՐԱՊԵՏՈՒԹՅԱՆ</w:t>
      </w:r>
      <w:r w:rsidR="00F87809">
        <w:rPr>
          <w:b/>
          <w:bCs/>
          <w:sz w:val="32"/>
          <w:szCs w:val="32"/>
        </w:rPr>
        <w:t xml:space="preserve"> </w:t>
      </w:r>
      <w:r w:rsidRPr="00F87809">
        <w:rPr>
          <w:b/>
          <w:bCs/>
          <w:sz w:val="32"/>
          <w:szCs w:val="32"/>
        </w:rPr>
        <w:t>ՀԱՇՎԵՔՆՆԻՉ ՊԱԼԱՏ</w:t>
      </w:r>
    </w:p>
    <w:p w14:paraId="786C1CED" w14:textId="77777777" w:rsidR="008C08B3" w:rsidRPr="00565A19" w:rsidRDefault="008C08B3" w:rsidP="00C60AA9">
      <w:pPr>
        <w:rPr>
          <w:b/>
          <w:bCs/>
          <w:sz w:val="32"/>
          <w:szCs w:val="32"/>
        </w:rPr>
      </w:pPr>
    </w:p>
    <w:p w14:paraId="669EA9EE" w14:textId="77777777" w:rsidR="008C08B3" w:rsidRPr="00565A19" w:rsidRDefault="008C08B3" w:rsidP="009E7941">
      <w:pPr>
        <w:jc w:val="center"/>
        <w:rPr>
          <w:rFonts w:cs="Sylfaen"/>
          <w:b/>
          <w:bCs/>
          <w:color w:val="000000"/>
          <w:sz w:val="36"/>
          <w:szCs w:val="32"/>
        </w:rPr>
      </w:pPr>
      <w:bookmarkStart w:id="0" w:name="_Hlk509559606"/>
      <w:r w:rsidRPr="00565A19">
        <w:rPr>
          <w:b/>
          <w:bCs/>
          <w:noProof/>
          <w:sz w:val="32"/>
          <w:szCs w:val="32"/>
          <w:lang w:val="en-US"/>
        </w:rPr>
        <w:drawing>
          <wp:inline distT="0" distB="0" distL="0" distR="0" wp14:anchorId="17DD2337" wp14:editId="199CBDE3">
            <wp:extent cx="1341755" cy="1258570"/>
            <wp:effectExtent l="0" t="0" r="0" b="0"/>
            <wp:docPr id="1" name="Picture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755" cy="1258570"/>
                    </a:xfrm>
                    <a:prstGeom prst="rect">
                      <a:avLst/>
                    </a:prstGeom>
                    <a:noFill/>
                    <a:ln>
                      <a:noFill/>
                    </a:ln>
                  </pic:spPr>
                </pic:pic>
              </a:graphicData>
            </a:graphic>
          </wp:inline>
        </w:drawing>
      </w:r>
      <w:bookmarkEnd w:id="0"/>
    </w:p>
    <w:p w14:paraId="7DAD695D" w14:textId="77777777" w:rsidR="008C08B3" w:rsidRPr="00565A19" w:rsidRDefault="008C08B3" w:rsidP="00C60AA9">
      <w:pPr>
        <w:rPr>
          <w:b/>
          <w:bCs/>
          <w:sz w:val="32"/>
          <w:szCs w:val="32"/>
        </w:rPr>
      </w:pPr>
    </w:p>
    <w:p w14:paraId="00B007CE" w14:textId="77777777" w:rsidR="008C08B3" w:rsidRPr="00E73480" w:rsidRDefault="008C08B3" w:rsidP="009E7941">
      <w:pPr>
        <w:jc w:val="center"/>
        <w:rPr>
          <w:b/>
          <w:bCs/>
          <w:i/>
          <w:sz w:val="40"/>
          <w:szCs w:val="40"/>
          <w:u w:val="single"/>
        </w:rPr>
      </w:pPr>
      <w:r w:rsidRPr="00E73480">
        <w:rPr>
          <w:b/>
          <w:bCs/>
          <w:sz w:val="40"/>
          <w:szCs w:val="40"/>
        </w:rPr>
        <w:t>ԸՆԹԱՑԻԿ ԵԶՐԱԿԱՑՈՒԹՅՈՒՆ</w:t>
      </w:r>
    </w:p>
    <w:p w14:paraId="7C28166A" w14:textId="4F35F5CD" w:rsidR="008C08B3" w:rsidRPr="00BC6FB3" w:rsidRDefault="00653096" w:rsidP="009E7941">
      <w:pPr>
        <w:jc w:val="center"/>
        <w:rPr>
          <w:b/>
          <w:bCs/>
          <w:color w:val="808080"/>
          <w:sz w:val="28"/>
          <w:szCs w:val="22"/>
        </w:rPr>
      </w:pPr>
      <w:r w:rsidRPr="00BC6FB3">
        <w:rPr>
          <w:b/>
          <w:bCs/>
          <w:color w:val="808080"/>
          <w:sz w:val="28"/>
          <w:szCs w:val="22"/>
        </w:rPr>
        <w:t xml:space="preserve">ՀՀ </w:t>
      </w:r>
      <w:r w:rsidR="00221E48">
        <w:rPr>
          <w:b/>
          <w:bCs/>
          <w:color w:val="808080"/>
          <w:sz w:val="28"/>
          <w:szCs w:val="22"/>
        </w:rPr>
        <w:t>ՖԻՆԱՆՍՆԵՐԻ ՆԱԽԱՐԱՐՈՒԹՅՈՒՆՈՒՄ</w:t>
      </w:r>
      <w:r w:rsidRPr="00BC6FB3">
        <w:rPr>
          <w:b/>
          <w:bCs/>
          <w:color w:val="808080"/>
          <w:sz w:val="28"/>
          <w:szCs w:val="22"/>
        </w:rPr>
        <w:t xml:space="preserve"> 2020 ԹՎԱԿԱՆԻ ՊԵՏԱԿԱՆ ԲՅՈՒՋԵԻ </w:t>
      </w:r>
      <w:r w:rsidR="004B4CD2">
        <w:rPr>
          <w:b/>
          <w:bCs/>
          <w:color w:val="808080"/>
          <w:sz w:val="28"/>
          <w:szCs w:val="22"/>
        </w:rPr>
        <w:t>ԻՆՆ</w:t>
      </w:r>
      <w:r w:rsidRPr="00BC6FB3">
        <w:rPr>
          <w:b/>
          <w:bCs/>
          <w:color w:val="808080"/>
          <w:sz w:val="28"/>
          <w:szCs w:val="22"/>
        </w:rPr>
        <w:t xml:space="preserve"> ԱՄԻՍՆԵՐԻ </w:t>
      </w:r>
      <w:r w:rsidR="00221E48">
        <w:rPr>
          <w:b/>
          <w:bCs/>
          <w:color w:val="808080"/>
          <w:sz w:val="28"/>
          <w:szCs w:val="22"/>
        </w:rPr>
        <w:t>ԿԱՏԱՐՄԱՆ</w:t>
      </w:r>
      <w:r w:rsidRPr="00BC6FB3">
        <w:rPr>
          <w:b/>
          <w:bCs/>
          <w:color w:val="808080"/>
          <w:sz w:val="28"/>
          <w:szCs w:val="22"/>
        </w:rPr>
        <w:t xml:space="preserve"> </w:t>
      </w:r>
      <w:r w:rsidR="008C08B3" w:rsidRPr="00BC6FB3">
        <w:rPr>
          <w:b/>
          <w:bCs/>
          <w:color w:val="808080"/>
          <w:sz w:val="28"/>
          <w:szCs w:val="22"/>
        </w:rPr>
        <w:t>ՀԱՇՎԵՔՆՆՈՒԹՅԱՆ ԱՐԴՅՈՒՆՔՆԵՐԻ ՎԵՐԱԲԵՐՅԱԼ</w:t>
      </w:r>
    </w:p>
    <w:p w14:paraId="28F0E3A3" w14:textId="109A73E5" w:rsidR="00C96B6D" w:rsidRPr="000D57D8" w:rsidRDefault="00C96B6D" w:rsidP="009E7941">
      <w:pPr>
        <w:jc w:val="center"/>
      </w:pPr>
    </w:p>
    <w:p w14:paraId="105CBFE8" w14:textId="513AE519" w:rsidR="00CA76F7" w:rsidRPr="000D57D8" w:rsidRDefault="00CA76F7" w:rsidP="00C60AA9"/>
    <w:p w14:paraId="5B73C44D" w14:textId="033E9E1C" w:rsidR="00CA76F7" w:rsidRPr="000D57D8" w:rsidRDefault="00CA76F7" w:rsidP="00C60AA9"/>
    <w:p w14:paraId="14444D60" w14:textId="1B590E02" w:rsidR="00CA76F7" w:rsidRPr="000D57D8" w:rsidRDefault="00CA76F7" w:rsidP="00C60AA9"/>
    <w:p w14:paraId="552A3124" w14:textId="2E78E8EB" w:rsidR="00CA76F7" w:rsidRPr="000D57D8" w:rsidRDefault="00CA76F7" w:rsidP="00C60AA9"/>
    <w:p w14:paraId="5A5E5F90" w14:textId="7184F0B3" w:rsidR="00CA76F7" w:rsidRPr="000D57D8" w:rsidRDefault="00CA76F7" w:rsidP="00C60AA9"/>
    <w:p w14:paraId="1412F79E" w14:textId="4D22E17B" w:rsidR="00CA76F7" w:rsidRDefault="00CA76F7" w:rsidP="00C60AA9"/>
    <w:p w14:paraId="4E3104EC" w14:textId="77777777" w:rsidR="00EC365D" w:rsidRPr="000D57D8" w:rsidRDefault="00EC365D" w:rsidP="00C60AA9"/>
    <w:p w14:paraId="0ED0DA7D" w14:textId="1D729BF1" w:rsidR="009E7941" w:rsidRPr="00DF230B" w:rsidRDefault="00CA76F7" w:rsidP="009E7941">
      <w:pPr>
        <w:jc w:val="center"/>
        <w:rPr>
          <w:sz w:val="28"/>
          <w:szCs w:val="28"/>
        </w:rPr>
      </w:pPr>
      <w:r w:rsidRPr="00DF230B">
        <w:rPr>
          <w:sz w:val="28"/>
          <w:szCs w:val="28"/>
        </w:rPr>
        <w:t>202</w:t>
      </w:r>
      <w:r w:rsidR="004B4CD2">
        <w:rPr>
          <w:sz w:val="28"/>
          <w:szCs w:val="28"/>
        </w:rPr>
        <w:t>1</w:t>
      </w:r>
    </w:p>
    <w:p w14:paraId="5A646459" w14:textId="4EF891DC" w:rsidR="00E73480" w:rsidRDefault="00E73480">
      <w:pPr>
        <w:spacing w:line="259" w:lineRule="auto"/>
        <w:jc w:val="left"/>
      </w:pPr>
      <w:r>
        <w:br w:type="page"/>
      </w:r>
    </w:p>
    <w:bookmarkStart w:id="1" w:name="_Toc64560564" w:displacedByCustomXml="next"/>
    <w:sdt>
      <w:sdtPr>
        <w:rPr>
          <w:rFonts w:asciiTheme="minorHAnsi" w:eastAsiaTheme="minorHAnsi" w:hAnsiTheme="minorHAnsi" w:cstheme="minorBidi"/>
          <w:b w:val="0"/>
          <w:bCs w:val="0"/>
          <w:color w:val="auto"/>
          <w:sz w:val="22"/>
          <w:szCs w:val="22"/>
          <w:lang w:val="en-US"/>
        </w:rPr>
        <w:id w:val="1813525155"/>
        <w:docPartObj>
          <w:docPartGallery w:val="Table of Contents"/>
          <w:docPartUnique/>
        </w:docPartObj>
      </w:sdtPr>
      <w:sdtEndPr>
        <w:rPr>
          <w:rFonts w:ascii="GHEA Grapalat" w:hAnsi="GHEA Grapalat"/>
          <w:noProof/>
          <w:sz w:val="24"/>
          <w:szCs w:val="24"/>
          <w:lang w:val="hy-AM"/>
        </w:rPr>
      </w:sdtEndPr>
      <w:sdtContent>
        <w:p w14:paraId="3B85E68C" w14:textId="1FD77744" w:rsidR="008F5570" w:rsidRPr="00DF1D03" w:rsidRDefault="004F4B2C" w:rsidP="00CD7DDC">
          <w:pPr>
            <w:pStyle w:val="Heading1"/>
            <w:ind w:left="851" w:hanging="567"/>
          </w:pPr>
          <w:r w:rsidRPr="00DF1D03">
            <w:t>ԲՈՎԱՆԴԱԿՈՒԹՅՈՒՆ</w:t>
          </w:r>
          <w:bookmarkEnd w:id="1"/>
        </w:p>
        <w:p w14:paraId="0DE5A493" w14:textId="67822150" w:rsidR="00934C98" w:rsidRDefault="008F5570">
          <w:pPr>
            <w:pStyle w:val="TOC1"/>
            <w:tabs>
              <w:tab w:val="right" w:leader="dot" w:pos="10034"/>
            </w:tabs>
            <w:rPr>
              <w:rFonts w:asciiTheme="minorHAnsi" w:eastAsiaTheme="minorEastAsia" w:hAnsiTheme="minorHAnsi"/>
              <w:noProof/>
              <w:sz w:val="22"/>
              <w:szCs w:val="22"/>
              <w:lang w:val="en-US"/>
            </w:rPr>
          </w:pPr>
          <w:r w:rsidRPr="00DF1D03">
            <w:fldChar w:fldCharType="begin"/>
          </w:r>
          <w:r w:rsidRPr="00DF1D03">
            <w:instrText xml:space="preserve"> TOC \o "1-3" \h \z \u </w:instrText>
          </w:r>
          <w:r w:rsidRPr="00DF1D03">
            <w:fldChar w:fldCharType="separate"/>
          </w:r>
          <w:hyperlink w:anchor="_Toc64560564" w:history="1">
            <w:r w:rsidR="00934C98" w:rsidRPr="00346782">
              <w:rPr>
                <w:rStyle w:val="Hyperlink"/>
                <w:noProof/>
              </w:rPr>
              <w:t>ԲՈՎԱՆԴԱԿՈՒԹՅՈՒՆ</w:t>
            </w:r>
            <w:r w:rsidR="00934C98">
              <w:rPr>
                <w:noProof/>
                <w:webHidden/>
              </w:rPr>
              <w:tab/>
            </w:r>
            <w:r w:rsidR="00934C98">
              <w:rPr>
                <w:noProof/>
                <w:webHidden/>
              </w:rPr>
              <w:fldChar w:fldCharType="begin"/>
            </w:r>
            <w:r w:rsidR="00934C98">
              <w:rPr>
                <w:noProof/>
                <w:webHidden/>
              </w:rPr>
              <w:instrText xml:space="preserve"> PAGEREF _Toc64560564 \h </w:instrText>
            </w:r>
            <w:r w:rsidR="00934C98">
              <w:rPr>
                <w:noProof/>
                <w:webHidden/>
              </w:rPr>
            </w:r>
            <w:r w:rsidR="00934C98">
              <w:rPr>
                <w:noProof/>
                <w:webHidden/>
              </w:rPr>
              <w:fldChar w:fldCharType="separate"/>
            </w:r>
            <w:r w:rsidR="001E784B">
              <w:rPr>
                <w:noProof/>
                <w:webHidden/>
              </w:rPr>
              <w:t>2</w:t>
            </w:r>
            <w:r w:rsidR="00934C98">
              <w:rPr>
                <w:noProof/>
                <w:webHidden/>
              </w:rPr>
              <w:fldChar w:fldCharType="end"/>
            </w:r>
          </w:hyperlink>
        </w:p>
        <w:p w14:paraId="3DE74D61" w14:textId="733BAA5C" w:rsidR="00934C98" w:rsidRDefault="005F0074">
          <w:pPr>
            <w:pStyle w:val="TOC1"/>
            <w:tabs>
              <w:tab w:val="left" w:pos="480"/>
              <w:tab w:val="right" w:leader="dot" w:pos="10034"/>
            </w:tabs>
            <w:rPr>
              <w:rFonts w:asciiTheme="minorHAnsi" w:eastAsiaTheme="minorEastAsia" w:hAnsiTheme="minorHAnsi"/>
              <w:noProof/>
              <w:sz w:val="22"/>
              <w:szCs w:val="22"/>
              <w:lang w:val="en-US"/>
            </w:rPr>
          </w:pPr>
          <w:hyperlink w:anchor="_Toc64560565" w:history="1">
            <w:r w:rsidR="00934C98" w:rsidRPr="00346782">
              <w:rPr>
                <w:rStyle w:val="Hyperlink"/>
                <w:noProof/>
              </w:rPr>
              <w:t>I.</w:t>
            </w:r>
            <w:r w:rsidR="00934C98">
              <w:rPr>
                <w:rFonts w:asciiTheme="minorHAnsi" w:eastAsiaTheme="minorEastAsia" w:hAnsiTheme="minorHAnsi"/>
                <w:noProof/>
                <w:sz w:val="22"/>
                <w:szCs w:val="22"/>
                <w:lang w:val="en-US"/>
              </w:rPr>
              <w:tab/>
            </w:r>
            <w:r w:rsidR="00934C98" w:rsidRPr="00346782">
              <w:rPr>
                <w:rStyle w:val="Hyperlink"/>
                <w:noProof/>
              </w:rPr>
              <w:t>ԱՄՓՈՓԱԳԻՐ</w:t>
            </w:r>
            <w:r w:rsidR="00934C98">
              <w:rPr>
                <w:noProof/>
                <w:webHidden/>
              </w:rPr>
              <w:tab/>
            </w:r>
            <w:r w:rsidR="00934C98">
              <w:rPr>
                <w:noProof/>
                <w:webHidden/>
              </w:rPr>
              <w:fldChar w:fldCharType="begin"/>
            </w:r>
            <w:r w:rsidR="00934C98">
              <w:rPr>
                <w:noProof/>
                <w:webHidden/>
              </w:rPr>
              <w:instrText xml:space="preserve"> PAGEREF _Toc64560565 \h </w:instrText>
            </w:r>
            <w:r w:rsidR="00934C98">
              <w:rPr>
                <w:noProof/>
                <w:webHidden/>
              </w:rPr>
            </w:r>
            <w:r w:rsidR="00934C98">
              <w:rPr>
                <w:noProof/>
                <w:webHidden/>
              </w:rPr>
              <w:fldChar w:fldCharType="separate"/>
            </w:r>
            <w:r w:rsidR="001E784B">
              <w:rPr>
                <w:noProof/>
                <w:webHidden/>
              </w:rPr>
              <w:t>6</w:t>
            </w:r>
            <w:r w:rsidR="00934C98">
              <w:rPr>
                <w:noProof/>
                <w:webHidden/>
              </w:rPr>
              <w:fldChar w:fldCharType="end"/>
            </w:r>
          </w:hyperlink>
        </w:p>
        <w:p w14:paraId="6D9061FF" w14:textId="46E88F4A" w:rsidR="00934C98" w:rsidRDefault="005F0074">
          <w:pPr>
            <w:pStyle w:val="TOC1"/>
            <w:tabs>
              <w:tab w:val="left" w:pos="480"/>
              <w:tab w:val="right" w:leader="dot" w:pos="10034"/>
            </w:tabs>
            <w:rPr>
              <w:rFonts w:asciiTheme="minorHAnsi" w:eastAsiaTheme="minorEastAsia" w:hAnsiTheme="minorHAnsi"/>
              <w:noProof/>
              <w:sz w:val="22"/>
              <w:szCs w:val="22"/>
              <w:lang w:val="en-US"/>
            </w:rPr>
          </w:pPr>
          <w:hyperlink w:anchor="_Toc64560566" w:history="1">
            <w:r w:rsidR="00934C98" w:rsidRPr="00346782">
              <w:rPr>
                <w:rStyle w:val="Hyperlink"/>
                <w:noProof/>
              </w:rPr>
              <w:t>II.</w:t>
            </w:r>
            <w:r w:rsidR="00934C98">
              <w:rPr>
                <w:rFonts w:asciiTheme="minorHAnsi" w:eastAsiaTheme="minorEastAsia" w:hAnsiTheme="minorHAnsi"/>
                <w:noProof/>
                <w:sz w:val="22"/>
                <w:szCs w:val="22"/>
                <w:lang w:val="en-US"/>
              </w:rPr>
              <w:tab/>
            </w:r>
            <w:r w:rsidR="00934C98" w:rsidRPr="00346782">
              <w:rPr>
                <w:rStyle w:val="Hyperlink"/>
                <w:noProof/>
              </w:rPr>
              <w:t>ՀԱՇՎԵՔՆՆՈՒԹՅԱՆ ՀԻՄՆԱԿԱՆ ԱՐԴՅՈՒՆՔՆԵՐԸ</w:t>
            </w:r>
            <w:r w:rsidR="00934C98">
              <w:rPr>
                <w:noProof/>
                <w:webHidden/>
              </w:rPr>
              <w:tab/>
            </w:r>
            <w:r w:rsidR="00934C98">
              <w:rPr>
                <w:noProof/>
                <w:webHidden/>
              </w:rPr>
              <w:fldChar w:fldCharType="begin"/>
            </w:r>
            <w:r w:rsidR="00934C98">
              <w:rPr>
                <w:noProof/>
                <w:webHidden/>
              </w:rPr>
              <w:instrText xml:space="preserve"> PAGEREF _Toc64560566 \h </w:instrText>
            </w:r>
            <w:r w:rsidR="00934C98">
              <w:rPr>
                <w:noProof/>
                <w:webHidden/>
              </w:rPr>
            </w:r>
            <w:r w:rsidR="00934C98">
              <w:rPr>
                <w:noProof/>
                <w:webHidden/>
              </w:rPr>
              <w:fldChar w:fldCharType="separate"/>
            </w:r>
            <w:r w:rsidR="001E784B">
              <w:rPr>
                <w:noProof/>
                <w:webHidden/>
              </w:rPr>
              <w:t>6</w:t>
            </w:r>
            <w:r w:rsidR="00934C98">
              <w:rPr>
                <w:noProof/>
                <w:webHidden/>
              </w:rPr>
              <w:fldChar w:fldCharType="end"/>
            </w:r>
          </w:hyperlink>
        </w:p>
        <w:p w14:paraId="570C52B8" w14:textId="0CFCC088" w:rsidR="00934C98" w:rsidRDefault="005F0074">
          <w:pPr>
            <w:pStyle w:val="TOC1"/>
            <w:tabs>
              <w:tab w:val="left" w:pos="660"/>
              <w:tab w:val="right" w:leader="dot" w:pos="10034"/>
            </w:tabs>
            <w:rPr>
              <w:rFonts w:asciiTheme="minorHAnsi" w:eastAsiaTheme="minorEastAsia" w:hAnsiTheme="minorHAnsi"/>
              <w:noProof/>
              <w:sz w:val="22"/>
              <w:szCs w:val="22"/>
              <w:lang w:val="en-US"/>
            </w:rPr>
          </w:pPr>
          <w:hyperlink w:anchor="_Toc64560567" w:history="1">
            <w:r w:rsidR="00934C98" w:rsidRPr="00346782">
              <w:rPr>
                <w:rStyle w:val="Hyperlink"/>
                <w:noProof/>
              </w:rPr>
              <w:t>III.</w:t>
            </w:r>
            <w:r w:rsidR="00934C98">
              <w:rPr>
                <w:rFonts w:asciiTheme="minorHAnsi" w:eastAsiaTheme="minorEastAsia" w:hAnsiTheme="minorHAnsi"/>
                <w:noProof/>
                <w:sz w:val="22"/>
                <w:szCs w:val="22"/>
                <w:lang w:val="en-US"/>
              </w:rPr>
              <w:tab/>
            </w:r>
            <w:r w:rsidR="00934C98" w:rsidRPr="00346782">
              <w:rPr>
                <w:rStyle w:val="Hyperlink"/>
                <w:noProof/>
              </w:rPr>
              <w:t>ՀԱՇՎԵՔՆՆՈՒԹՅԱՆ ՕԲՅԵԿՏԻ ՖԻՆԱՆՍԱԿԱՆ ՑՈՒՑԱՆԻՇՆԵՐԸ</w:t>
            </w:r>
            <w:r w:rsidR="00934C98">
              <w:rPr>
                <w:noProof/>
                <w:webHidden/>
              </w:rPr>
              <w:tab/>
            </w:r>
            <w:r w:rsidR="00934C98">
              <w:rPr>
                <w:noProof/>
                <w:webHidden/>
              </w:rPr>
              <w:fldChar w:fldCharType="begin"/>
            </w:r>
            <w:r w:rsidR="00934C98">
              <w:rPr>
                <w:noProof/>
                <w:webHidden/>
              </w:rPr>
              <w:instrText xml:space="preserve"> PAGEREF _Toc64560567 \h </w:instrText>
            </w:r>
            <w:r w:rsidR="00934C98">
              <w:rPr>
                <w:noProof/>
                <w:webHidden/>
              </w:rPr>
            </w:r>
            <w:r w:rsidR="00934C98">
              <w:rPr>
                <w:noProof/>
                <w:webHidden/>
              </w:rPr>
              <w:fldChar w:fldCharType="separate"/>
            </w:r>
            <w:r w:rsidR="001E784B">
              <w:rPr>
                <w:noProof/>
                <w:webHidden/>
              </w:rPr>
              <w:t>7</w:t>
            </w:r>
            <w:r w:rsidR="00934C98">
              <w:rPr>
                <w:noProof/>
                <w:webHidden/>
              </w:rPr>
              <w:fldChar w:fldCharType="end"/>
            </w:r>
          </w:hyperlink>
        </w:p>
        <w:p w14:paraId="0ECE4A05" w14:textId="6DEFF628" w:rsidR="00934C98" w:rsidRDefault="005F0074">
          <w:pPr>
            <w:pStyle w:val="TOC2"/>
            <w:rPr>
              <w:rFonts w:asciiTheme="minorHAnsi" w:eastAsiaTheme="minorEastAsia" w:hAnsiTheme="minorHAnsi"/>
              <w:noProof/>
              <w:sz w:val="22"/>
              <w:szCs w:val="22"/>
              <w:lang w:val="en-US"/>
            </w:rPr>
          </w:pPr>
          <w:hyperlink w:anchor="_Toc64560568" w:history="1">
            <w:r w:rsidR="00934C98" w:rsidRPr="00346782">
              <w:rPr>
                <w:rStyle w:val="Hyperlink"/>
                <w:noProof/>
              </w:rPr>
              <w:t>1.</w:t>
            </w:r>
            <w:r w:rsidR="00934C98">
              <w:rPr>
                <w:rFonts w:asciiTheme="minorHAnsi" w:eastAsiaTheme="minorEastAsia" w:hAnsiTheme="minorHAnsi"/>
                <w:noProof/>
                <w:sz w:val="22"/>
                <w:szCs w:val="22"/>
                <w:lang w:val="en-US"/>
              </w:rPr>
              <w:tab/>
            </w:r>
            <w:r w:rsidR="00934C98" w:rsidRPr="00346782">
              <w:rPr>
                <w:rStyle w:val="Hyperlink"/>
                <w:noProof/>
              </w:rPr>
              <w:t>ՀԱՐԿԱՅԻՆ ԵԿԱՄՈՒՏՆԵՐԻ ՎԵՐԱԲԵՐՅԱԼ</w:t>
            </w:r>
            <w:r w:rsidR="00934C98">
              <w:rPr>
                <w:noProof/>
                <w:webHidden/>
              </w:rPr>
              <w:tab/>
            </w:r>
            <w:r w:rsidR="00934C98">
              <w:rPr>
                <w:noProof/>
                <w:webHidden/>
              </w:rPr>
              <w:fldChar w:fldCharType="begin"/>
            </w:r>
            <w:r w:rsidR="00934C98">
              <w:rPr>
                <w:noProof/>
                <w:webHidden/>
              </w:rPr>
              <w:instrText xml:space="preserve"> PAGEREF _Toc64560568 \h </w:instrText>
            </w:r>
            <w:r w:rsidR="00934C98">
              <w:rPr>
                <w:noProof/>
                <w:webHidden/>
              </w:rPr>
            </w:r>
            <w:r w:rsidR="00934C98">
              <w:rPr>
                <w:noProof/>
                <w:webHidden/>
              </w:rPr>
              <w:fldChar w:fldCharType="separate"/>
            </w:r>
            <w:r w:rsidR="001E784B">
              <w:rPr>
                <w:noProof/>
                <w:webHidden/>
              </w:rPr>
              <w:t>10</w:t>
            </w:r>
            <w:r w:rsidR="00934C98">
              <w:rPr>
                <w:noProof/>
                <w:webHidden/>
              </w:rPr>
              <w:fldChar w:fldCharType="end"/>
            </w:r>
          </w:hyperlink>
        </w:p>
        <w:p w14:paraId="1AFA47E2" w14:textId="4345B299" w:rsidR="00934C98" w:rsidRDefault="005F0074">
          <w:pPr>
            <w:pStyle w:val="TOC2"/>
            <w:rPr>
              <w:rFonts w:asciiTheme="minorHAnsi" w:eastAsiaTheme="minorEastAsia" w:hAnsiTheme="minorHAnsi"/>
              <w:noProof/>
              <w:sz w:val="22"/>
              <w:szCs w:val="22"/>
              <w:lang w:val="en-US"/>
            </w:rPr>
          </w:pPr>
          <w:hyperlink w:anchor="_Toc64560569" w:history="1">
            <w:r w:rsidR="00934C98" w:rsidRPr="00346782">
              <w:rPr>
                <w:rStyle w:val="Hyperlink"/>
                <w:noProof/>
              </w:rPr>
              <w:t>2.</w:t>
            </w:r>
            <w:r w:rsidR="00934C98">
              <w:rPr>
                <w:rFonts w:asciiTheme="minorHAnsi" w:eastAsiaTheme="minorEastAsia" w:hAnsiTheme="minorHAnsi"/>
                <w:noProof/>
                <w:sz w:val="22"/>
                <w:szCs w:val="22"/>
                <w:lang w:val="en-US"/>
              </w:rPr>
              <w:tab/>
            </w:r>
            <w:r w:rsidR="00934C98" w:rsidRPr="00346782">
              <w:rPr>
                <w:rStyle w:val="Hyperlink"/>
                <w:noProof/>
              </w:rPr>
              <w:t>ՊԱՇՏՈՆԱԿԱՆ ԴՐԱՄԱՇՆՈՐՀՆԵՐԻ ՎԵՐԱԲԵՐՅԱԼ</w:t>
            </w:r>
            <w:r w:rsidR="00934C98">
              <w:rPr>
                <w:noProof/>
                <w:webHidden/>
              </w:rPr>
              <w:tab/>
            </w:r>
            <w:r w:rsidR="00934C98">
              <w:rPr>
                <w:noProof/>
                <w:webHidden/>
              </w:rPr>
              <w:fldChar w:fldCharType="begin"/>
            </w:r>
            <w:r w:rsidR="00934C98">
              <w:rPr>
                <w:noProof/>
                <w:webHidden/>
              </w:rPr>
              <w:instrText xml:space="preserve"> PAGEREF _Toc64560569 \h </w:instrText>
            </w:r>
            <w:r w:rsidR="00934C98">
              <w:rPr>
                <w:noProof/>
                <w:webHidden/>
              </w:rPr>
            </w:r>
            <w:r w:rsidR="00934C98">
              <w:rPr>
                <w:noProof/>
                <w:webHidden/>
              </w:rPr>
              <w:fldChar w:fldCharType="separate"/>
            </w:r>
            <w:r w:rsidR="001E784B">
              <w:rPr>
                <w:noProof/>
                <w:webHidden/>
              </w:rPr>
              <w:t>16</w:t>
            </w:r>
            <w:r w:rsidR="00934C98">
              <w:rPr>
                <w:noProof/>
                <w:webHidden/>
              </w:rPr>
              <w:fldChar w:fldCharType="end"/>
            </w:r>
          </w:hyperlink>
        </w:p>
        <w:p w14:paraId="0EA46712" w14:textId="5AA3AF96" w:rsidR="00934C98" w:rsidRDefault="005F0074">
          <w:pPr>
            <w:pStyle w:val="TOC2"/>
            <w:rPr>
              <w:rFonts w:asciiTheme="minorHAnsi" w:eastAsiaTheme="minorEastAsia" w:hAnsiTheme="minorHAnsi"/>
              <w:noProof/>
              <w:sz w:val="22"/>
              <w:szCs w:val="22"/>
              <w:lang w:val="en-US"/>
            </w:rPr>
          </w:pPr>
          <w:hyperlink w:anchor="_Toc64560570" w:history="1">
            <w:r w:rsidR="00934C98" w:rsidRPr="00346782">
              <w:rPr>
                <w:rStyle w:val="Hyperlink"/>
                <w:noProof/>
              </w:rPr>
              <w:t>3.</w:t>
            </w:r>
            <w:r w:rsidR="00934C98">
              <w:rPr>
                <w:rFonts w:asciiTheme="minorHAnsi" w:eastAsiaTheme="minorEastAsia" w:hAnsiTheme="minorHAnsi"/>
                <w:noProof/>
                <w:sz w:val="22"/>
                <w:szCs w:val="22"/>
                <w:lang w:val="en-US"/>
              </w:rPr>
              <w:tab/>
            </w:r>
            <w:r w:rsidR="00934C98" w:rsidRPr="00346782">
              <w:rPr>
                <w:rStyle w:val="Hyperlink"/>
                <w:noProof/>
              </w:rPr>
              <w:t>ԱՅԼ ԵԿԱՄՈՒՏՆԵՐԻ ՎԵՐԱԲԵՐՅԱԼ</w:t>
            </w:r>
            <w:r w:rsidR="00934C98">
              <w:rPr>
                <w:noProof/>
                <w:webHidden/>
              </w:rPr>
              <w:tab/>
            </w:r>
            <w:r w:rsidR="00934C98">
              <w:rPr>
                <w:noProof/>
                <w:webHidden/>
              </w:rPr>
              <w:fldChar w:fldCharType="begin"/>
            </w:r>
            <w:r w:rsidR="00934C98">
              <w:rPr>
                <w:noProof/>
                <w:webHidden/>
              </w:rPr>
              <w:instrText xml:space="preserve"> PAGEREF _Toc64560570 \h </w:instrText>
            </w:r>
            <w:r w:rsidR="00934C98">
              <w:rPr>
                <w:noProof/>
                <w:webHidden/>
              </w:rPr>
            </w:r>
            <w:r w:rsidR="00934C98">
              <w:rPr>
                <w:noProof/>
                <w:webHidden/>
              </w:rPr>
              <w:fldChar w:fldCharType="separate"/>
            </w:r>
            <w:r w:rsidR="001E784B">
              <w:rPr>
                <w:noProof/>
                <w:webHidden/>
              </w:rPr>
              <w:t>17</w:t>
            </w:r>
            <w:r w:rsidR="00934C98">
              <w:rPr>
                <w:noProof/>
                <w:webHidden/>
              </w:rPr>
              <w:fldChar w:fldCharType="end"/>
            </w:r>
          </w:hyperlink>
        </w:p>
        <w:p w14:paraId="5412D955" w14:textId="4B54C013" w:rsidR="00934C98" w:rsidRDefault="005F0074">
          <w:pPr>
            <w:pStyle w:val="TOC1"/>
            <w:tabs>
              <w:tab w:val="left" w:pos="660"/>
              <w:tab w:val="right" w:leader="dot" w:pos="10034"/>
            </w:tabs>
            <w:rPr>
              <w:rFonts w:asciiTheme="minorHAnsi" w:eastAsiaTheme="minorEastAsia" w:hAnsiTheme="minorHAnsi"/>
              <w:noProof/>
              <w:sz w:val="22"/>
              <w:szCs w:val="22"/>
              <w:lang w:val="en-US"/>
            </w:rPr>
          </w:pPr>
          <w:hyperlink w:anchor="_Toc64560571" w:history="1">
            <w:r w:rsidR="00934C98" w:rsidRPr="00346782">
              <w:rPr>
                <w:rStyle w:val="Hyperlink"/>
                <w:noProof/>
              </w:rPr>
              <w:t>IV.</w:t>
            </w:r>
            <w:r w:rsidR="00934C98">
              <w:rPr>
                <w:rFonts w:asciiTheme="minorHAnsi" w:eastAsiaTheme="minorEastAsia" w:hAnsiTheme="minorHAnsi"/>
                <w:noProof/>
                <w:sz w:val="22"/>
                <w:szCs w:val="22"/>
                <w:lang w:val="en-US"/>
              </w:rPr>
              <w:tab/>
            </w:r>
            <w:r w:rsidR="00934C98" w:rsidRPr="00346782">
              <w:rPr>
                <w:rStyle w:val="Hyperlink"/>
                <w:noProof/>
              </w:rPr>
              <w:t>ՖԻՆԱՆՍՆԵՐԻ ՆԱԽԱՐԱՐՈՒԹՅԱՆ ԿՈՂՄԻՑ ԻՐԱԿԱՆԱՑՎԱԾ ԾԱԽՍԵՐԻ ՎԵՐԱԲԵՐՅԱԼ</w:t>
            </w:r>
            <w:r w:rsidR="00934C98">
              <w:rPr>
                <w:noProof/>
                <w:webHidden/>
              </w:rPr>
              <w:tab/>
            </w:r>
            <w:r w:rsidR="00934C98">
              <w:rPr>
                <w:noProof/>
                <w:webHidden/>
              </w:rPr>
              <w:fldChar w:fldCharType="begin"/>
            </w:r>
            <w:r w:rsidR="00934C98">
              <w:rPr>
                <w:noProof/>
                <w:webHidden/>
              </w:rPr>
              <w:instrText xml:space="preserve"> PAGEREF _Toc64560571 \h </w:instrText>
            </w:r>
            <w:r w:rsidR="00934C98">
              <w:rPr>
                <w:noProof/>
                <w:webHidden/>
              </w:rPr>
            </w:r>
            <w:r w:rsidR="00934C98">
              <w:rPr>
                <w:noProof/>
                <w:webHidden/>
              </w:rPr>
              <w:fldChar w:fldCharType="separate"/>
            </w:r>
            <w:r w:rsidR="001E784B">
              <w:rPr>
                <w:noProof/>
                <w:webHidden/>
              </w:rPr>
              <w:t>20</w:t>
            </w:r>
            <w:r w:rsidR="00934C98">
              <w:rPr>
                <w:noProof/>
                <w:webHidden/>
              </w:rPr>
              <w:fldChar w:fldCharType="end"/>
            </w:r>
          </w:hyperlink>
        </w:p>
        <w:p w14:paraId="722869C4" w14:textId="3A93E035" w:rsidR="00934C98" w:rsidRDefault="005F0074">
          <w:pPr>
            <w:pStyle w:val="TOC2"/>
            <w:rPr>
              <w:rFonts w:asciiTheme="minorHAnsi" w:eastAsiaTheme="minorEastAsia" w:hAnsiTheme="minorHAnsi"/>
              <w:noProof/>
              <w:sz w:val="22"/>
              <w:szCs w:val="22"/>
              <w:lang w:val="en-US"/>
            </w:rPr>
          </w:pPr>
          <w:hyperlink w:anchor="_Toc64560572" w:history="1">
            <w:r w:rsidR="00934C98" w:rsidRPr="00346782">
              <w:rPr>
                <w:rStyle w:val="Hyperlink"/>
                <w:noProof/>
              </w:rPr>
              <w:t>1.</w:t>
            </w:r>
            <w:r w:rsidR="00934C98">
              <w:rPr>
                <w:rFonts w:asciiTheme="minorHAnsi" w:eastAsiaTheme="minorEastAsia" w:hAnsiTheme="minorHAnsi"/>
                <w:noProof/>
                <w:sz w:val="22"/>
                <w:szCs w:val="22"/>
                <w:lang w:val="en-US"/>
              </w:rPr>
              <w:tab/>
            </w:r>
            <w:r w:rsidR="00934C98" w:rsidRPr="00346782">
              <w:rPr>
                <w:rStyle w:val="Hyperlink"/>
                <w:noProof/>
              </w:rPr>
              <w:t>ՊԼԱՆԱՎՈՐՈՒՄ, ԲՅՈՒՋԵՏԱՎՈՐՈՒՄ, ԳԱՆՁԱՊԵՏԱԿԱՆ ԾԱՌԱՅՈՒԹՅՈՒՆՆԵՐ, ՊԵՏԱԿԱՆ ՊԱՐՏՔԻ ԿԱՌԱՎԱՐՈՒՄ, ՏՆՏԵՍԱԿԱՆ ԵՎ ՀԱՐԿԱԲՅՈՒՋԵՏԱՅԻՆ ՔԱՂԱՔԱԿԱՆՈՒԹՅԱՆ ՄՇԱԿՈՒՄ ԵՎ ՄՈՆԻՏՈՐԻՆԳ</w:t>
            </w:r>
            <w:r w:rsidR="00934C98">
              <w:rPr>
                <w:noProof/>
                <w:webHidden/>
              </w:rPr>
              <w:tab/>
            </w:r>
            <w:r w:rsidR="00934C98">
              <w:rPr>
                <w:noProof/>
                <w:webHidden/>
              </w:rPr>
              <w:fldChar w:fldCharType="begin"/>
            </w:r>
            <w:r w:rsidR="00934C98">
              <w:rPr>
                <w:noProof/>
                <w:webHidden/>
              </w:rPr>
              <w:instrText xml:space="preserve"> PAGEREF _Toc64560572 \h </w:instrText>
            </w:r>
            <w:r w:rsidR="00934C98">
              <w:rPr>
                <w:noProof/>
                <w:webHidden/>
              </w:rPr>
            </w:r>
            <w:r w:rsidR="00934C98">
              <w:rPr>
                <w:noProof/>
                <w:webHidden/>
              </w:rPr>
              <w:fldChar w:fldCharType="separate"/>
            </w:r>
            <w:r w:rsidR="001E784B">
              <w:rPr>
                <w:noProof/>
                <w:webHidden/>
              </w:rPr>
              <w:t>24</w:t>
            </w:r>
            <w:r w:rsidR="00934C98">
              <w:rPr>
                <w:noProof/>
                <w:webHidden/>
              </w:rPr>
              <w:fldChar w:fldCharType="end"/>
            </w:r>
          </w:hyperlink>
        </w:p>
        <w:p w14:paraId="136E86E2" w14:textId="4FA30744" w:rsidR="00934C98" w:rsidRDefault="005F0074">
          <w:pPr>
            <w:pStyle w:val="TOC2"/>
            <w:rPr>
              <w:rFonts w:asciiTheme="minorHAnsi" w:eastAsiaTheme="minorEastAsia" w:hAnsiTheme="minorHAnsi"/>
              <w:noProof/>
              <w:sz w:val="22"/>
              <w:szCs w:val="22"/>
              <w:lang w:val="en-US"/>
            </w:rPr>
          </w:pPr>
          <w:hyperlink w:anchor="_Toc64560573" w:history="1">
            <w:r w:rsidR="00934C98" w:rsidRPr="00346782">
              <w:rPr>
                <w:rStyle w:val="Hyperlink"/>
                <w:noProof/>
              </w:rPr>
              <w:t>2.</w:t>
            </w:r>
            <w:r w:rsidR="00934C98">
              <w:rPr>
                <w:rFonts w:asciiTheme="minorHAnsi" w:eastAsiaTheme="minorEastAsia" w:hAnsiTheme="minorHAnsi"/>
                <w:noProof/>
                <w:sz w:val="22"/>
                <w:szCs w:val="22"/>
                <w:lang w:val="en-US"/>
              </w:rPr>
              <w:tab/>
            </w:r>
            <w:r w:rsidR="00934C98" w:rsidRPr="00346782">
              <w:rPr>
                <w:rStyle w:val="Hyperlink"/>
                <w:noProof/>
              </w:rPr>
              <w:t>ԱՐՏԱՐԺՈՒԹԱՅԻՆ ՊԵՏԱԿԱՆ ՊԱՐՏԱՏՈՄՍԵՐԻ ԹՈՂԱՐԿՄԱՆՆ ԱՌՆՉՎՈՂ ԾԱԽՍԵՐ</w:t>
            </w:r>
            <w:r w:rsidR="00934C98">
              <w:rPr>
                <w:noProof/>
                <w:webHidden/>
              </w:rPr>
              <w:tab/>
            </w:r>
            <w:r w:rsidR="00934C98">
              <w:rPr>
                <w:noProof/>
                <w:webHidden/>
              </w:rPr>
              <w:fldChar w:fldCharType="begin"/>
            </w:r>
            <w:r w:rsidR="00934C98">
              <w:rPr>
                <w:noProof/>
                <w:webHidden/>
              </w:rPr>
              <w:instrText xml:space="preserve"> PAGEREF _Toc64560573 \h </w:instrText>
            </w:r>
            <w:r w:rsidR="00934C98">
              <w:rPr>
                <w:noProof/>
                <w:webHidden/>
              </w:rPr>
            </w:r>
            <w:r w:rsidR="00934C98">
              <w:rPr>
                <w:noProof/>
                <w:webHidden/>
              </w:rPr>
              <w:fldChar w:fldCharType="separate"/>
            </w:r>
            <w:r w:rsidR="001E784B">
              <w:rPr>
                <w:noProof/>
                <w:webHidden/>
              </w:rPr>
              <w:t>25</w:t>
            </w:r>
            <w:r w:rsidR="00934C98">
              <w:rPr>
                <w:noProof/>
                <w:webHidden/>
              </w:rPr>
              <w:fldChar w:fldCharType="end"/>
            </w:r>
          </w:hyperlink>
        </w:p>
        <w:p w14:paraId="12393730" w14:textId="7905743A" w:rsidR="00934C98" w:rsidRDefault="005F0074">
          <w:pPr>
            <w:pStyle w:val="TOC2"/>
            <w:rPr>
              <w:rFonts w:asciiTheme="minorHAnsi" w:eastAsiaTheme="minorEastAsia" w:hAnsiTheme="minorHAnsi"/>
              <w:noProof/>
              <w:sz w:val="22"/>
              <w:szCs w:val="22"/>
              <w:lang w:val="en-US"/>
            </w:rPr>
          </w:pPr>
          <w:hyperlink w:anchor="_Toc64560574" w:history="1">
            <w:r w:rsidR="00934C98" w:rsidRPr="00346782">
              <w:rPr>
                <w:rStyle w:val="Hyperlink"/>
                <w:noProof/>
              </w:rPr>
              <w:t>3.</w:t>
            </w:r>
            <w:r w:rsidR="00934C98">
              <w:rPr>
                <w:rFonts w:asciiTheme="minorHAnsi" w:eastAsiaTheme="minorEastAsia" w:hAnsiTheme="minorHAnsi"/>
                <w:noProof/>
                <w:sz w:val="22"/>
                <w:szCs w:val="22"/>
                <w:lang w:val="en-US"/>
              </w:rPr>
              <w:tab/>
            </w:r>
            <w:r w:rsidR="00934C98" w:rsidRPr="00346782">
              <w:rPr>
                <w:rStyle w:val="Hyperlink"/>
                <w:noProof/>
              </w:rPr>
              <w:t>ՀՀ ՊԵՏԱԿԱՆ ՊԱՐՏՔԻ ԿԱՌԱՎԱՐՄԱՆ ԳՈՐԾԸՆԹԱՑԻ ՀՐԱՊԱՐԱԿԱՅՆՈՒԹՅԱՆ ԱՊԱՀՈՎՈՒՄ</w:t>
            </w:r>
            <w:r w:rsidR="00934C98">
              <w:rPr>
                <w:noProof/>
                <w:webHidden/>
              </w:rPr>
              <w:tab/>
            </w:r>
            <w:r w:rsidR="00934C98">
              <w:rPr>
                <w:noProof/>
                <w:webHidden/>
              </w:rPr>
              <w:fldChar w:fldCharType="begin"/>
            </w:r>
            <w:r w:rsidR="00934C98">
              <w:rPr>
                <w:noProof/>
                <w:webHidden/>
              </w:rPr>
              <w:instrText xml:space="preserve"> PAGEREF _Toc64560574 \h </w:instrText>
            </w:r>
            <w:r w:rsidR="00934C98">
              <w:rPr>
                <w:noProof/>
                <w:webHidden/>
              </w:rPr>
            </w:r>
            <w:r w:rsidR="00934C98">
              <w:rPr>
                <w:noProof/>
                <w:webHidden/>
              </w:rPr>
              <w:fldChar w:fldCharType="separate"/>
            </w:r>
            <w:r w:rsidR="001E784B">
              <w:rPr>
                <w:noProof/>
                <w:webHidden/>
              </w:rPr>
              <w:t>25</w:t>
            </w:r>
            <w:r w:rsidR="00934C98">
              <w:rPr>
                <w:noProof/>
                <w:webHidden/>
              </w:rPr>
              <w:fldChar w:fldCharType="end"/>
            </w:r>
          </w:hyperlink>
        </w:p>
        <w:p w14:paraId="3806F0EC" w14:textId="413C1AD6" w:rsidR="00934C98" w:rsidRDefault="005F0074">
          <w:pPr>
            <w:pStyle w:val="TOC2"/>
            <w:rPr>
              <w:rFonts w:asciiTheme="minorHAnsi" w:eastAsiaTheme="minorEastAsia" w:hAnsiTheme="minorHAnsi"/>
              <w:noProof/>
              <w:sz w:val="22"/>
              <w:szCs w:val="22"/>
              <w:lang w:val="en-US"/>
            </w:rPr>
          </w:pPr>
          <w:hyperlink w:anchor="_Toc64560575" w:history="1">
            <w:r w:rsidR="00934C98" w:rsidRPr="00346782">
              <w:rPr>
                <w:rStyle w:val="Hyperlink"/>
                <w:noProof/>
              </w:rPr>
              <w:t>4.</w:t>
            </w:r>
            <w:r w:rsidR="00934C98">
              <w:rPr>
                <w:rFonts w:asciiTheme="minorHAnsi" w:eastAsiaTheme="minorEastAsia" w:hAnsiTheme="minorHAnsi"/>
                <w:noProof/>
                <w:sz w:val="22"/>
                <w:szCs w:val="22"/>
                <w:lang w:val="en-US"/>
              </w:rPr>
              <w:tab/>
            </w:r>
            <w:r w:rsidR="00934C98" w:rsidRPr="00346782">
              <w:rPr>
                <w:rStyle w:val="Hyperlink"/>
                <w:noProof/>
              </w:rPr>
              <w:t>ՊԱՐՏՔԻ ԿԱՌԱՎԱՐՄԱՆՆ ԱՌՆՉՎՈՂ ՏԵՂԵԿԱՏՎԱԿԱՆ ՀԱՄԱԿԱՐԳԵՐԻ ԵՎ ԾՐԱԳՐԵՐԻ ՍՊԱՍԱՐԿՈՒՄ</w:t>
            </w:r>
            <w:r w:rsidR="00934C98">
              <w:rPr>
                <w:noProof/>
                <w:webHidden/>
              </w:rPr>
              <w:tab/>
            </w:r>
            <w:r w:rsidR="00934C98">
              <w:rPr>
                <w:noProof/>
                <w:webHidden/>
              </w:rPr>
              <w:fldChar w:fldCharType="begin"/>
            </w:r>
            <w:r w:rsidR="00934C98">
              <w:rPr>
                <w:noProof/>
                <w:webHidden/>
              </w:rPr>
              <w:instrText xml:space="preserve"> PAGEREF _Toc64560575 \h </w:instrText>
            </w:r>
            <w:r w:rsidR="00934C98">
              <w:rPr>
                <w:noProof/>
                <w:webHidden/>
              </w:rPr>
            </w:r>
            <w:r w:rsidR="00934C98">
              <w:rPr>
                <w:noProof/>
                <w:webHidden/>
              </w:rPr>
              <w:fldChar w:fldCharType="separate"/>
            </w:r>
            <w:r w:rsidR="001E784B">
              <w:rPr>
                <w:noProof/>
                <w:webHidden/>
              </w:rPr>
              <w:t>26</w:t>
            </w:r>
            <w:r w:rsidR="00934C98">
              <w:rPr>
                <w:noProof/>
                <w:webHidden/>
              </w:rPr>
              <w:fldChar w:fldCharType="end"/>
            </w:r>
          </w:hyperlink>
        </w:p>
        <w:p w14:paraId="7D556852" w14:textId="222C1524" w:rsidR="00934C98" w:rsidRDefault="005F0074">
          <w:pPr>
            <w:pStyle w:val="TOC2"/>
            <w:rPr>
              <w:rFonts w:asciiTheme="minorHAnsi" w:eastAsiaTheme="minorEastAsia" w:hAnsiTheme="minorHAnsi"/>
              <w:noProof/>
              <w:sz w:val="22"/>
              <w:szCs w:val="22"/>
              <w:lang w:val="en-US"/>
            </w:rPr>
          </w:pPr>
          <w:hyperlink w:anchor="_Toc64560576" w:history="1">
            <w:r w:rsidR="00934C98" w:rsidRPr="00346782">
              <w:rPr>
                <w:rStyle w:val="Hyperlink"/>
                <w:noProof/>
              </w:rPr>
              <w:t>5.</w:t>
            </w:r>
            <w:r w:rsidR="00934C98">
              <w:rPr>
                <w:rFonts w:asciiTheme="minorHAnsi" w:eastAsiaTheme="minorEastAsia" w:hAnsiTheme="minorHAnsi"/>
                <w:noProof/>
                <w:sz w:val="22"/>
                <w:szCs w:val="22"/>
                <w:lang w:val="en-US"/>
              </w:rPr>
              <w:tab/>
            </w:r>
            <w:r w:rsidR="00934C98" w:rsidRPr="00346782">
              <w:rPr>
                <w:rStyle w:val="Hyperlink"/>
                <w:noProof/>
              </w:rPr>
              <w:t>ՀՀ ԿԱՌԱՎԱՐՈՒԹՅԱՆ ՊԱՐՏՔԻ ՍՊԱՍԱՐԿՈՒՄ</w:t>
            </w:r>
            <w:r w:rsidR="00934C98">
              <w:rPr>
                <w:noProof/>
                <w:webHidden/>
              </w:rPr>
              <w:tab/>
            </w:r>
            <w:r w:rsidR="00934C98">
              <w:rPr>
                <w:noProof/>
                <w:webHidden/>
              </w:rPr>
              <w:fldChar w:fldCharType="begin"/>
            </w:r>
            <w:r w:rsidR="00934C98">
              <w:rPr>
                <w:noProof/>
                <w:webHidden/>
              </w:rPr>
              <w:instrText xml:space="preserve"> PAGEREF _Toc64560576 \h </w:instrText>
            </w:r>
            <w:r w:rsidR="00934C98">
              <w:rPr>
                <w:noProof/>
                <w:webHidden/>
              </w:rPr>
            </w:r>
            <w:r w:rsidR="00934C98">
              <w:rPr>
                <w:noProof/>
                <w:webHidden/>
              </w:rPr>
              <w:fldChar w:fldCharType="separate"/>
            </w:r>
            <w:r w:rsidR="001E784B">
              <w:rPr>
                <w:noProof/>
                <w:webHidden/>
              </w:rPr>
              <w:t>26</w:t>
            </w:r>
            <w:r w:rsidR="00934C98">
              <w:rPr>
                <w:noProof/>
                <w:webHidden/>
              </w:rPr>
              <w:fldChar w:fldCharType="end"/>
            </w:r>
          </w:hyperlink>
        </w:p>
        <w:p w14:paraId="509002C8" w14:textId="2CD51D94" w:rsidR="00934C98" w:rsidRDefault="005F0074">
          <w:pPr>
            <w:pStyle w:val="TOC2"/>
            <w:rPr>
              <w:rFonts w:asciiTheme="minorHAnsi" w:eastAsiaTheme="minorEastAsia" w:hAnsiTheme="minorHAnsi"/>
              <w:noProof/>
              <w:sz w:val="22"/>
              <w:szCs w:val="22"/>
              <w:lang w:val="en-US"/>
            </w:rPr>
          </w:pPr>
          <w:hyperlink w:anchor="_Toc64560577" w:history="1">
            <w:r w:rsidR="00934C98" w:rsidRPr="00346782">
              <w:rPr>
                <w:rStyle w:val="Hyperlink"/>
                <w:noProof/>
              </w:rPr>
              <w:t>6.</w:t>
            </w:r>
            <w:r w:rsidR="00934C98">
              <w:rPr>
                <w:rFonts w:asciiTheme="minorHAnsi" w:eastAsiaTheme="minorEastAsia" w:hAnsiTheme="minorHAnsi"/>
                <w:noProof/>
                <w:sz w:val="22"/>
                <w:szCs w:val="22"/>
                <w:lang w:val="en-US"/>
              </w:rPr>
              <w:tab/>
            </w:r>
            <w:r w:rsidR="00934C98" w:rsidRPr="00346782">
              <w:rPr>
                <w:rStyle w:val="Hyperlink"/>
                <w:noProof/>
              </w:rPr>
              <w:t>ՄՈՒՐՀԱԿՆԵՐԻ ՍՊԱՍԱՐԿՈՒՄ</w:t>
            </w:r>
            <w:r w:rsidR="00934C98">
              <w:rPr>
                <w:noProof/>
                <w:webHidden/>
              </w:rPr>
              <w:tab/>
            </w:r>
            <w:r w:rsidR="00934C98">
              <w:rPr>
                <w:noProof/>
                <w:webHidden/>
              </w:rPr>
              <w:fldChar w:fldCharType="begin"/>
            </w:r>
            <w:r w:rsidR="00934C98">
              <w:rPr>
                <w:noProof/>
                <w:webHidden/>
              </w:rPr>
              <w:instrText xml:space="preserve"> PAGEREF _Toc64560577 \h </w:instrText>
            </w:r>
            <w:r w:rsidR="00934C98">
              <w:rPr>
                <w:noProof/>
                <w:webHidden/>
              </w:rPr>
            </w:r>
            <w:r w:rsidR="00934C98">
              <w:rPr>
                <w:noProof/>
                <w:webHidden/>
              </w:rPr>
              <w:fldChar w:fldCharType="separate"/>
            </w:r>
            <w:r w:rsidR="001E784B">
              <w:rPr>
                <w:noProof/>
                <w:webHidden/>
              </w:rPr>
              <w:t>34</w:t>
            </w:r>
            <w:r w:rsidR="00934C98">
              <w:rPr>
                <w:noProof/>
                <w:webHidden/>
              </w:rPr>
              <w:fldChar w:fldCharType="end"/>
            </w:r>
          </w:hyperlink>
        </w:p>
        <w:p w14:paraId="3FC78933" w14:textId="51A53588" w:rsidR="00934C98" w:rsidRDefault="005F0074">
          <w:pPr>
            <w:pStyle w:val="TOC2"/>
            <w:rPr>
              <w:rFonts w:asciiTheme="minorHAnsi" w:eastAsiaTheme="minorEastAsia" w:hAnsiTheme="minorHAnsi"/>
              <w:noProof/>
              <w:sz w:val="22"/>
              <w:szCs w:val="22"/>
              <w:lang w:val="en-US"/>
            </w:rPr>
          </w:pPr>
          <w:hyperlink w:anchor="_Toc64560578" w:history="1">
            <w:r w:rsidR="00934C98" w:rsidRPr="00346782">
              <w:rPr>
                <w:rStyle w:val="Hyperlink"/>
                <w:noProof/>
              </w:rPr>
              <w:t>7.</w:t>
            </w:r>
            <w:r w:rsidR="00934C98">
              <w:rPr>
                <w:rFonts w:asciiTheme="minorHAnsi" w:eastAsiaTheme="minorEastAsia" w:hAnsiTheme="minorHAnsi"/>
                <w:noProof/>
                <w:sz w:val="22"/>
                <w:szCs w:val="22"/>
                <w:lang w:val="en-US"/>
              </w:rPr>
              <w:tab/>
            </w:r>
            <w:r w:rsidR="00934C98" w:rsidRPr="00346782">
              <w:rPr>
                <w:rStyle w:val="Hyperlink"/>
                <w:noProof/>
              </w:rPr>
              <w:t>ՊԵՏԱԿԱՆ ՀԻՄՆԱՐԿՆԵՐԻ ԵՎ ԿԱԶՄԱԿԵՐՊՈՒԹՅՈՒՆՆԵՐԻ ԱՇԽԱՏՈՂՆԵՐԻ ՍՈՑԻԱԼԱԿԱՆ  ՓԱԹԵԹՈՎ ԱՊԱՀՈՎՈՒՄ</w:t>
            </w:r>
            <w:r w:rsidR="00934C98">
              <w:rPr>
                <w:noProof/>
                <w:webHidden/>
              </w:rPr>
              <w:tab/>
            </w:r>
            <w:r w:rsidR="00934C98">
              <w:rPr>
                <w:noProof/>
                <w:webHidden/>
              </w:rPr>
              <w:fldChar w:fldCharType="begin"/>
            </w:r>
            <w:r w:rsidR="00934C98">
              <w:rPr>
                <w:noProof/>
                <w:webHidden/>
              </w:rPr>
              <w:instrText xml:space="preserve"> PAGEREF _Toc64560578 \h </w:instrText>
            </w:r>
            <w:r w:rsidR="00934C98">
              <w:rPr>
                <w:noProof/>
                <w:webHidden/>
              </w:rPr>
            </w:r>
            <w:r w:rsidR="00934C98">
              <w:rPr>
                <w:noProof/>
                <w:webHidden/>
              </w:rPr>
              <w:fldChar w:fldCharType="separate"/>
            </w:r>
            <w:r w:rsidR="001E784B">
              <w:rPr>
                <w:noProof/>
                <w:webHidden/>
              </w:rPr>
              <w:t>34</w:t>
            </w:r>
            <w:r w:rsidR="00934C98">
              <w:rPr>
                <w:noProof/>
                <w:webHidden/>
              </w:rPr>
              <w:fldChar w:fldCharType="end"/>
            </w:r>
          </w:hyperlink>
        </w:p>
        <w:p w14:paraId="64E73B7F" w14:textId="018EBC67" w:rsidR="00934C98" w:rsidRDefault="005F0074">
          <w:pPr>
            <w:pStyle w:val="TOC2"/>
            <w:rPr>
              <w:rFonts w:asciiTheme="minorHAnsi" w:eastAsiaTheme="minorEastAsia" w:hAnsiTheme="minorHAnsi"/>
              <w:noProof/>
              <w:sz w:val="22"/>
              <w:szCs w:val="22"/>
              <w:lang w:val="en-US"/>
            </w:rPr>
          </w:pPr>
          <w:hyperlink w:anchor="_Toc64560579" w:history="1">
            <w:r w:rsidR="00934C98" w:rsidRPr="00346782">
              <w:rPr>
                <w:rStyle w:val="Hyperlink"/>
                <w:noProof/>
              </w:rPr>
              <w:t>8.</w:t>
            </w:r>
            <w:r w:rsidR="00934C98">
              <w:rPr>
                <w:rFonts w:asciiTheme="minorHAnsi" w:eastAsiaTheme="minorEastAsia" w:hAnsiTheme="minorHAnsi"/>
                <w:noProof/>
                <w:sz w:val="22"/>
                <w:szCs w:val="22"/>
                <w:lang w:val="en-US"/>
              </w:rPr>
              <w:tab/>
            </w:r>
            <w:r w:rsidR="00934C98" w:rsidRPr="00346782">
              <w:rPr>
                <w:rStyle w:val="Hyperlink"/>
                <w:noProof/>
              </w:rPr>
              <w:t>ՌՈՒՍԱՍՏԱՆԻ ԴԱՇՆՈՒԹՅԱՆ ԿՈՂՄԻՑ ՀԱՅԱՍՏԱՆԻ ՀԱՆՐԱՊԵՏՈՒԹՅԱՆՆ ԱՆՀԱՏՈՒՅՑ ՖԻՆԱՆՍԱԿԱՆ ՕԳՆՈՒԹՅԱՆ ԴՐԱՄԱՇՆՈՐՀԱՅԻՆ ԾՐԱԳԻՐ</w:t>
            </w:r>
            <w:r w:rsidR="00934C98">
              <w:rPr>
                <w:noProof/>
                <w:webHidden/>
              </w:rPr>
              <w:tab/>
            </w:r>
            <w:r w:rsidR="00934C98">
              <w:rPr>
                <w:noProof/>
                <w:webHidden/>
              </w:rPr>
              <w:fldChar w:fldCharType="begin"/>
            </w:r>
            <w:r w:rsidR="00934C98">
              <w:rPr>
                <w:noProof/>
                <w:webHidden/>
              </w:rPr>
              <w:instrText xml:space="preserve"> PAGEREF _Toc64560579 \h </w:instrText>
            </w:r>
            <w:r w:rsidR="00934C98">
              <w:rPr>
                <w:noProof/>
                <w:webHidden/>
              </w:rPr>
            </w:r>
            <w:r w:rsidR="00934C98">
              <w:rPr>
                <w:noProof/>
                <w:webHidden/>
              </w:rPr>
              <w:fldChar w:fldCharType="separate"/>
            </w:r>
            <w:r w:rsidR="001E784B">
              <w:rPr>
                <w:noProof/>
                <w:webHidden/>
              </w:rPr>
              <w:t>34</w:t>
            </w:r>
            <w:r w:rsidR="00934C98">
              <w:rPr>
                <w:noProof/>
                <w:webHidden/>
              </w:rPr>
              <w:fldChar w:fldCharType="end"/>
            </w:r>
          </w:hyperlink>
        </w:p>
        <w:p w14:paraId="15E26C67" w14:textId="7C575B22" w:rsidR="00934C98" w:rsidRDefault="005F0074">
          <w:pPr>
            <w:pStyle w:val="TOC2"/>
            <w:rPr>
              <w:rFonts w:asciiTheme="minorHAnsi" w:eastAsiaTheme="minorEastAsia" w:hAnsiTheme="minorHAnsi"/>
              <w:noProof/>
              <w:sz w:val="22"/>
              <w:szCs w:val="22"/>
              <w:lang w:val="en-US"/>
            </w:rPr>
          </w:pPr>
          <w:hyperlink w:anchor="_Toc64560580" w:history="1">
            <w:r w:rsidR="00934C98" w:rsidRPr="00346782">
              <w:rPr>
                <w:rStyle w:val="Hyperlink"/>
                <w:noProof/>
              </w:rPr>
              <w:t>9.</w:t>
            </w:r>
            <w:r w:rsidR="00934C98">
              <w:rPr>
                <w:rFonts w:asciiTheme="minorHAnsi" w:eastAsiaTheme="minorEastAsia" w:hAnsiTheme="minorHAnsi"/>
                <w:noProof/>
                <w:sz w:val="22"/>
                <w:szCs w:val="22"/>
                <w:lang w:val="en-US"/>
              </w:rPr>
              <w:tab/>
            </w:r>
            <w:r w:rsidR="00934C98" w:rsidRPr="00346782">
              <w:rPr>
                <w:rStyle w:val="Hyperlink"/>
                <w:noProof/>
              </w:rPr>
              <w:t>ՀԱՆՐԱՅԻՆ ՀԱՏՎԱԾԻ ՖԻՆԱՆՍԱԿԱՆ ՈԼՈՐՏԻ ՄԱՍՆԱԳԵՏՆԵՐԻ ՎԵՐԱՊԱՏՐԱՍՏՄԱՆ ԾԱՌԱՅՈՒԹՅՈՒՆՆԵՐ</w:t>
            </w:r>
            <w:r w:rsidR="00934C98">
              <w:rPr>
                <w:noProof/>
                <w:webHidden/>
              </w:rPr>
              <w:tab/>
            </w:r>
            <w:r w:rsidR="00934C98">
              <w:rPr>
                <w:noProof/>
                <w:webHidden/>
              </w:rPr>
              <w:fldChar w:fldCharType="begin"/>
            </w:r>
            <w:r w:rsidR="00934C98">
              <w:rPr>
                <w:noProof/>
                <w:webHidden/>
              </w:rPr>
              <w:instrText xml:space="preserve"> PAGEREF _Toc64560580 \h </w:instrText>
            </w:r>
            <w:r w:rsidR="00934C98">
              <w:rPr>
                <w:noProof/>
                <w:webHidden/>
              </w:rPr>
            </w:r>
            <w:r w:rsidR="00934C98">
              <w:rPr>
                <w:noProof/>
                <w:webHidden/>
              </w:rPr>
              <w:fldChar w:fldCharType="separate"/>
            </w:r>
            <w:r w:rsidR="001E784B">
              <w:rPr>
                <w:noProof/>
                <w:webHidden/>
              </w:rPr>
              <w:t>35</w:t>
            </w:r>
            <w:r w:rsidR="00934C98">
              <w:rPr>
                <w:noProof/>
                <w:webHidden/>
              </w:rPr>
              <w:fldChar w:fldCharType="end"/>
            </w:r>
          </w:hyperlink>
        </w:p>
        <w:p w14:paraId="2A656929" w14:textId="22A014A1" w:rsidR="00934C98" w:rsidRDefault="005F0074">
          <w:pPr>
            <w:pStyle w:val="TOC2"/>
            <w:rPr>
              <w:rFonts w:asciiTheme="minorHAnsi" w:eastAsiaTheme="minorEastAsia" w:hAnsiTheme="minorHAnsi"/>
              <w:noProof/>
              <w:sz w:val="22"/>
              <w:szCs w:val="22"/>
              <w:lang w:val="en-US"/>
            </w:rPr>
          </w:pPr>
          <w:hyperlink w:anchor="_Toc64560581" w:history="1">
            <w:r w:rsidR="00934C98" w:rsidRPr="00346782">
              <w:rPr>
                <w:rStyle w:val="Hyperlink"/>
                <w:noProof/>
              </w:rPr>
              <w:t>10.</w:t>
            </w:r>
            <w:r w:rsidR="00934C98">
              <w:rPr>
                <w:rFonts w:asciiTheme="minorHAnsi" w:eastAsiaTheme="minorEastAsia" w:hAnsiTheme="minorHAnsi"/>
                <w:noProof/>
                <w:sz w:val="22"/>
                <w:szCs w:val="22"/>
                <w:lang w:val="en-US"/>
              </w:rPr>
              <w:tab/>
            </w:r>
            <w:r w:rsidR="00934C98" w:rsidRPr="00346782">
              <w:rPr>
                <w:rStyle w:val="Hyperlink"/>
                <w:noProof/>
              </w:rPr>
              <w:t>ՖԻՆԱՆՍԱԿԱՆ ԿԱՌԱՎԱՐՄԱՆ ՀԱՄԱԿԱՐԳԻ ՎՃԱՐԱՀԱՇՎԱՐԿԱՅԻՆ ԾԱՌԱՅՈՒԹՅՈՒՆՆԵՐ</w:t>
            </w:r>
            <w:r w:rsidR="00934C98">
              <w:rPr>
                <w:noProof/>
                <w:webHidden/>
              </w:rPr>
              <w:tab/>
            </w:r>
            <w:r w:rsidR="00934C98">
              <w:rPr>
                <w:noProof/>
                <w:webHidden/>
              </w:rPr>
              <w:fldChar w:fldCharType="begin"/>
            </w:r>
            <w:r w:rsidR="00934C98">
              <w:rPr>
                <w:noProof/>
                <w:webHidden/>
              </w:rPr>
              <w:instrText xml:space="preserve"> PAGEREF _Toc64560581 \h </w:instrText>
            </w:r>
            <w:r w:rsidR="00934C98">
              <w:rPr>
                <w:noProof/>
                <w:webHidden/>
              </w:rPr>
            </w:r>
            <w:r w:rsidR="00934C98">
              <w:rPr>
                <w:noProof/>
                <w:webHidden/>
              </w:rPr>
              <w:fldChar w:fldCharType="separate"/>
            </w:r>
            <w:r w:rsidR="001E784B">
              <w:rPr>
                <w:noProof/>
                <w:webHidden/>
              </w:rPr>
              <w:t>35</w:t>
            </w:r>
            <w:r w:rsidR="00934C98">
              <w:rPr>
                <w:noProof/>
                <w:webHidden/>
              </w:rPr>
              <w:fldChar w:fldCharType="end"/>
            </w:r>
          </w:hyperlink>
        </w:p>
        <w:p w14:paraId="0F801726" w14:textId="3D65E1B7" w:rsidR="00934C98" w:rsidRDefault="005F0074">
          <w:pPr>
            <w:pStyle w:val="TOC2"/>
            <w:rPr>
              <w:rFonts w:asciiTheme="minorHAnsi" w:eastAsiaTheme="minorEastAsia" w:hAnsiTheme="minorHAnsi"/>
              <w:noProof/>
              <w:sz w:val="22"/>
              <w:szCs w:val="22"/>
              <w:lang w:val="en-US"/>
            </w:rPr>
          </w:pPr>
          <w:hyperlink w:anchor="_Toc64560582" w:history="1">
            <w:r w:rsidR="00934C98" w:rsidRPr="00346782">
              <w:rPr>
                <w:rStyle w:val="Hyperlink"/>
                <w:noProof/>
              </w:rPr>
              <w:t>11.</w:t>
            </w:r>
            <w:r w:rsidR="00934C98">
              <w:rPr>
                <w:rFonts w:asciiTheme="minorHAnsi" w:eastAsiaTheme="minorEastAsia" w:hAnsiTheme="minorHAnsi"/>
                <w:noProof/>
                <w:sz w:val="22"/>
                <w:szCs w:val="22"/>
                <w:lang w:val="en-US"/>
              </w:rPr>
              <w:tab/>
            </w:r>
            <w:r w:rsidR="00934C98" w:rsidRPr="00346782">
              <w:rPr>
                <w:rStyle w:val="Hyperlink"/>
                <w:noProof/>
              </w:rPr>
              <w:t>ՀՀ ՄԻՋԱԶԳԱՅԻՆ ՎԱՐԿԱՆԻՇԻ ՏՐԱՄԱԴՐՈՒՄ</w:t>
            </w:r>
            <w:r w:rsidR="00934C98">
              <w:rPr>
                <w:noProof/>
                <w:webHidden/>
              </w:rPr>
              <w:tab/>
            </w:r>
            <w:r w:rsidR="00934C98">
              <w:rPr>
                <w:noProof/>
                <w:webHidden/>
              </w:rPr>
              <w:fldChar w:fldCharType="begin"/>
            </w:r>
            <w:r w:rsidR="00934C98">
              <w:rPr>
                <w:noProof/>
                <w:webHidden/>
              </w:rPr>
              <w:instrText xml:space="preserve"> PAGEREF _Toc64560582 \h </w:instrText>
            </w:r>
            <w:r w:rsidR="00934C98">
              <w:rPr>
                <w:noProof/>
                <w:webHidden/>
              </w:rPr>
            </w:r>
            <w:r w:rsidR="00934C98">
              <w:rPr>
                <w:noProof/>
                <w:webHidden/>
              </w:rPr>
              <w:fldChar w:fldCharType="separate"/>
            </w:r>
            <w:r w:rsidR="001E784B">
              <w:rPr>
                <w:noProof/>
                <w:webHidden/>
              </w:rPr>
              <w:t>36</w:t>
            </w:r>
            <w:r w:rsidR="00934C98">
              <w:rPr>
                <w:noProof/>
                <w:webHidden/>
              </w:rPr>
              <w:fldChar w:fldCharType="end"/>
            </w:r>
          </w:hyperlink>
        </w:p>
        <w:p w14:paraId="4004CAB2" w14:textId="3F6FA47E" w:rsidR="00934C98" w:rsidRDefault="005F0074">
          <w:pPr>
            <w:pStyle w:val="TOC2"/>
            <w:rPr>
              <w:rFonts w:asciiTheme="minorHAnsi" w:eastAsiaTheme="minorEastAsia" w:hAnsiTheme="minorHAnsi"/>
              <w:noProof/>
              <w:sz w:val="22"/>
              <w:szCs w:val="22"/>
              <w:lang w:val="en-US"/>
            </w:rPr>
          </w:pPr>
          <w:hyperlink w:anchor="_Toc64560583" w:history="1">
            <w:r w:rsidR="00934C98" w:rsidRPr="00346782">
              <w:rPr>
                <w:rStyle w:val="Hyperlink"/>
                <w:noProof/>
              </w:rPr>
              <w:t>12.</w:t>
            </w:r>
            <w:r w:rsidR="00934C98">
              <w:rPr>
                <w:rFonts w:asciiTheme="minorHAnsi" w:eastAsiaTheme="minorEastAsia" w:hAnsiTheme="minorHAnsi"/>
                <w:noProof/>
                <w:sz w:val="22"/>
                <w:szCs w:val="22"/>
                <w:lang w:val="en-US"/>
              </w:rPr>
              <w:tab/>
            </w:r>
            <w:r w:rsidR="00934C98" w:rsidRPr="00346782">
              <w:rPr>
                <w:rStyle w:val="Hyperlink"/>
                <w:noProof/>
              </w:rPr>
              <w:t>ԳՆՈՒՄՆԵՐԻ ՊԼԱՆՆԵՐԻ ԿԱԶՄՄԱՆ, ԷԼԵԿՏՐՈՆԱՅԻՆ ՄՐՑՈՒՅԹՆԵՐԻ ԱՆՑԿԱՑՄԱՆ, ՊԱՅՄԱՆԱԳՐԵՐԻ ԿԱՏԱՐՄԱՆ ԵՎ ԳՆՈՒՄՆԵՐԻ ՀԱՇՎԵՏՎՈՂԱԿԱՆՈՒԹՅԱՆ՝ ՄԻՄՅԱՆՑ ԻՆՏԵԳՐՎԱԾ ՄՈԴՈՒԼՆԵՐԻ ՏԵԽՆԻԿԱԿԱՆ ՍՊԱՍԱՐԿՈՒՄ</w:t>
            </w:r>
            <w:r w:rsidR="00934C98">
              <w:rPr>
                <w:noProof/>
                <w:webHidden/>
              </w:rPr>
              <w:tab/>
            </w:r>
            <w:r w:rsidR="00934C98">
              <w:rPr>
                <w:noProof/>
                <w:webHidden/>
              </w:rPr>
              <w:fldChar w:fldCharType="begin"/>
            </w:r>
            <w:r w:rsidR="00934C98">
              <w:rPr>
                <w:noProof/>
                <w:webHidden/>
              </w:rPr>
              <w:instrText xml:space="preserve"> PAGEREF _Toc64560583 \h </w:instrText>
            </w:r>
            <w:r w:rsidR="00934C98">
              <w:rPr>
                <w:noProof/>
                <w:webHidden/>
              </w:rPr>
            </w:r>
            <w:r w:rsidR="00934C98">
              <w:rPr>
                <w:noProof/>
                <w:webHidden/>
              </w:rPr>
              <w:fldChar w:fldCharType="separate"/>
            </w:r>
            <w:r w:rsidR="001E784B">
              <w:rPr>
                <w:noProof/>
                <w:webHidden/>
              </w:rPr>
              <w:t>36</w:t>
            </w:r>
            <w:r w:rsidR="00934C98">
              <w:rPr>
                <w:noProof/>
                <w:webHidden/>
              </w:rPr>
              <w:fldChar w:fldCharType="end"/>
            </w:r>
          </w:hyperlink>
        </w:p>
        <w:p w14:paraId="12E0E9DB" w14:textId="4462321A" w:rsidR="00934C98" w:rsidRDefault="005F0074">
          <w:pPr>
            <w:pStyle w:val="TOC2"/>
            <w:rPr>
              <w:rFonts w:asciiTheme="minorHAnsi" w:eastAsiaTheme="minorEastAsia" w:hAnsiTheme="minorHAnsi"/>
              <w:noProof/>
              <w:sz w:val="22"/>
              <w:szCs w:val="22"/>
              <w:lang w:val="en-US"/>
            </w:rPr>
          </w:pPr>
          <w:hyperlink w:anchor="_Toc64560584" w:history="1">
            <w:r w:rsidR="00934C98" w:rsidRPr="00346782">
              <w:rPr>
                <w:rStyle w:val="Hyperlink"/>
                <w:noProof/>
              </w:rPr>
              <w:t>13.</w:t>
            </w:r>
            <w:r w:rsidR="00934C98">
              <w:rPr>
                <w:rFonts w:asciiTheme="minorHAnsi" w:eastAsiaTheme="minorEastAsia" w:hAnsiTheme="minorHAnsi"/>
                <w:noProof/>
                <w:sz w:val="22"/>
                <w:szCs w:val="22"/>
                <w:lang w:val="en-US"/>
              </w:rPr>
              <w:tab/>
            </w:r>
            <w:r w:rsidR="00934C98" w:rsidRPr="00346782">
              <w:rPr>
                <w:rStyle w:val="Hyperlink"/>
                <w:noProof/>
              </w:rPr>
              <w:t>ԴՈՏԱՑԻԱՆԵՐԻ ՏՐԱՄԱԴՐՈՒՄ ԵՎ ՀԱՄԱՅՆՔՆԵՐԻ ԲՅՈՒՋԵՆԵՐԻ ԵԿԱՄՈՒՏՆԵՐԻ ԿՈՐՈՒՍՏՆԵՐԻ ՓՈԽՀԱՏՈՒՑՈՒՄ</w:t>
            </w:r>
            <w:r w:rsidR="00934C98">
              <w:rPr>
                <w:noProof/>
                <w:webHidden/>
              </w:rPr>
              <w:tab/>
            </w:r>
            <w:r w:rsidR="00934C98">
              <w:rPr>
                <w:noProof/>
                <w:webHidden/>
              </w:rPr>
              <w:fldChar w:fldCharType="begin"/>
            </w:r>
            <w:r w:rsidR="00934C98">
              <w:rPr>
                <w:noProof/>
                <w:webHidden/>
              </w:rPr>
              <w:instrText xml:space="preserve"> PAGEREF _Toc64560584 \h </w:instrText>
            </w:r>
            <w:r w:rsidR="00934C98">
              <w:rPr>
                <w:noProof/>
                <w:webHidden/>
              </w:rPr>
            </w:r>
            <w:r w:rsidR="00934C98">
              <w:rPr>
                <w:noProof/>
                <w:webHidden/>
              </w:rPr>
              <w:fldChar w:fldCharType="separate"/>
            </w:r>
            <w:r w:rsidR="001E784B">
              <w:rPr>
                <w:noProof/>
                <w:webHidden/>
              </w:rPr>
              <w:t>37</w:t>
            </w:r>
            <w:r w:rsidR="00934C98">
              <w:rPr>
                <w:noProof/>
                <w:webHidden/>
              </w:rPr>
              <w:fldChar w:fldCharType="end"/>
            </w:r>
          </w:hyperlink>
        </w:p>
        <w:p w14:paraId="59782C35" w14:textId="68EC79D0" w:rsidR="00934C98" w:rsidRDefault="005F0074">
          <w:pPr>
            <w:pStyle w:val="TOC1"/>
            <w:tabs>
              <w:tab w:val="left" w:pos="480"/>
              <w:tab w:val="right" w:leader="dot" w:pos="10034"/>
            </w:tabs>
            <w:rPr>
              <w:rFonts w:asciiTheme="minorHAnsi" w:eastAsiaTheme="minorEastAsia" w:hAnsiTheme="minorHAnsi"/>
              <w:noProof/>
              <w:sz w:val="22"/>
              <w:szCs w:val="22"/>
              <w:lang w:val="en-US"/>
            </w:rPr>
          </w:pPr>
          <w:hyperlink w:anchor="_Toc64560585" w:history="1">
            <w:r w:rsidR="00934C98" w:rsidRPr="00346782">
              <w:rPr>
                <w:rStyle w:val="Hyperlink"/>
                <w:noProof/>
              </w:rPr>
              <w:t>V.</w:t>
            </w:r>
            <w:r w:rsidR="00934C98">
              <w:rPr>
                <w:rFonts w:asciiTheme="minorHAnsi" w:eastAsiaTheme="minorEastAsia" w:hAnsiTheme="minorHAnsi"/>
                <w:noProof/>
                <w:sz w:val="22"/>
                <w:szCs w:val="22"/>
                <w:lang w:val="en-US"/>
              </w:rPr>
              <w:tab/>
            </w:r>
            <w:r w:rsidR="00934C98" w:rsidRPr="00346782">
              <w:rPr>
                <w:rStyle w:val="Hyperlink"/>
                <w:noProof/>
              </w:rPr>
              <w:t>ԱՆՀԱՄԱՊԱՏԱՍԽԱՆՈՒԹՅՈՒՆՆԵՐԻ ՎԵՐԱԲԵՐՅԱԼ ԳՐԱՌՈՒՄՆԵՐ</w:t>
            </w:r>
            <w:r w:rsidR="00934C98">
              <w:rPr>
                <w:noProof/>
                <w:webHidden/>
              </w:rPr>
              <w:tab/>
            </w:r>
            <w:r w:rsidR="00934C98">
              <w:rPr>
                <w:noProof/>
                <w:webHidden/>
              </w:rPr>
              <w:fldChar w:fldCharType="begin"/>
            </w:r>
            <w:r w:rsidR="00934C98">
              <w:rPr>
                <w:noProof/>
                <w:webHidden/>
              </w:rPr>
              <w:instrText xml:space="preserve"> PAGEREF _Toc64560585 \h </w:instrText>
            </w:r>
            <w:r w:rsidR="00934C98">
              <w:rPr>
                <w:noProof/>
                <w:webHidden/>
              </w:rPr>
            </w:r>
            <w:r w:rsidR="00934C98">
              <w:rPr>
                <w:noProof/>
                <w:webHidden/>
              </w:rPr>
              <w:fldChar w:fldCharType="separate"/>
            </w:r>
            <w:r w:rsidR="001E784B">
              <w:rPr>
                <w:noProof/>
                <w:webHidden/>
              </w:rPr>
              <w:t>38</w:t>
            </w:r>
            <w:r w:rsidR="00934C98">
              <w:rPr>
                <w:noProof/>
                <w:webHidden/>
              </w:rPr>
              <w:fldChar w:fldCharType="end"/>
            </w:r>
          </w:hyperlink>
        </w:p>
        <w:p w14:paraId="7244C930" w14:textId="4378B4D4" w:rsidR="00934C98" w:rsidRDefault="005F0074">
          <w:pPr>
            <w:pStyle w:val="TOC1"/>
            <w:tabs>
              <w:tab w:val="left" w:pos="660"/>
              <w:tab w:val="right" w:leader="dot" w:pos="10034"/>
            </w:tabs>
            <w:rPr>
              <w:rFonts w:asciiTheme="minorHAnsi" w:eastAsiaTheme="minorEastAsia" w:hAnsiTheme="minorHAnsi"/>
              <w:noProof/>
              <w:sz w:val="22"/>
              <w:szCs w:val="22"/>
              <w:lang w:val="en-US"/>
            </w:rPr>
          </w:pPr>
          <w:hyperlink w:anchor="_Toc64560586" w:history="1">
            <w:r w:rsidR="00934C98" w:rsidRPr="00346782">
              <w:rPr>
                <w:rStyle w:val="Hyperlink"/>
                <w:noProof/>
              </w:rPr>
              <w:t>VI.</w:t>
            </w:r>
            <w:r w:rsidR="00934C98">
              <w:rPr>
                <w:rFonts w:asciiTheme="minorHAnsi" w:eastAsiaTheme="minorEastAsia" w:hAnsiTheme="minorHAnsi"/>
                <w:noProof/>
                <w:sz w:val="22"/>
                <w:szCs w:val="22"/>
                <w:lang w:val="en-US"/>
              </w:rPr>
              <w:tab/>
            </w:r>
            <w:r w:rsidR="00934C98" w:rsidRPr="00346782">
              <w:rPr>
                <w:rStyle w:val="Hyperlink"/>
                <w:noProof/>
              </w:rPr>
              <w:t>ԽԵՂԱԹՅՈՒՐՈՒՄՆԵՐԻ ՎԵՐԱԲԵՐՅԱԼ ԳՐԱՌՈՒՄՆԵՐ</w:t>
            </w:r>
            <w:r w:rsidR="00934C98">
              <w:rPr>
                <w:noProof/>
                <w:webHidden/>
              </w:rPr>
              <w:tab/>
            </w:r>
            <w:r w:rsidR="00934C98">
              <w:rPr>
                <w:noProof/>
                <w:webHidden/>
              </w:rPr>
              <w:fldChar w:fldCharType="begin"/>
            </w:r>
            <w:r w:rsidR="00934C98">
              <w:rPr>
                <w:noProof/>
                <w:webHidden/>
              </w:rPr>
              <w:instrText xml:space="preserve"> PAGEREF _Toc64560586 \h </w:instrText>
            </w:r>
            <w:r w:rsidR="00934C98">
              <w:rPr>
                <w:noProof/>
                <w:webHidden/>
              </w:rPr>
            </w:r>
            <w:r w:rsidR="00934C98">
              <w:rPr>
                <w:noProof/>
                <w:webHidden/>
              </w:rPr>
              <w:fldChar w:fldCharType="separate"/>
            </w:r>
            <w:r w:rsidR="001E784B">
              <w:rPr>
                <w:noProof/>
                <w:webHidden/>
              </w:rPr>
              <w:t>38</w:t>
            </w:r>
            <w:r w:rsidR="00934C98">
              <w:rPr>
                <w:noProof/>
                <w:webHidden/>
              </w:rPr>
              <w:fldChar w:fldCharType="end"/>
            </w:r>
          </w:hyperlink>
        </w:p>
        <w:p w14:paraId="53E731C5" w14:textId="7BA5E70E" w:rsidR="00934C98" w:rsidRDefault="005F0074">
          <w:pPr>
            <w:pStyle w:val="TOC1"/>
            <w:tabs>
              <w:tab w:val="left" w:pos="660"/>
              <w:tab w:val="right" w:leader="dot" w:pos="10034"/>
            </w:tabs>
            <w:rPr>
              <w:rFonts w:asciiTheme="minorHAnsi" w:eastAsiaTheme="minorEastAsia" w:hAnsiTheme="minorHAnsi"/>
              <w:noProof/>
              <w:sz w:val="22"/>
              <w:szCs w:val="22"/>
              <w:lang w:val="en-US"/>
            </w:rPr>
          </w:pPr>
          <w:hyperlink w:anchor="_Toc64560587" w:history="1">
            <w:r w:rsidR="00934C98" w:rsidRPr="00346782">
              <w:rPr>
                <w:rStyle w:val="Hyperlink"/>
                <w:noProof/>
              </w:rPr>
              <w:t>VII.</w:t>
            </w:r>
            <w:r w:rsidR="00934C98">
              <w:rPr>
                <w:rFonts w:asciiTheme="minorHAnsi" w:eastAsiaTheme="minorEastAsia" w:hAnsiTheme="minorHAnsi"/>
                <w:noProof/>
                <w:sz w:val="22"/>
                <w:szCs w:val="22"/>
                <w:lang w:val="en-US"/>
              </w:rPr>
              <w:tab/>
            </w:r>
            <w:r w:rsidR="00934C98" w:rsidRPr="00346782">
              <w:rPr>
                <w:rStyle w:val="Hyperlink"/>
                <w:noProof/>
              </w:rPr>
              <w:t>ՀԵՏՀՍԿՈՂԱԿԱՆ ԳՈՐԾԸՆԹԱՑ</w:t>
            </w:r>
            <w:r w:rsidR="00934C98">
              <w:rPr>
                <w:noProof/>
                <w:webHidden/>
              </w:rPr>
              <w:tab/>
            </w:r>
            <w:r w:rsidR="00934C98">
              <w:rPr>
                <w:noProof/>
                <w:webHidden/>
              </w:rPr>
              <w:fldChar w:fldCharType="begin"/>
            </w:r>
            <w:r w:rsidR="00934C98">
              <w:rPr>
                <w:noProof/>
                <w:webHidden/>
              </w:rPr>
              <w:instrText xml:space="preserve"> PAGEREF _Toc64560587 \h </w:instrText>
            </w:r>
            <w:r w:rsidR="00934C98">
              <w:rPr>
                <w:noProof/>
                <w:webHidden/>
              </w:rPr>
            </w:r>
            <w:r w:rsidR="00934C98">
              <w:rPr>
                <w:noProof/>
                <w:webHidden/>
              </w:rPr>
              <w:fldChar w:fldCharType="separate"/>
            </w:r>
            <w:r w:rsidR="001E784B">
              <w:rPr>
                <w:noProof/>
                <w:webHidden/>
              </w:rPr>
              <w:t>38</w:t>
            </w:r>
            <w:r w:rsidR="00934C98">
              <w:rPr>
                <w:noProof/>
                <w:webHidden/>
              </w:rPr>
              <w:fldChar w:fldCharType="end"/>
            </w:r>
          </w:hyperlink>
        </w:p>
        <w:p w14:paraId="1AEA5690" w14:textId="676D2BCE" w:rsidR="008F5570" w:rsidRPr="000D57D8" w:rsidRDefault="008F5570" w:rsidP="00C60AA9">
          <w:r w:rsidRPr="00DF1D03">
            <w:rPr>
              <w:noProof/>
            </w:rPr>
            <w:fldChar w:fldCharType="end"/>
          </w:r>
        </w:p>
      </w:sdtContent>
    </w:sdt>
    <w:p w14:paraId="477EFAF9" w14:textId="6CFBC4C3" w:rsidR="00C96B6D" w:rsidRPr="000D57D8" w:rsidRDefault="00C96B6D" w:rsidP="00C60AA9"/>
    <w:p w14:paraId="277E92C4" w14:textId="226AC8A0" w:rsidR="000069C5" w:rsidRPr="000D57D8" w:rsidRDefault="00A81E01" w:rsidP="00C60AA9">
      <w:r>
        <w:br w:type="page"/>
      </w:r>
    </w:p>
    <w:tbl>
      <w:tblPr>
        <w:tblpPr w:leftFromText="180" w:rightFromText="180" w:vertAnchor="text" w:horzAnchor="margin" w:tblpXSpec="center" w:tblpY="76"/>
        <w:tblW w:w="9432" w:type="dxa"/>
        <w:tblLook w:val="04A0" w:firstRow="1" w:lastRow="0" w:firstColumn="1" w:lastColumn="0" w:noHBand="0" w:noVBand="1"/>
      </w:tblPr>
      <w:tblGrid>
        <w:gridCol w:w="2718"/>
        <w:gridCol w:w="6714"/>
      </w:tblGrid>
      <w:tr w:rsidR="00B03737" w:rsidRPr="00B03737" w14:paraId="29479BAA" w14:textId="77777777" w:rsidTr="003E43D7">
        <w:tc>
          <w:tcPr>
            <w:tcW w:w="2718" w:type="dxa"/>
          </w:tcPr>
          <w:p w14:paraId="09DB0374" w14:textId="77777777" w:rsidR="00B03737" w:rsidRPr="008F7246" w:rsidRDefault="00B03737" w:rsidP="00C60AA9">
            <w:pPr>
              <w:rPr>
                <w:b/>
                <w:bCs/>
                <w:color w:val="002060"/>
                <w:sz w:val="22"/>
                <w:szCs w:val="22"/>
                <w:lang w:val="en-US"/>
              </w:rPr>
            </w:pPr>
            <w:r w:rsidRPr="008F7246">
              <w:rPr>
                <w:b/>
                <w:bCs/>
                <w:color w:val="002060"/>
                <w:sz w:val="22"/>
                <w:szCs w:val="22"/>
                <w:lang w:val="en-US"/>
              </w:rPr>
              <w:lastRenderedPageBreak/>
              <w:t>Հաշվեքննության հիմքը</w:t>
            </w:r>
          </w:p>
          <w:p w14:paraId="32202127" w14:textId="77777777" w:rsidR="00B03737" w:rsidRPr="008F7246" w:rsidRDefault="00B03737" w:rsidP="00C60AA9">
            <w:pPr>
              <w:rPr>
                <w:b/>
                <w:bCs/>
                <w:color w:val="002060"/>
                <w:sz w:val="22"/>
                <w:szCs w:val="22"/>
                <w:lang w:val="en-US"/>
              </w:rPr>
            </w:pPr>
          </w:p>
        </w:tc>
        <w:tc>
          <w:tcPr>
            <w:tcW w:w="6714" w:type="dxa"/>
          </w:tcPr>
          <w:p w14:paraId="15A4AEDC" w14:textId="5C50B74F" w:rsidR="00B03737" w:rsidRPr="00B03737" w:rsidRDefault="00B03737" w:rsidP="00C60AA9">
            <w:r w:rsidRPr="00B03737">
              <w:t>ՀՀ հաշվեքննիչ պալատի 202</w:t>
            </w:r>
            <w:r w:rsidR="00BC0F95">
              <w:t>0</w:t>
            </w:r>
            <w:r w:rsidRPr="00B03737">
              <w:t xml:space="preserve"> թվականի </w:t>
            </w:r>
            <w:r w:rsidR="00B95CD1">
              <w:t xml:space="preserve"> </w:t>
            </w:r>
            <w:r w:rsidR="00B95CD1" w:rsidRPr="00B95CD1">
              <w:t xml:space="preserve">նոյեմբերի 20-ի թիվ 179/Ա </w:t>
            </w:r>
            <w:r w:rsidRPr="00B03737">
              <w:t>որոշում։</w:t>
            </w:r>
          </w:p>
          <w:p w14:paraId="69D4F1A8" w14:textId="77777777" w:rsidR="00B03737" w:rsidRPr="00B03737" w:rsidRDefault="00B03737" w:rsidP="00C60AA9"/>
        </w:tc>
      </w:tr>
      <w:tr w:rsidR="00B03737" w:rsidRPr="00B03737" w14:paraId="2F54CCBA" w14:textId="77777777" w:rsidTr="003E43D7">
        <w:tc>
          <w:tcPr>
            <w:tcW w:w="2718" w:type="dxa"/>
          </w:tcPr>
          <w:p w14:paraId="3B2B963C"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օբյեկտը</w:t>
            </w:r>
          </w:p>
          <w:p w14:paraId="122F4E99" w14:textId="77777777" w:rsidR="00B03737" w:rsidRPr="008F7246" w:rsidRDefault="00B03737" w:rsidP="00C60AA9">
            <w:pPr>
              <w:rPr>
                <w:b/>
                <w:bCs/>
                <w:color w:val="002060"/>
                <w:sz w:val="22"/>
                <w:szCs w:val="22"/>
                <w:lang w:val="en-US"/>
              </w:rPr>
            </w:pPr>
          </w:p>
        </w:tc>
        <w:tc>
          <w:tcPr>
            <w:tcW w:w="6714" w:type="dxa"/>
          </w:tcPr>
          <w:p w14:paraId="3BE6EC0B" w14:textId="09AE5357" w:rsidR="00B03737" w:rsidRPr="00B03737" w:rsidRDefault="00B03737" w:rsidP="00C60AA9">
            <w:r w:rsidRPr="00B03737">
              <w:t xml:space="preserve">ՀՀ </w:t>
            </w:r>
            <w:r w:rsidR="00FB42C5">
              <w:t>ֆինանսների նախարարություն</w:t>
            </w:r>
            <w:r w:rsidRPr="00B03737">
              <w:t>։</w:t>
            </w:r>
          </w:p>
          <w:p w14:paraId="24FA3F22" w14:textId="77777777" w:rsidR="00B03737" w:rsidRPr="00B03737" w:rsidRDefault="00B03737" w:rsidP="00C60AA9"/>
        </w:tc>
      </w:tr>
      <w:tr w:rsidR="00B03737" w:rsidRPr="00B03737" w14:paraId="5EA2A6CF" w14:textId="77777777" w:rsidTr="003E43D7">
        <w:tc>
          <w:tcPr>
            <w:tcW w:w="2718" w:type="dxa"/>
          </w:tcPr>
          <w:p w14:paraId="633EB916"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առարկան</w:t>
            </w:r>
          </w:p>
          <w:p w14:paraId="784F5FB3" w14:textId="77777777" w:rsidR="00B03737" w:rsidRPr="008F7246" w:rsidRDefault="00B03737" w:rsidP="00C60AA9">
            <w:pPr>
              <w:rPr>
                <w:b/>
                <w:bCs/>
                <w:color w:val="002060"/>
                <w:sz w:val="22"/>
                <w:szCs w:val="22"/>
                <w:lang w:val="en-US"/>
              </w:rPr>
            </w:pPr>
          </w:p>
        </w:tc>
        <w:tc>
          <w:tcPr>
            <w:tcW w:w="6714" w:type="dxa"/>
          </w:tcPr>
          <w:p w14:paraId="181746A6" w14:textId="1FA5F09D" w:rsidR="00B03737" w:rsidRPr="00B03737" w:rsidRDefault="0065523F" w:rsidP="00C60AA9">
            <w:r>
              <w:t>ՀՀ ֆինանսների նախարարությունում</w:t>
            </w:r>
            <w:r w:rsidR="008A716A" w:rsidRPr="008A716A">
              <w:t xml:space="preserve"> 2020 թվականի պետական բյուջեի </w:t>
            </w:r>
            <w:r w:rsidR="00A05BD9">
              <w:t>ինն</w:t>
            </w:r>
            <w:r w:rsidR="008A716A" w:rsidRPr="008A716A">
              <w:t xml:space="preserve"> ամիսների մուտքերի ձ</w:t>
            </w:r>
            <w:r w:rsidR="00927387">
              <w:t>և</w:t>
            </w:r>
            <w:r w:rsidR="008A716A" w:rsidRPr="008A716A">
              <w:t xml:space="preserve">ավորման </w:t>
            </w:r>
            <w:r w:rsidR="00927387">
              <w:t>և</w:t>
            </w:r>
            <w:r w:rsidR="008A716A" w:rsidRPr="008A716A">
              <w:t xml:space="preserve"> ելքերի իրականացման կանոնակարգված</w:t>
            </w:r>
            <w:r w:rsidR="00927387">
              <w:t xml:space="preserve"> </w:t>
            </w:r>
            <w:r w:rsidR="008A716A" w:rsidRPr="00B03737">
              <w:t>գործունեություն։</w:t>
            </w:r>
          </w:p>
          <w:p w14:paraId="4FFE0214" w14:textId="77777777" w:rsidR="00B03737" w:rsidRPr="00B03737" w:rsidRDefault="00B03737" w:rsidP="00C60AA9"/>
        </w:tc>
      </w:tr>
      <w:tr w:rsidR="00B03737" w:rsidRPr="00AF0811" w14:paraId="164EB566" w14:textId="77777777" w:rsidTr="003E43D7">
        <w:tc>
          <w:tcPr>
            <w:tcW w:w="2718" w:type="dxa"/>
          </w:tcPr>
          <w:p w14:paraId="20E64278" w14:textId="77777777" w:rsidR="00B03737" w:rsidRPr="008F7246" w:rsidRDefault="00B03737" w:rsidP="00C60AA9">
            <w:pPr>
              <w:rPr>
                <w:b/>
                <w:bCs/>
                <w:color w:val="002060"/>
                <w:sz w:val="22"/>
                <w:szCs w:val="22"/>
                <w:lang w:val="en-US"/>
              </w:rPr>
            </w:pPr>
            <w:r w:rsidRPr="008F7246">
              <w:rPr>
                <w:b/>
                <w:bCs/>
                <w:color w:val="002060"/>
                <w:sz w:val="22"/>
                <w:szCs w:val="22"/>
                <w:lang w:val="en-US"/>
              </w:rPr>
              <w:t>Հաշվեքննության չափանիշները</w:t>
            </w:r>
          </w:p>
          <w:p w14:paraId="3C90C551" w14:textId="77777777" w:rsidR="00B03737" w:rsidRPr="008F7246" w:rsidRDefault="00B03737" w:rsidP="00C60AA9">
            <w:pPr>
              <w:rPr>
                <w:b/>
                <w:bCs/>
                <w:color w:val="002060"/>
                <w:sz w:val="22"/>
                <w:szCs w:val="22"/>
                <w:lang w:val="en-US"/>
              </w:rPr>
            </w:pPr>
          </w:p>
        </w:tc>
        <w:tc>
          <w:tcPr>
            <w:tcW w:w="6714" w:type="dxa"/>
          </w:tcPr>
          <w:p w14:paraId="4A540564" w14:textId="77777777" w:rsidR="00933D49" w:rsidRDefault="004333F6" w:rsidP="00C60AA9">
            <w:r w:rsidRPr="003C0C27">
              <w:t>«</w:t>
            </w:r>
            <w:r w:rsidR="00221BFB" w:rsidRPr="003C0C27">
              <w:t>ՀՀ բ</w:t>
            </w:r>
            <w:r w:rsidRPr="003C0C27">
              <w:t xml:space="preserve">յուջետային </w:t>
            </w:r>
            <w:r w:rsidR="0064288D" w:rsidRPr="003C0C27">
              <w:t>համակարգի մասին» ՀՀ օրենք, «</w:t>
            </w:r>
            <w:r w:rsidR="00ED15AD" w:rsidRPr="003C0C27">
              <w:t xml:space="preserve">ՀՀ </w:t>
            </w:r>
            <w:r w:rsidR="0064288D" w:rsidRPr="003C0C27">
              <w:t xml:space="preserve">2020 թվականի պետական բյուջեի մասին» ՀՀ օրենք, </w:t>
            </w:r>
            <w:r w:rsidR="00ED15AD" w:rsidRPr="003C0C27">
              <w:t>«Գանձապետական համակարգի մասին» ՀՀ օրենք</w:t>
            </w:r>
            <w:r w:rsidR="008C07D2" w:rsidRPr="003C0C27">
              <w:t>,</w:t>
            </w:r>
            <w:r w:rsidR="0032687A" w:rsidRPr="003C0C27">
              <w:t xml:space="preserve"> «Հանրային ծառայության մասին» ՀՀ օրենք,</w:t>
            </w:r>
            <w:r w:rsidR="008C07D2" w:rsidRPr="003C0C27">
              <w:t xml:space="preserve"> </w:t>
            </w:r>
            <w:r w:rsidR="00FB1BC5" w:rsidRPr="003C0C27">
              <w:t xml:space="preserve">«Հանրային հատվածի կազմակերպությունների հաշվապահական </w:t>
            </w:r>
            <w:r w:rsidR="00FB1BC5" w:rsidRPr="00FB2033">
              <w:t>հաշվառման մասին» ՀՀ օրենք</w:t>
            </w:r>
            <w:r w:rsidR="00603F6C" w:rsidRPr="00FB2033">
              <w:t xml:space="preserve">, </w:t>
            </w:r>
            <w:r w:rsidR="00220E21" w:rsidRPr="00FB2033">
              <w:t xml:space="preserve">«Գնումների մասին» ՀՀ օրենք, </w:t>
            </w:r>
            <w:r w:rsidR="00BF739C" w:rsidRPr="00FB2033">
              <w:t>ՀՀ կառավարության 2019 թվականի դեպտեմբերի 26-ի «ՀՀ 2020 թվականի պետական բյուջեի կատարումն ապահովող միջոցառումների մասին» N 1919 որոշում,</w:t>
            </w:r>
            <w:r w:rsidR="00236DF2" w:rsidRPr="00FB2033">
              <w:t xml:space="preserve"> </w:t>
            </w:r>
            <w:r w:rsidR="003C0C27" w:rsidRPr="00FB2033">
              <w:t>«Պետական պարտքի մասին» ՀՀ</w:t>
            </w:r>
            <w:r w:rsidR="003C0C27" w:rsidRPr="003C0C27">
              <w:t xml:space="preserve"> օրենք</w:t>
            </w:r>
            <w:r w:rsidR="00BF739C" w:rsidRPr="003C0C27">
              <w:t>, «Հայաստանի Հանրապետությության հանրային հատվածի հաշվապահական հաշվառման ստանդարտ»</w:t>
            </w:r>
            <w:r w:rsidR="00BF17BC">
              <w:t xml:space="preserve"> և այլ իրավական ակտեր</w:t>
            </w:r>
            <w:r w:rsidR="00777E1D" w:rsidRPr="003C0C27">
              <w:t>։</w:t>
            </w:r>
          </w:p>
          <w:p w14:paraId="145B86CA" w14:textId="0497B053" w:rsidR="00206414" w:rsidRPr="003C0C27" w:rsidRDefault="00206414" w:rsidP="00C60AA9"/>
        </w:tc>
      </w:tr>
      <w:tr w:rsidR="00206414" w:rsidRPr="00B03737" w14:paraId="69C95D8B" w14:textId="77777777" w:rsidTr="003E43D7">
        <w:tc>
          <w:tcPr>
            <w:tcW w:w="2718" w:type="dxa"/>
          </w:tcPr>
          <w:p w14:paraId="73781592" w14:textId="77777777" w:rsidR="00206414" w:rsidRPr="006434F9" w:rsidRDefault="00206414" w:rsidP="00206414">
            <w:pPr>
              <w:spacing w:after="120"/>
              <w:rPr>
                <w:b/>
                <w:color w:val="002060"/>
                <w:sz w:val="22"/>
                <w:lang w:val="en-US"/>
              </w:rPr>
            </w:pPr>
            <w:r w:rsidRPr="006434F9">
              <w:rPr>
                <w:b/>
                <w:color w:val="002060"/>
                <w:sz w:val="22"/>
                <w:lang w:val="en-US"/>
              </w:rPr>
              <w:t>Հաշվեքննությունն ընդգրկող ժամանակաշրջանը</w:t>
            </w:r>
          </w:p>
          <w:p w14:paraId="1BD23116" w14:textId="77777777" w:rsidR="00206414" w:rsidRPr="008F7246" w:rsidRDefault="00206414" w:rsidP="00206414">
            <w:pPr>
              <w:spacing w:after="0"/>
              <w:rPr>
                <w:b/>
                <w:bCs/>
                <w:color w:val="002060"/>
                <w:sz w:val="22"/>
                <w:szCs w:val="22"/>
                <w:lang w:val="en-US"/>
              </w:rPr>
            </w:pPr>
          </w:p>
        </w:tc>
        <w:tc>
          <w:tcPr>
            <w:tcW w:w="6714" w:type="dxa"/>
          </w:tcPr>
          <w:p w14:paraId="69B1EC76" w14:textId="60E081B7" w:rsidR="00206414" w:rsidRPr="00B03737" w:rsidRDefault="00206414" w:rsidP="00206414">
            <w:r w:rsidRPr="006434F9">
              <w:t>2020 թվականի հունվարի 1-ից մինչև 2020 թվականի սեպտեմբերի 30-ը ներառյալ։</w:t>
            </w:r>
          </w:p>
        </w:tc>
      </w:tr>
      <w:tr w:rsidR="008E7FEB" w:rsidRPr="00B03737" w14:paraId="4CB8DCC7" w14:textId="77777777" w:rsidTr="003E43D7">
        <w:tc>
          <w:tcPr>
            <w:tcW w:w="2718" w:type="dxa"/>
          </w:tcPr>
          <w:p w14:paraId="18C0F22E" w14:textId="16A9AC5F" w:rsidR="008E7FEB" w:rsidRPr="006434F9" w:rsidRDefault="008E7FEB" w:rsidP="008E7FEB">
            <w:pPr>
              <w:spacing w:after="0"/>
              <w:rPr>
                <w:b/>
                <w:color w:val="002060"/>
                <w:sz w:val="22"/>
                <w:lang w:val="en-US"/>
              </w:rPr>
            </w:pPr>
            <w:r w:rsidRPr="006434F9">
              <w:rPr>
                <w:b/>
                <w:color w:val="002060"/>
                <w:sz w:val="22"/>
                <w:lang w:val="en-US"/>
              </w:rPr>
              <w:t>Հաշվեքննության կատարման ժամկետը</w:t>
            </w:r>
          </w:p>
        </w:tc>
        <w:tc>
          <w:tcPr>
            <w:tcW w:w="6714" w:type="dxa"/>
          </w:tcPr>
          <w:p w14:paraId="19F7D2AF" w14:textId="77777777" w:rsidR="008E7FEB" w:rsidRDefault="008E7FEB" w:rsidP="008E7FEB">
            <w:pPr>
              <w:spacing w:after="120"/>
            </w:pPr>
            <w:r w:rsidRPr="006434F9">
              <w:t>2020 թվականի նոյեմբերի 27-ից մինչև 2021 թվականի հունվարի 31-ը ներառյալ։</w:t>
            </w:r>
          </w:p>
          <w:p w14:paraId="3D1794EB" w14:textId="586446AA" w:rsidR="008E7FEB" w:rsidRPr="006434F9" w:rsidRDefault="008E7FEB" w:rsidP="008E7FEB">
            <w:pPr>
              <w:spacing w:after="120"/>
            </w:pPr>
          </w:p>
        </w:tc>
      </w:tr>
      <w:tr w:rsidR="008E7FEB" w:rsidRPr="00B03737" w14:paraId="7E6D0B5E" w14:textId="77777777" w:rsidTr="003E43D7">
        <w:tc>
          <w:tcPr>
            <w:tcW w:w="2718" w:type="dxa"/>
          </w:tcPr>
          <w:p w14:paraId="6D168A97" w14:textId="3C5B0C13" w:rsidR="008E7FEB" w:rsidRPr="008F7246" w:rsidRDefault="008E7FEB" w:rsidP="008E7FEB">
            <w:pPr>
              <w:spacing w:after="0"/>
              <w:rPr>
                <w:b/>
                <w:bCs/>
                <w:color w:val="002060"/>
                <w:sz w:val="22"/>
                <w:szCs w:val="22"/>
                <w:lang w:val="en-US"/>
              </w:rPr>
            </w:pPr>
            <w:r w:rsidRPr="006434F9">
              <w:rPr>
                <w:b/>
                <w:color w:val="002060"/>
                <w:sz w:val="22"/>
                <w:lang w:val="en-US"/>
              </w:rPr>
              <w:lastRenderedPageBreak/>
              <w:t xml:space="preserve">Հաշվեքննության </w:t>
            </w:r>
            <w:r w:rsidRPr="006434F9">
              <w:rPr>
                <w:b/>
                <w:color w:val="002060"/>
                <w:sz w:val="22"/>
              </w:rPr>
              <w:t>կասեցում</w:t>
            </w:r>
          </w:p>
        </w:tc>
        <w:tc>
          <w:tcPr>
            <w:tcW w:w="6714" w:type="dxa"/>
          </w:tcPr>
          <w:p w14:paraId="0BEB0E25" w14:textId="77777777" w:rsidR="008E7FEB" w:rsidRPr="006434F9" w:rsidRDefault="008E7FEB" w:rsidP="008E7FEB">
            <w:pPr>
              <w:spacing w:after="120"/>
            </w:pPr>
            <w:r w:rsidRPr="006434F9">
              <w:t>2020 թվականի սեպտեմբերի 30-ի թիվ 168-Ա որոշում։</w:t>
            </w:r>
          </w:p>
          <w:p w14:paraId="14CFAEAE" w14:textId="77777777" w:rsidR="008E7FEB" w:rsidRPr="00B03737" w:rsidRDefault="008E7FEB" w:rsidP="008E7FEB"/>
        </w:tc>
      </w:tr>
      <w:tr w:rsidR="008E7FEB" w:rsidRPr="00B03737" w14:paraId="3EEB3619" w14:textId="77777777" w:rsidTr="003E43D7">
        <w:tc>
          <w:tcPr>
            <w:tcW w:w="2718" w:type="dxa"/>
          </w:tcPr>
          <w:p w14:paraId="0EAB22A5" w14:textId="383FE8B8" w:rsidR="008E7FEB" w:rsidRPr="008F7246" w:rsidRDefault="008E7FEB" w:rsidP="008E7FEB">
            <w:pPr>
              <w:spacing w:after="0"/>
              <w:rPr>
                <w:b/>
                <w:bCs/>
                <w:color w:val="002060"/>
                <w:sz w:val="22"/>
                <w:szCs w:val="22"/>
                <w:lang w:val="en-US"/>
              </w:rPr>
            </w:pPr>
            <w:r w:rsidRPr="006434F9">
              <w:rPr>
                <w:b/>
                <w:color w:val="002060"/>
                <w:sz w:val="22"/>
                <w:lang w:val="en-US"/>
              </w:rPr>
              <w:t xml:space="preserve">Հաշվեքննության </w:t>
            </w:r>
            <w:r w:rsidRPr="006434F9">
              <w:rPr>
                <w:b/>
                <w:color w:val="002060"/>
                <w:sz w:val="22"/>
              </w:rPr>
              <w:t>վերսկսում</w:t>
            </w:r>
          </w:p>
        </w:tc>
        <w:tc>
          <w:tcPr>
            <w:tcW w:w="6714" w:type="dxa"/>
          </w:tcPr>
          <w:p w14:paraId="06CFA45A" w14:textId="77777777" w:rsidR="008E7FEB" w:rsidRPr="006434F9" w:rsidRDefault="008E7FEB" w:rsidP="008E7FEB">
            <w:pPr>
              <w:spacing w:after="120"/>
            </w:pPr>
            <w:r w:rsidRPr="006434F9">
              <w:t>2020 թվականի նոյեմբերի 20-ի թիվ 171-Ա որոշում։</w:t>
            </w:r>
          </w:p>
          <w:p w14:paraId="565CBDD3" w14:textId="77777777" w:rsidR="008E7FEB" w:rsidRPr="00B03737" w:rsidRDefault="008E7FEB" w:rsidP="008E7FEB"/>
        </w:tc>
      </w:tr>
      <w:tr w:rsidR="008E7FEB" w:rsidRPr="00AF0811" w14:paraId="37D7200B" w14:textId="77777777" w:rsidTr="003E43D7">
        <w:tc>
          <w:tcPr>
            <w:tcW w:w="2718" w:type="dxa"/>
          </w:tcPr>
          <w:p w14:paraId="731AD90C" w14:textId="1C8EBEB6" w:rsidR="008E7FEB" w:rsidRPr="008F7246" w:rsidRDefault="008E7FEB" w:rsidP="008E7FEB">
            <w:pPr>
              <w:rPr>
                <w:b/>
                <w:bCs/>
                <w:color w:val="002060"/>
                <w:sz w:val="22"/>
                <w:szCs w:val="22"/>
                <w:lang w:val="en-US"/>
              </w:rPr>
            </w:pPr>
            <w:r w:rsidRPr="008F7246">
              <w:rPr>
                <w:b/>
                <w:bCs/>
                <w:color w:val="002060"/>
                <w:sz w:val="22"/>
                <w:szCs w:val="22"/>
                <w:lang w:val="en-US"/>
              </w:rPr>
              <w:t>Հաշվեքննության մեթոդաբանությունը</w:t>
            </w:r>
          </w:p>
          <w:p w14:paraId="68059E6A" w14:textId="77777777" w:rsidR="008E7FEB" w:rsidRPr="008F7246" w:rsidRDefault="008E7FEB" w:rsidP="008E7FEB">
            <w:pPr>
              <w:rPr>
                <w:b/>
                <w:bCs/>
                <w:color w:val="002060"/>
                <w:sz w:val="22"/>
                <w:szCs w:val="22"/>
                <w:lang w:val="en-US"/>
              </w:rPr>
            </w:pPr>
          </w:p>
        </w:tc>
        <w:tc>
          <w:tcPr>
            <w:tcW w:w="6714" w:type="dxa"/>
          </w:tcPr>
          <w:p w14:paraId="3A9B287E" w14:textId="645AED95" w:rsidR="008E7FEB" w:rsidRPr="00B03737" w:rsidRDefault="008E7FEB" w:rsidP="008E7FEB">
            <w:r w:rsidRPr="00F624A1">
              <w:t>Հաշվեքննությունն իրականացվել է «Հաշվեքննիչ պալատի մա</w:t>
            </w:r>
            <w:r w:rsidRPr="00F624A1">
              <w:softHyphen/>
              <w:t>սին» ՀՀ օրենքի, Հաշվեքննիչ պալատի ֆինանսական և համա</w:t>
            </w:r>
            <w:r w:rsidRPr="00F624A1">
              <w:softHyphen/>
              <w:t>պա</w:t>
            </w:r>
            <w:r w:rsidRPr="00F624A1">
              <w:softHyphen/>
              <w:t>տասխանության հաշվեքննության մեթոդաբանությունների</w:t>
            </w:r>
            <w:r>
              <w:t xml:space="preserve">, «Պետական բյուջեի երեք, վեց, ինն ամիսների և տարեկան կատարման հաշվեքննության» ուղեցույցի </w:t>
            </w:r>
            <w:r w:rsidRPr="00F624A1">
              <w:t>համա</w:t>
            </w:r>
            <w:r w:rsidRPr="00F624A1">
              <w:softHyphen/>
              <w:t>ձայն։</w:t>
            </w:r>
          </w:p>
          <w:p w14:paraId="6D6D3766" w14:textId="77777777" w:rsidR="008E7FEB" w:rsidRPr="00B03737" w:rsidRDefault="008E7FEB" w:rsidP="008E7FEB"/>
          <w:p w14:paraId="11F324CA" w14:textId="36554C27" w:rsidR="008E7FEB" w:rsidRPr="00B03737" w:rsidRDefault="008E7FEB" w:rsidP="008E7FEB">
            <w:r w:rsidRPr="00B03737">
              <w:t>Իրականացվել է ֆինանսական և համապատասխանութ</w:t>
            </w:r>
            <w:r w:rsidRPr="00B03737">
              <w:softHyphen/>
              <w:t>յան հաշ</w:t>
            </w:r>
            <w:r w:rsidRPr="00B03737">
              <w:softHyphen/>
              <w:t xml:space="preserve">վեքննություն, որի ընթացքում կիրառվել են </w:t>
            </w:r>
            <w:r w:rsidRPr="00B03737">
              <w:rPr>
                <w:color w:val="000000"/>
                <w:shd w:val="clear" w:color="auto" w:fill="FFFFFF"/>
              </w:rPr>
              <w:t xml:space="preserve"> հարցում, վերլուծական ընթացա</w:t>
            </w:r>
            <w:r w:rsidRPr="00B03737">
              <w:rPr>
                <w:color w:val="000000"/>
                <w:shd w:val="clear" w:color="auto" w:fill="FFFFFF"/>
              </w:rPr>
              <w:softHyphen/>
              <w:t>կարգ</w:t>
            </w:r>
            <w:r>
              <w:rPr>
                <w:color w:val="000000"/>
                <w:shd w:val="clear" w:color="auto" w:fill="FFFFFF"/>
              </w:rPr>
              <w:t xml:space="preserve"> և</w:t>
            </w:r>
            <w:r w:rsidRPr="00B03737">
              <w:rPr>
                <w:color w:val="000000"/>
                <w:shd w:val="clear" w:color="auto" w:fill="FFFFFF"/>
              </w:rPr>
              <w:t xml:space="preserve"> վերահաշվարկ, </w:t>
            </w:r>
            <w:r w:rsidRPr="00B03737">
              <w:t>ընթացակարգերը։</w:t>
            </w:r>
          </w:p>
        </w:tc>
      </w:tr>
      <w:tr w:rsidR="008E7FEB" w:rsidRPr="00AF0811" w14:paraId="7CAF54B9" w14:textId="77777777" w:rsidTr="003E43D7">
        <w:tc>
          <w:tcPr>
            <w:tcW w:w="2718" w:type="dxa"/>
          </w:tcPr>
          <w:p w14:paraId="3328E8DB" w14:textId="77777777" w:rsidR="008E7FEB" w:rsidRPr="00B60C3E" w:rsidRDefault="008E7FEB" w:rsidP="008E7FEB">
            <w:pPr>
              <w:rPr>
                <w:color w:val="002060"/>
              </w:rPr>
            </w:pPr>
          </w:p>
          <w:p w14:paraId="25108FCF" w14:textId="0B0E0029" w:rsidR="008E7FEB" w:rsidRPr="00B60C3E" w:rsidRDefault="008E7FEB" w:rsidP="008E7FEB">
            <w:pPr>
              <w:rPr>
                <w:color w:val="002060"/>
              </w:rPr>
            </w:pPr>
          </w:p>
        </w:tc>
        <w:tc>
          <w:tcPr>
            <w:tcW w:w="6714" w:type="dxa"/>
          </w:tcPr>
          <w:p w14:paraId="0769B0C6" w14:textId="77777777" w:rsidR="008E7FEB" w:rsidRPr="00B03737" w:rsidRDefault="008E7FEB" w:rsidP="008E7FEB"/>
        </w:tc>
      </w:tr>
      <w:tr w:rsidR="008E7FEB" w:rsidRPr="00AF0811" w14:paraId="709820BC" w14:textId="77777777" w:rsidTr="003E43D7">
        <w:tc>
          <w:tcPr>
            <w:tcW w:w="2718" w:type="dxa"/>
          </w:tcPr>
          <w:p w14:paraId="05390BD9" w14:textId="063B7A21" w:rsidR="008E7FEB" w:rsidRPr="008F7246" w:rsidRDefault="008E7FEB" w:rsidP="008E7FEB">
            <w:pPr>
              <w:rPr>
                <w:b/>
                <w:bCs/>
                <w:color w:val="002060"/>
                <w:sz w:val="22"/>
                <w:szCs w:val="22"/>
                <w:lang w:val="en-US"/>
              </w:rPr>
            </w:pPr>
            <w:r w:rsidRPr="008F7246">
              <w:rPr>
                <w:b/>
                <w:bCs/>
                <w:color w:val="002060"/>
                <w:sz w:val="22"/>
                <w:szCs w:val="22"/>
                <w:lang w:val="en-US"/>
              </w:rPr>
              <w:t>Հաշվեքննությունն իրականացրած կառուցվածքային</w:t>
            </w:r>
            <w:r w:rsidRPr="008F7246">
              <w:rPr>
                <w:b/>
                <w:bCs/>
                <w:color w:val="002060"/>
                <w:sz w:val="22"/>
                <w:szCs w:val="22"/>
              </w:rPr>
              <w:t xml:space="preserve"> </w:t>
            </w:r>
            <w:r w:rsidRPr="008F7246">
              <w:rPr>
                <w:b/>
                <w:bCs/>
                <w:color w:val="002060"/>
                <w:sz w:val="22"/>
                <w:szCs w:val="22"/>
                <w:lang w:val="en-US"/>
              </w:rPr>
              <w:t>ստորաբաժանում</w:t>
            </w:r>
          </w:p>
          <w:p w14:paraId="788826F8" w14:textId="77777777" w:rsidR="008E7FEB" w:rsidRPr="00B60C3E" w:rsidRDefault="008E7FEB" w:rsidP="008E7FEB">
            <w:pPr>
              <w:rPr>
                <w:color w:val="002060"/>
              </w:rPr>
            </w:pPr>
          </w:p>
        </w:tc>
        <w:tc>
          <w:tcPr>
            <w:tcW w:w="6714" w:type="dxa"/>
          </w:tcPr>
          <w:p w14:paraId="1A4BFF91" w14:textId="5188C419" w:rsidR="008E7FEB" w:rsidRPr="00B03737" w:rsidRDefault="008E7FEB" w:rsidP="008E7FEB">
            <w:r w:rsidRPr="00B03737">
              <w:t xml:space="preserve">Հաշվեքննությունն իրականացվել է ՀՀ հաշվեքննիչ պալատի </w:t>
            </w:r>
            <w:r>
              <w:t>ութերորդ</w:t>
            </w:r>
            <w:r w:rsidRPr="00B03737">
              <w:t xml:space="preserve"> վարչության կողմից, որի աշխատանքները համակար</w:t>
            </w:r>
            <w:r w:rsidRPr="00B03737">
              <w:softHyphen/>
              <w:t xml:space="preserve">գում է ՀՀ հաշվեքննիչ պալատի անդամ </w:t>
            </w:r>
            <w:r>
              <w:t>Արմեն Գևորգյան</w:t>
            </w:r>
            <w:r w:rsidRPr="00B03737">
              <w:t>ը։</w:t>
            </w:r>
          </w:p>
        </w:tc>
      </w:tr>
    </w:tbl>
    <w:p w14:paraId="76285FB5" w14:textId="77777777" w:rsidR="008C08B3" w:rsidRPr="000D57D8" w:rsidRDefault="008C08B3" w:rsidP="00C60AA9"/>
    <w:p w14:paraId="092A90E6" w14:textId="77777777" w:rsidR="008C08B3" w:rsidRPr="000D57D8" w:rsidRDefault="008C08B3" w:rsidP="00C60AA9"/>
    <w:p w14:paraId="7B04A677" w14:textId="3DC321B4" w:rsidR="00194E3E" w:rsidRDefault="00A9254C" w:rsidP="00194E3E">
      <w:r>
        <w:br w:type="page"/>
      </w:r>
    </w:p>
    <w:p w14:paraId="27C49100" w14:textId="5B03A3A9" w:rsidR="00C401BA" w:rsidRPr="00194E3E" w:rsidRDefault="00194E3E" w:rsidP="006A3300">
      <w:pPr>
        <w:pStyle w:val="VP1"/>
        <w:jc w:val="left"/>
      </w:pPr>
      <w:bookmarkStart w:id="2" w:name="_Toc59214387"/>
      <w:bookmarkStart w:id="3" w:name="_Toc64560565"/>
      <w:r w:rsidRPr="00194E3E">
        <w:lastRenderedPageBreak/>
        <w:t>ԱՄՓՈՓԱԳԻՐ</w:t>
      </w:r>
      <w:bookmarkEnd w:id="2"/>
      <w:bookmarkEnd w:id="3"/>
    </w:p>
    <w:p w14:paraId="68C51613" w14:textId="77777777" w:rsidR="00C401BA" w:rsidRDefault="00C401BA" w:rsidP="00194E3E">
      <w:pPr>
        <w:ind w:firstLine="720"/>
        <w:rPr>
          <w:rFonts w:cs="Sylfaen"/>
        </w:rPr>
      </w:pPr>
    </w:p>
    <w:p w14:paraId="4A37E8C8" w14:textId="38F9B713" w:rsidR="00194E3E" w:rsidRPr="00194E3E" w:rsidRDefault="00194E3E" w:rsidP="00194E3E">
      <w:pPr>
        <w:ind w:firstLine="720"/>
        <w:rPr>
          <w:rFonts w:cs="Sylfaen"/>
        </w:rPr>
      </w:pPr>
      <w:r w:rsidRPr="00194E3E">
        <w:rPr>
          <w:rFonts w:cs="Sylfaen"/>
        </w:rPr>
        <w:t xml:space="preserve">ՀՀ </w:t>
      </w:r>
      <w:r w:rsidR="00FB2033">
        <w:rPr>
          <w:rFonts w:cs="Sylfaen"/>
        </w:rPr>
        <w:t>ֆինանսների նախարարությունում</w:t>
      </w:r>
      <w:r w:rsidR="0090395C">
        <w:rPr>
          <w:rFonts w:cs="Sylfaen"/>
        </w:rPr>
        <w:t xml:space="preserve"> </w:t>
      </w:r>
      <w:r w:rsidRPr="00194E3E">
        <w:rPr>
          <w:rFonts w:cs="Sylfaen"/>
        </w:rPr>
        <w:t xml:space="preserve">հաշվեքննությունն իրականացվել է ՀՀ Հաշվեքննիչ պալատի 2020թ. </w:t>
      </w:r>
      <w:r w:rsidR="00084BF1">
        <w:rPr>
          <w:rFonts w:cs="Sylfaen"/>
        </w:rPr>
        <w:t>նոյեմբերի</w:t>
      </w:r>
      <w:r w:rsidRPr="00194E3E">
        <w:rPr>
          <w:rFonts w:cs="Sylfaen"/>
        </w:rPr>
        <w:t xml:space="preserve"> </w:t>
      </w:r>
      <w:r w:rsidR="00084BF1">
        <w:rPr>
          <w:rFonts w:cs="Sylfaen"/>
        </w:rPr>
        <w:t>20</w:t>
      </w:r>
      <w:r w:rsidRPr="00194E3E">
        <w:rPr>
          <w:rFonts w:cs="Sylfaen"/>
        </w:rPr>
        <w:t>-ի թիվ 1</w:t>
      </w:r>
      <w:r w:rsidR="00084BF1">
        <w:rPr>
          <w:rFonts w:cs="Sylfaen"/>
        </w:rPr>
        <w:t>79</w:t>
      </w:r>
      <w:r w:rsidRPr="00194E3E">
        <w:rPr>
          <w:rFonts w:cs="Sylfaen"/>
        </w:rPr>
        <w:t>-Ա որոշման հիմքով:</w:t>
      </w:r>
    </w:p>
    <w:p w14:paraId="5DEA1C24" w14:textId="29390134" w:rsidR="00194E3E" w:rsidRPr="00E17B5D" w:rsidRDefault="00194E3E" w:rsidP="00194E3E">
      <w:pPr>
        <w:ind w:firstLine="720"/>
        <w:rPr>
          <w:rFonts w:cs="Sylfaen"/>
        </w:rPr>
      </w:pPr>
      <w:r w:rsidRPr="00194E3E">
        <w:rPr>
          <w:rFonts w:cs="Sylfaen"/>
        </w:rPr>
        <w:t>Հաշվեքննության առաջադրանքով նախատեսվել է իրականացնել</w:t>
      </w:r>
      <w:r w:rsidR="00B01866" w:rsidRPr="00C64290">
        <w:rPr>
          <w:rFonts w:cs="Sylfaen"/>
        </w:rPr>
        <w:t xml:space="preserve"> </w:t>
      </w:r>
      <w:r w:rsidR="005C69F3" w:rsidRPr="00C64290">
        <w:rPr>
          <w:rFonts w:cs="Sylfaen"/>
        </w:rPr>
        <w:t xml:space="preserve">ֆինանսների նախարարությունում 2020 թվականի պետական բյուջեի </w:t>
      </w:r>
      <w:r w:rsidR="006125A7">
        <w:rPr>
          <w:rFonts w:cs="Sylfaen"/>
        </w:rPr>
        <w:t>ինն</w:t>
      </w:r>
      <w:r w:rsidR="005C69F3" w:rsidRPr="00C64290">
        <w:rPr>
          <w:rFonts w:cs="Sylfaen"/>
        </w:rPr>
        <w:t xml:space="preserve"> ամիսների մուտքերի ձևավորման և ելքերի իրականացման կանոնակարգված </w:t>
      </w:r>
      <w:r w:rsidRPr="00194E3E">
        <w:rPr>
          <w:rFonts w:eastAsia="Times New Roman" w:cs="Sylfaen"/>
        </w:rPr>
        <w:t>գործունեության</w:t>
      </w:r>
      <w:r w:rsidRPr="00194E3E">
        <w:rPr>
          <w:rFonts w:cs="Sylfaen"/>
        </w:rPr>
        <w:t xml:space="preserve"> ֆինանսական և </w:t>
      </w:r>
      <w:r w:rsidRPr="00E17B5D">
        <w:rPr>
          <w:rFonts w:cs="Sylfaen"/>
        </w:rPr>
        <w:t xml:space="preserve">համապատասխանության հաշվեքննություն։ Հաշվեքննությունն իրականացվել է 2020 թվականի </w:t>
      </w:r>
      <w:r w:rsidR="004956ED" w:rsidRPr="004956ED">
        <w:rPr>
          <w:rFonts w:cs="Sylfaen"/>
        </w:rPr>
        <w:t>նոյեմբերի 27-ից մինչև 2021 թվականի հունվարի 31-ն</w:t>
      </w:r>
      <w:r w:rsidRPr="00E17B5D">
        <w:rPr>
          <w:rFonts w:cs="Sylfaen"/>
        </w:rPr>
        <w:t xml:space="preserve"> ընկած ժամանակահատվածում։ Հաշվեքննության ընթացքում կիրառվել են </w:t>
      </w:r>
      <w:r w:rsidRPr="00E17B5D">
        <w:rPr>
          <w:rFonts w:eastAsia="Times New Roman" w:cs="Sylfaen"/>
        </w:rPr>
        <w:t xml:space="preserve">հարցում, վերլուծական ընթացակարգ և վերահաշվարկ </w:t>
      </w:r>
      <w:r w:rsidRPr="00E17B5D">
        <w:rPr>
          <w:rFonts w:cs="Sylfaen"/>
        </w:rPr>
        <w:t>ընթացակարգերը:</w:t>
      </w:r>
    </w:p>
    <w:p w14:paraId="794688F6" w14:textId="77777777" w:rsidR="00194E3E" w:rsidRPr="00194E3E" w:rsidRDefault="00194E3E" w:rsidP="00194E3E">
      <w:pPr>
        <w:ind w:firstLine="567"/>
        <w:rPr>
          <w:rFonts w:cs="Sylfaen"/>
        </w:rPr>
      </w:pPr>
      <w:r w:rsidRPr="00194E3E">
        <w:rPr>
          <w:rFonts w:cs="Sylfaen"/>
        </w:rPr>
        <w:t>Հաշվեքննությունն իրականացվել է ՀՀ հաշվեքննիչ պալատի 8-րդ վարչության կողմից։</w:t>
      </w:r>
    </w:p>
    <w:p w14:paraId="484A1251" w14:textId="26E99461" w:rsidR="00D54939" w:rsidRDefault="00D54939" w:rsidP="00D54939">
      <w:pPr>
        <w:jc w:val="left"/>
      </w:pPr>
    </w:p>
    <w:p w14:paraId="69EE056F" w14:textId="77777777" w:rsidR="004C64DC" w:rsidRPr="00D54939" w:rsidRDefault="004C64DC" w:rsidP="00D54939">
      <w:pPr>
        <w:jc w:val="left"/>
      </w:pPr>
    </w:p>
    <w:p w14:paraId="5CAD83F7" w14:textId="77777777" w:rsidR="00D54939" w:rsidRPr="00D54939" w:rsidRDefault="00D54939" w:rsidP="006A3300">
      <w:pPr>
        <w:pStyle w:val="VP1"/>
        <w:jc w:val="left"/>
      </w:pPr>
      <w:bookmarkStart w:id="4" w:name="_Toc59214388"/>
      <w:bookmarkStart w:id="5" w:name="_Toc64560566"/>
      <w:r w:rsidRPr="00D54939">
        <w:t>ՀԱՇՎԵՔՆՆՈՒԹՅԱՆ ՀԻՄՆԱԿԱՆ ԱՐԴՅՈՒՆՔՆԵՐԸ</w:t>
      </w:r>
      <w:bookmarkEnd w:id="4"/>
      <w:bookmarkEnd w:id="5"/>
    </w:p>
    <w:p w14:paraId="73E607F1" w14:textId="77777777" w:rsidR="00C401BA" w:rsidRPr="00E17B5D" w:rsidRDefault="00C401BA" w:rsidP="00D54939">
      <w:pPr>
        <w:ind w:firstLine="567"/>
      </w:pPr>
    </w:p>
    <w:p w14:paraId="07AC9312" w14:textId="6BECBB9B" w:rsidR="00D54939" w:rsidRPr="00E17B5D" w:rsidRDefault="00D54939" w:rsidP="00D54939">
      <w:pPr>
        <w:ind w:firstLine="567"/>
      </w:pPr>
      <w:r w:rsidRPr="00E17B5D">
        <w:t>Հաշվեքննության իրականացման համար ստացվել է բավարար տեղեկատվություն։</w:t>
      </w:r>
    </w:p>
    <w:p w14:paraId="0292C214" w14:textId="77777777" w:rsidR="00D54939" w:rsidRPr="00D54939" w:rsidRDefault="00D54939" w:rsidP="00D54939">
      <w:pPr>
        <w:ind w:firstLine="567"/>
      </w:pPr>
      <w:r w:rsidRPr="00E17B5D">
        <w:t>Հաշվեքննության ընթացքում էական անհամապատասխանություններ և խեղաթյուրումներ չեն</w:t>
      </w:r>
      <w:r w:rsidRPr="00D54939">
        <w:t xml:space="preserve"> հայտնաբերվել։</w:t>
      </w:r>
    </w:p>
    <w:p w14:paraId="532C3701" w14:textId="0BF9BFED" w:rsidR="00D54939" w:rsidRPr="00D54939" w:rsidRDefault="00D54939" w:rsidP="00D54939">
      <w:pPr>
        <w:ind w:firstLine="567"/>
      </w:pPr>
      <w:r w:rsidRPr="00D54939">
        <w:t xml:space="preserve">ՀՀ </w:t>
      </w:r>
      <w:r w:rsidR="00E02730">
        <w:t>ֆինանսների նախարարությանը</w:t>
      </w:r>
      <w:r w:rsidRPr="00D54939">
        <w:t xml:space="preserve"> վերաբերող հաշվետվությունները էականորեն խեղաթյուրված չեն։</w:t>
      </w:r>
    </w:p>
    <w:p w14:paraId="5BFCB613" w14:textId="7AE80ED1" w:rsidR="00D54939" w:rsidRDefault="00D54939" w:rsidP="00D54939">
      <w:pPr>
        <w:jc w:val="left"/>
      </w:pPr>
    </w:p>
    <w:p w14:paraId="338D6129" w14:textId="51D537D6" w:rsidR="005E1DC0" w:rsidRDefault="005E1DC0" w:rsidP="00D54939">
      <w:pPr>
        <w:jc w:val="left"/>
      </w:pPr>
    </w:p>
    <w:p w14:paraId="7BCBF3B1" w14:textId="5749D7DD" w:rsidR="005E1DC0" w:rsidRDefault="005E1DC0" w:rsidP="00D54939">
      <w:pPr>
        <w:jc w:val="left"/>
      </w:pPr>
    </w:p>
    <w:p w14:paraId="7F130AD2" w14:textId="77777777" w:rsidR="005E1DC0" w:rsidRDefault="005E1DC0" w:rsidP="00D54939">
      <w:pPr>
        <w:jc w:val="left"/>
        <w:sectPr w:rsidR="005E1DC0" w:rsidSect="005B24F2">
          <w:headerReference w:type="default" r:id="rId9"/>
          <w:pgSz w:w="12240" w:h="15840"/>
          <w:pgMar w:top="1843" w:right="900" w:bottom="851" w:left="1296" w:header="720" w:footer="720" w:gutter="0"/>
          <w:cols w:space="720"/>
          <w:titlePg/>
          <w:docGrid w:linePitch="360"/>
        </w:sectPr>
      </w:pPr>
    </w:p>
    <w:p w14:paraId="08E1EF64" w14:textId="77777777" w:rsidR="00D54939" w:rsidRPr="00D54939" w:rsidRDefault="00D54939" w:rsidP="008132BA">
      <w:pPr>
        <w:pStyle w:val="VP1"/>
        <w:jc w:val="left"/>
      </w:pPr>
      <w:bookmarkStart w:id="6" w:name="_Toc59214389"/>
      <w:bookmarkStart w:id="7" w:name="_Toc64560567"/>
      <w:r w:rsidRPr="00D54939">
        <w:lastRenderedPageBreak/>
        <w:t>ՀԱՇՎԵՔՆՆՈՒԹՅԱՆ ՕԲՅԵԿՏԻ ՖԻՆԱՆՍԱԿԱՆ ՑՈՒՑԱՆԻՇՆԵՐԸ</w:t>
      </w:r>
      <w:bookmarkEnd w:id="6"/>
      <w:bookmarkEnd w:id="7"/>
    </w:p>
    <w:p w14:paraId="4EB76CA8" w14:textId="77777777" w:rsidR="00C401BA" w:rsidRDefault="00C401BA" w:rsidP="00D54939">
      <w:pPr>
        <w:ind w:firstLine="567"/>
        <w:rPr>
          <w:rFonts w:cs="Sylfaen"/>
        </w:rPr>
      </w:pPr>
    </w:p>
    <w:p w14:paraId="22A72894" w14:textId="2719C1C5" w:rsidR="00EB0FE9" w:rsidRDefault="00EB0FE9" w:rsidP="009D21BA">
      <w:pPr>
        <w:ind w:firstLine="567"/>
        <w:rPr>
          <w:rFonts w:eastAsia="Times New Roman" w:cs="Times New Roman"/>
        </w:rPr>
      </w:pPr>
    </w:p>
    <w:p w14:paraId="07C69944"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«ՀՀ 2020 թվականի պետական բյուջեի մասին» ՀՀ օրենքով ՀՀ 2020 թվականի պետական բյուջեի եկամուտները հատատատվել են 1,695,009,852.1 հազ. դրամ գումարի չափով, որից՝ հարկային եկամուտների և պետական տուրքերի գումարը կազմել է 1,602,252,712.8 հազ.դրամ, պաշտոնական դրամաշնորհները՝ 35,324,420.2 հազ. դրամ, այլ եկամուտները՝ 57,432,719.1 հազ. դրամ։</w:t>
      </w:r>
    </w:p>
    <w:p w14:paraId="68F27308"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ՀՀ 2020 թվականի պետական բյուջեի եկամուտների և 2018, 2019 թվականների ժամանակաշրջանների համադրելի ցուցանիշները հետևյալն են.</w:t>
      </w:r>
    </w:p>
    <w:p w14:paraId="3833F5FD" w14:textId="77777777" w:rsidR="00EB0FE9" w:rsidRPr="00EB0FE9" w:rsidRDefault="00EB0FE9" w:rsidP="00EB0FE9">
      <w:pPr>
        <w:spacing w:after="0"/>
        <w:ind w:left="2" w:firstLine="565"/>
        <w:contextualSpacing/>
        <w:jc w:val="right"/>
        <w:rPr>
          <w:rFonts w:eastAsia="Calibri" w:cs="Times New Roman"/>
          <w:sz w:val="22"/>
          <w:szCs w:val="22"/>
        </w:rPr>
      </w:pPr>
    </w:p>
    <w:p w14:paraId="3C70BCF5" w14:textId="77777777" w:rsidR="00EB0FE9" w:rsidRPr="00EB0FE9" w:rsidRDefault="00EB0FE9" w:rsidP="00EB0FE9">
      <w:pPr>
        <w:spacing w:after="0"/>
        <w:ind w:left="2" w:firstLine="565"/>
        <w:contextualSpacing/>
        <w:jc w:val="right"/>
        <w:rPr>
          <w:rFonts w:eastAsia="Calibri" w:cs="Times New Roman"/>
          <w:sz w:val="22"/>
          <w:szCs w:val="22"/>
        </w:rPr>
      </w:pPr>
    </w:p>
    <w:p w14:paraId="4C0DD8DF" w14:textId="77777777" w:rsidR="00EB0FE9" w:rsidRPr="00EB0FE9" w:rsidRDefault="00EB0FE9" w:rsidP="00EB0FE9">
      <w:pPr>
        <w:spacing w:after="0"/>
        <w:ind w:left="2" w:firstLine="565"/>
        <w:contextualSpacing/>
        <w:jc w:val="right"/>
        <w:rPr>
          <w:rFonts w:eastAsia="Calibri" w:cs="Times New Roman"/>
          <w:sz w:val="22"/>
          <w:szCs w:val="22"/>
        </w:rPr>
      </w:pPr>
      <w:r w:rsidRPr="00EB0FE9">
        <w:rPr>
          <w:rFonts w:eastAsia="Calibri" w:cs="Times New Roman"/>
          <w:sz w:val="22"/>
          <w:szCs w:val="22"/>
        </w:rPr>
        <w:t>(Աղյուսակ 1)</w:t>
      </w:r>
    </w:p>
    <w:tbl>
      <w:tblPr>
        <w:tblW w:w="0" w:type="auto"/>
        <w:tblInd w:w="103" w:type="dxa"/>
        <w:shd w:val="clear" w:color="auto" w:fill="FFFFFF"/>
        <w:tblLayout w:type="fixed"/>
        <w:tblLook w:val="0000" w:firstRow="0" w:lastRow="0" w:firstColumn="0" w:lastColumn="0" w:noHBand="0" w:noVBand="0"/>
      </w:tblPr>
      <w:tblGrid>
        <w:gridCol w:w="3578"/>
        <w:gridCol w:w="1134"/>
        <w:gridCol w:w="992"/>
        <w:gridCol w:w="1062"/>
        <w:gridCol w:w="1065"/>
        <w:gridCol w:w="1110"/>
        <w:gridCol w:w="1016"/>
      </w:tblGrid>
      <w:tr w:rsidR="00EB0FE9" w:rsidRPr="00EB0FE9" w14:paraId="6A070ECD" w14:textId="77777777" w:rsidTr="00EB0FE9">
        <w:trPr>
          <w:trHeight w:val="256"/>
          <w:tblHeader/>
        </w:trPr>
        <w:tc>
          <w:tcPr>
            <w:tcW w:w="357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A45C2FF"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Եկամտատեսակը</w:t>
            </w:r>
          </w:p>
        </w:tc>
        <w:tc>
          <w:tcPr>
            <w:tcW w:w="2126" w:type="dxa"/>
            <w:gridSpan w:val="2"/>
            <w:tcBorders>
              <w:top w:val="single" w:sz="4" w:space="0" w:color="auto"/>
              <w:left w:val="nil"/>
              <w:bottom w:val="single" w:sz="4" w:space="0" w:color="auto"/>
              <w:right w:val="single" w:sz="4" w:space="0" w:color="auto"/>
            </w:tcBorders>
            <w:shd w:val="clear" w:color="auto" w:fill="FFFFFF"/>
            <w:vAlign w:val="center"/>
          </w:tcPr>
          <w:p w14:paraId="71567E42"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2018թ. (փաստ)</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14:paraId="1E36B113"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2019թ. (փաստ)</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3333EC90"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2020թ.</w:t>
            </w:r>
          </w:p>
        </w:tc>
      </w:tr>
      <w:tr w:rsidR="00EB0FE9" w:rsidRPr="00EB0FE9" w14:paraId="4C388ABE" w14:textId="77777777" w:rsidTr="00EB0FE9">
        <w:trPr>
          <w:trHeight w:val="320"/>
          <w:tblHeader/>
        </w:trPr>
        <w:tc>
          <w:tcPr>
            <w:tcW w:w="3578"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2BCFBB0C" w14:textId="77777777" w:rsidR="00EB0FE9" w:rsidRPr="00EB0FE9" w:rsidRDefault="00EB0FE9" w:rsidP="00EB0FE9">
            <w:pPr>
              <w:spacing w:after="0"/>
              <w:rPr>
                <w:rFonts w:eastAsia="Times New Roman" w:cs="Times New Roman"/>
                <w:b/>
                <w:bCs/>
                <w:sz w:val="22"/>
                <w:szCs w:val="22"/>
              </w:rPr>
            </w:pPr>
          </w:p>
        </w:tc>
        <w:tc>
          <w:tcPr>
            <w:tcW w:w="1134" w:type="dxa"/>
            <w:tcBorders>
              <w:top w:val="nil"/>
              <w:left w:val="nil"/>
              <w:bottom w:val="single" w:sz="4" w:space="0" w:color="auto"/>
              <w:right w:val="single" w:sz="4" w:space="0" w:color="auto"/>
            </w:tcBorders>
            <w:shd w:val="clear" w:color="auto" w:fill="FFFFFF"/>
            <w:vAlign w:val="center"/>
          </w:tcPr>
          <w:p w14:paraId="5B477667"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մլրդ դրամ</w:t>
            </w:r>
          </w:p>
        </w:tc>
        <w:tc>
          <w:tcPr>
            <w:tcW w:w="992" w:type="dxa"/>
            <w:tcBorders>
              <w:top w:val="nil"/>
              <w:left w:val="nil"/>
              <w:bottom w:val="single" w:sz="4" w:space="0" w:color="auto"/>
              <w:right w:val="single" w:sz="4" w:space="0" w:color="auto"/>
            </w:tcBorders>
            <w:shd w:val="clear" w:color="auto" w:fill="FFFFFF"/>
            <w:vAlign w:val="center"/>
          </w:tcPr>
          <w:p w14:paraId="5F962C5A"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%-ը</w:t>
            </w:r>
          </w:p>
        </w:tc>
        <w:tc>
          <w:tcPr>
            <w:tcW w:w="1062" w:type="dxa"/>
            <w:tcBorders>
              <w:top w:val="nil"/>
              <w:left w:val="nil"/>
              <w:bottom w:val="single" w:sz="4" w:space="0" w:color="auto"/>
              <w:right w:val="single" w:sz="4" w:space="0" w:color="auto"/>
            </w:tcBorders>
            <w:shd w:val="clear" w:color="auto" w:fill="auto"/>
            <w:vAlign w:val="center"/>
          </w:tcPr>
          <w:p w14:paraId="1F3057DB"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մլրդ դրամ</w:t>
            </w:r>
          </w:p>
        </w:tc>
        <w:tc>
          <w:tcPr>
            <w:tcW w:w="1065" w:type="dxa"/>
            <w:tcBorders>
              <w:top w:val="nil"/>
              <w:left w:val="nil"/>
              <w:bottom w:val="single" w:sz="4" w:space="0" w:color="auto"/>
              <w:right w:val="single" w:sz="4" w:space="0" w:color="auto"/>
            </w:tcBorders>
            <w:shd w:val="clear" w:color="auto" w:fill="auto"/>
            <w:vAlign w:val="center"/>
          </w:tcPr>
          <w:p w14:paraId="1CA73A43"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%-ը</w:t>
            </w:r>
          </w:p>
        </w:tc>
        <w:tc>
          <w:tcPr>
            <w:tcW w:w="1110" w:type="dxa"/>
            <w:tcBorders>
              <w:top w:val="single" w:sz="4" w:space="0" w:color="auto"/>
              <w:left w:val="nil"/>
              <w:bottom w:val="single" w:sz="4" w:space="0" w:color="auto"/>
              <w:right w:val="single" w:sz="4" w:space="0" w:color="auto"/>
            </w:tcBorders>
            <w:shd w:val="clear" w:color="auto" w:fill="auto"/>
            <w:vAlign w:val="center"/>
          </w:tcPr>
          <w:p w14:paraId="5672DDAD"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մլրդ դրամ</w:t>
            </w:r>
          </w:p>
        </w:tc>
        <w:tc>
          <w:tcPr>
            <w:tcW w:w="1016" w:type="dxa"/>
            <w:tcBorders>
              <w:top w:val="single" w:sz="4" w:space="0" w:color="auto"/>
              <w:left w:val="nil"/>
              <w:bottom w:val="single" w:sz="4" w:space="0" w:color="auto"/>
              <w:right w:val="single" w:sz="4" w:space="0" w:color="auto"/>
            </w:tcBorders>
            <w:shd w:val="clear" w:color="auto" w:fill="auto"/>
            <w:vAlign w:val="center"/>
          </w:tcPr>
          <w:p w14:paraId="0FAF1EAD" w14:textId="77777777" w:rsidR="00EB0FE9" w:rsidRPr="00EB0FE9" w:rsidRDefault="00EB0FE9" w:rsidP="00EB0FE9">
            <w:pPr>
              <w:spacing w:after="0"/>
              <w:jc w:val="center"/>
              <w:rPr>
                <w:rFonts w:eastAsia="Times New Roman" w:cs="Times New Roman"/>
                <w:b/>
                <w:bCs/>
                <w:sz w:val="22"/>
                <w:szCs w:val="22"/>
              </w:rPr>
            </w:pPr>
            <w:r w:rsidRPr="00EB0FE9">
              <w:rPr>
                <w:rFonts w:eastAsia="Times New Roman" w:cs="Times New Roman"/>
                <w:b/>
                <w:bCs/>
                <w:sz w:val="22"/>
                <w:szCs w:val="22"/>
              </w:rPr>
              <w:t>%-ը</w:t>
            </w:r>
          </w:p>
        </w:tc>
      </w:tr>
      <w:tr w:rsidR="00EB0FE9" w:rsidRPr="00EB0FE9" w14:paraId="6C313CB1" w14:textId="77777777" w:rsidTr="00EB0FE9">
        <w:trPr>
          <w:trHeight w:val="330"/>
        </w:trPr>
        <w:tc>
          <w:tcPr>
            <w:tcW w:w="3578" w:type="dxa"/>
            <w:tcBorders>
              <w:top w:val="nil"/>
              <w:left w:val="single" w:sz="4" w:space="0" w:color="auto"/>
              <w:bottom w:val="single" w:sz="4" w:space="0" w:color="auto"/>
              <w:right w:val="single" w:sz="4" w:space="0" w:color="auto"/>
            </w:tcBorders>
            <w:shd w:val="clear" w:color="auto" w:fill="FFFFFF"/>
            <w:vAlign w:val="center"/>
          </w:tcPr>
          <w:p w14:paraId="302F8832"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 xml:space="preserve">Ընդամենը, </w:t>
            </w:r>
            <w:r w:rsidRPr="00EB0FE9">
              <w:rPr>
                <w:rFonts w:eastAsia="Times New Roman" w:cs="Times New Roman"/>
                <w:bCs/>
                <w:sz w:val="22"/>
                <w:szCs w:val="22"/>
              </w:rPr>
              <w:t>որից՝</w:t>
            </w:r>
          </w:p>
        </w:tc>
        <w:tc>
          <w:tcPr>
            <w:tcW w:w="1134" w:type="dxa"/>
            <w:tcBorders>
              <w:top w:val="nil"/>
              <w:left w:val="nil"/>
              <w:bottom w:val="single" w:sz="4" w:space="0" w:color="auto"/>
              <w:right w:val="single" w:sz="4" w:space="0" w:color="auto"/>
            </w:tcBorders>
            <w:shd w:val="clear" w:color="auto" w:fill="FFFFFF"/>
            <w:vAlign w:val="center"/>
          </w:tcPr>
          <w:p w14:paraId="2A88B298"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1,341.</w:t>
            </w:r>
            <w:r w:rsidRPr="00EB0FE9">
              <w:rPr>
                <w:rFonts w:eastAsia="Times New Roman" w:cs="Times New Roman"/>
                <w:sz w:val="22"/>
                <w:szCs w:val="22"/>
                <w:lang w:val="en-US"/>
              </w:rPr>
              <w:t>69</w:t>
            </w:r>
            <w:r w:rsidRPr="00EB0FE9">
              <w:rPr>
                <w:rFonts w:eastAsia="Times New Roman" w:cs="Times New Roman"/>
                <w:sz w:val="22"/>
                <w:szCs w:val="22"/>
              </w:rPr>
              <w:t xml:space="preserve">        </w:t>
            </w:r>
          </w:p>
        </w:tc>
        <w:tc>
          <w:tcPr>
            <w:tcW w:w="992" w:type="dxa"/>
            <w:tcBorders>
              <w:top w:val="nil"/>
              <w:left w:val="nil"/>
              <w:bottom w:val="single" w:sz="4" w:space="0" w:color="auto"/>
              <w:right w:val="single" w:sz="4" w:space="0" w:color="auto"/>
            </w:tcBorders>
            <w:shd w:val="clear" w:color="auto" w:fill="FFFFFF"/>
            <w:noWrap/>
            <w:vAlign w:val="center"/>
          </w:tcPr>
          <w:p w14:paraId="59382F2F"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100.0%</w:t>
            </w:r>
          </w:p>
        </w:tc>
        <w:tc>
          <w:tcPr>
            <w:tcW w:w="1062" w:type="dxa"/>
            <w:tcBorders>
              <w:top w:val="nil"/>
              <w:left w:val="nil"/>
              <w:bottom w:val="single" w:sz="4" w:space="0" w:color="auto"/>
              <w:right w:val="single" w:sz="4" w:space="0" w:color="auto"/>
            </w:tcBorders>
            <w:shd w:val="clear" w:color="auto" w:fill="auto"/>
            <w:vAlign w:val="center"/>
          </w:tcPr>
          <w:p w14:paraId="5B77003B"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1,565.5</w:t>
            </w:r>
          </w:p>
        </w:tc>
        <w:tc>
          <w:tcPr>
            <w:tcW w:w="1065" w:type="dxa"/>
            <w:tcBorders>
              <w:top w:val="nil"/>
              <w:left w:val="nil"/>
              <w:bottom w:val="single" w:sz="4" w:space="0" w:color="auto"/>
              <w:right w:val="single" w:sz="4" w:space="0" w:color="auto"/>
            </w:tcBorders>
            <w:shd w:val="clear" w:color="auto" w:fill="auto"/>
            <w:noWrap/>
            <w:vAlign w:val="center"/>
          </w:tcPr>
          <w:p w14:paraId="7F50AF52"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100.0%</w:t>
            </w:r>
          </w:p>
        </w:tc>
        <w:tc>
          <w:tcPr>
            <w:tcW w:w="1110" w:type="dxa"/>
            <w:tcBorders>
              <w:top w:val="single" w:sz="4" w:space="0" w:color="auto"/>
              <w:left w:val="nil"/>
              <w:bottom w:val="single" w:sz="4" w:space="0" w:color="auto"/>
              <w:right w:val="single" w:sz="4" w:space="0" w:color="auto"/>
            </w:tcBorders>
            <w:shd w:val="clear" w:color="auto" w:fill="auto"/>
            <w:vAlign w:val="center"/>
          </w:tcPr>
          <w:p w14:paraId="5562DF77"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1,695.0</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D23A9AD"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100.0%</w:t>
            </w:r>
          </w:p>
        </w:tc>
      </w:tr>
      <w:tr w:rsidR="00EB0FE9" w:rsidRPr="00EB0FE9" w14:paraId="0B784260" w14:textId="77777777" w:rsidTr="00EB0FE9">
        <w:trPr>
          <w:trHeight w:val="660"/>
        </w:trPr>
        <w:tc>
          <w:tcPr>
            <w:tcW w:w="3578" w:type="dxa"/>
            <w:tcBorders>
              <w:top w:val="nil"/>
              <w:left w:val="single" w:sz="4" w:space="0" w:color="auto"/>
              <w:bottom w:val="single" w:sz="4" w:space="0" w:color="auto"/>
              <w:right w:val="single" w:sz="4" w:space="0" w:color="auto"/>
            </w:tcBorders>
            <w:shd w:val="clear" w:color="auto" w:fill="FFFFFF"/>
            <w:vAlign w:val="center"/>
          </w:tcPr>
          <w:p w14:paraId="37F25341" w14:textId="77777777" w:rsidR="00EB0FE9" w:rsidRPr="00EB0FE9" w:rsidRDefault="00EB0FE9" w:rsidP="00EB0FE9">
            <w:pPr>
              <w:spacing w:after="0"/>
              <w:jc w:val="left"/>
              <w:rPr>
                <w:rFonts w:eastAsia="Times New Roman" w:cs="Times New Roman"/>
                <w:sz w:val="22"/>
                <w:szCs w:val="22"/>
              </w:rPr>
            </w:pPr>
            <w:r w:rsidRPr="00EB0FE9">
              <w:rPr>
                <w:rFonts w:eastAsia="Times New Roman" w:cs="Times New Roman"/>
                <w:sz w:val="22"/>
                <w:szCs w:val="22"/>
              </w:rPr>
              <w:t>1. Հարկային եկամուտներ և պետական տուրքեր</w:t>
            </w:r>
          </w:p>
        </w:tc>
        <w:tc>
          <w:tcPr>
            <w:tcW w:w="1134" w:type="dxa"/>
            <w:tcBorders>
              <w:top w:val="nil"/>
              <w:left w:val="nil"/>
              <w:bottom w:val="single" w:sz="4" w:space="0" w:color="auto"/>
              <w:right w:val="single" w:sz="4" w:space="0" w:color="auto"/>
            </w:tcBorders>
            <w:shd w:val="clear" w:color="auto" w:fill="FFFFFF"/>
            <w:noWrap/>
            <w:vAlign w:val="center"/>
          </w:tcPr>
          <w:p w14:paraId="6670AF51" w14:textId="77777777" w:rsidR="00EB0FE9" w:rsidRPr="00EB0FE9" w:rsidRDefault="00EB0FE9" w:rsidP="00EB0FE9">
            <w:pPr>
              <w:spacing w:after="0"/>
              <w:rPr>
                <w:rFonts w:eastAsia="Times New Roman" w:cs="Times New Roman"/>
                <w:sz w:val="22"/>
                <w:szCs w:val="22"/>
                <w:lang w:val="en-US"/>
              </w:rPr>
            </w:pPr>
            <w:r w:rsidRPr="00EB0FE9">
              <w:rPr>
                <w:rFonts w:eastAsia="Times New Roman" w:cs="Times New Roman"/>
                <w:sz w:val="22"/>
                <w:szCs w:val="22"/>
              </w:rPr>
              <w:t>1,258.1</w:t>
            </w:r>
            <w:r w:rsidRPr="00EB0FE9">
              <w:rPr>
                <w:rFonts w:eastAsia="Times New Roman" w:cs="Times New Roman"/>
                <w:sz w:val="22"/>
                <w:szCs w:val="22"/>
                <w:lang w:val="en-US"/>
              </w:rPr>
              <w:t>2</w:t>
            </w:r>
          </w:p>
        </w:tc>
        <w:tc>
          <w:tcPr>
            <w:tcW w:w="992" w:type="dxa"/>
            <w:tcBorders>
              <w:top w:val="nil"/>
              <w:left w:val="nil"/>
              <w:bottom w:val="single" w:sz="4" w:space="0" w:color="auto"/>
              <w:right w:val="single" w:sz="4" w:space="0" w:color="auto"/>
            </w:tcBorders>
            <w:shd w:val="clear" w:color="auto" w:fill="FFFFFF"/>
            <w:noWrap/>
            <w:vAlign w:val="center"/>
          </w:tcPr>
          <w:p w14:paraId="0C0293F1"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93.8%</w:t>
            </w:r>
          </w:p>
        </w:tc>
        <w:tc>
          <w:tcPr>
            <w:tcW w:w="1062" w:type="dxa"/>
            <w:tcBorders>
              <w:top w:val="nil"/>
              <w:left w:val="nil"/>
              <w:bottom w:val="single" w:sz="4" w:space="0" w:color="auto"/>
              <w:right w:val="single" w:sz="4" w:space="0" w:color="auto"/>
            </w:tcBorders>
            <w:shd w:val="clear" w:color="auto" w:fill="auto"/>
            <w:noWrap/>
            <w:vAlign w:val="center"/>
          </w:tcPr>
          <w:p w14:paraId="59F22C09"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1,464.3</w:t>
            </w:r>
          </w:p>
        </w:tc>
        <w:tc>
          <w:tcPr>
            <w:tcW w:w="1065" w:type="dxa"/>
            <w:tcBorders>
              <w:top w:val="nil"/>
              <w:left w:val="nil"/>
              <w:bottom w:val="single" w:sz="4" w:space="0" w:color="auto"/>
              <w:right w:val="single" w:sz="4" w:space="0" w:color="auto"/>
            </w:tcBorders>
            <w:shd w:val="clear" w:color="auto" w:fill="auto"/>
            <w:noWrap/>
            <w:vAlign w:val="center"/>
          </w:tcPr>
          <w:p w14:paraId="3A904AE8"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93.5%</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4C9686DD"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1,602.3</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5C0AB4B"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94.5%</w:t>
            </w:r>
          </w:p>
        </w:tc>
      </w:tr>
      <w:tr w:rsidR="00EB0FE9" w:rsidRPr="00EB0FE9" w14:paraId="020042D6" w14:textId="77777777" w:rsidTr="00EB0FE9">
        <w:trPr>
          <w:trHeight w:val="330"/>
        </w:trPr>
        <w:tc>
          <w:tcPr>
            <w:tcW w:w="3578" w:type="dxa"/>
            <w:tcBorders>
              <w:top w:val="nil"/>
              <w:left w:val="single" w:sz="4" w:space="0" w:color="auto"/>
              <w:bottom w:val="single" w:sz="4" w:space="0" w:color="auto"/>
              <w:right w:val="single" w:sz="4" w:space="0" w:color="auto"/>
            </w:tcBorders>
            <w:shd w:val="clear" w:color="auto" w:fill="FFFFFF"/>
            <w:vAlign w:val="center"/>
          </w:tcPr>
          <w:p w14:paraId="1F972675" w14:textId="77777777" w:rsidR="00EB0FE9" w:rsidRPr="00EB0FE9" w:rsidRDefault="00EB0FE9" w:rsidP="00EB0FE9">
            <w:pPr>
              <w:spacing w:after="0"/>
              <w:jc w:val="left"/>
              <w:rPr>
                <w:rFonts w:eastAsia="Times New Roman" w:cs="Times New Roman"/>
                <w:sz w:val="22"/>
                <w:szCs w:val="22"/>
              </w:rPr>
            </w:pPr>
            <w:r w:rsidRPr="00EB0FE9">
              <w:rPr>
                <w:rFonts w:eastAsia="Times New Roman" w:cs="Times New Roman"/>
                <w:sz w:val="22"/>
                <w:szCs w:val="22"/>
              </w:rPr>
              <w:t>2. Պաշտոնական դրամաշնորհներ</w:t>
            </w:r>
          </w:p>
        </w:tc>
        <w:tc>
          <w:tcPr>
            <w:tcW w:w="1134" w:type="dxa"/>
            <w:tcBorders>
              <w:top w:val="nil"/>
              <w:left w:val="nil"/>
              <w:bottom w:val="single" w:sz="4" w:space="0" w:color="auto"/>
              <w:right w:val="single" w:sz="4" w:space="0" w:color="auto"/>
            </w:tcBorders>
            <w:shd w:val="clear" w:color="auto" w:fill="FFFFFF"/>
            <w:noWrap/>
            <w:vAlign w:val="center"/>
          </w:tcPr>
          <w:p w14:paraId="04AB1838" w14:textId="77777777" w:rsidR="00EB0FE9" w:rsidRPr="00EB0FE9" w:rsidRDefault="00EB0FE9" w:rsidP="00EB0FE9">
            <w:pPr>
              <w:spacing w:after="0"/>
              <w:rPr>
                <w:rFonts w:eastAsia="Times New Roman" w:cs="Times New Roman"/>
                <w:sz w:val="22"/>
                <w:szCs w:val="22"/>
                <w:lang w:val="en-US"/>
              </w:rPr>
            </w:pPr>
            <w:r w:rsidRPr="00EB0FE9">
              <w:rPr>
                <w:rFonts w:eastAsia="Times New Roman" w:cs="Times New Roman"/>
                <w:sz w:val="22"/>
                <w:szCs w:val="22"/>
              </w:rPr>
              <w:t>11.</w:t>
            </w:r>
            <w:r w:rsidRPr="00EB0FE9">
              <w:rPr>
                <w:rFonts w:eastAsia="Times New Roman" w:cs="Times New Roman"/>
                <w:sz w:val="22"/>
                <w:szCs w:val="22"/>
                <w:lang w:val="en-US"/>
              </w:rPr>
              <w:t>24</w:t>
            </w:r>
          </w:p>
        </w:tc>
        <w:tc>
          <w:tcPr>
            <w:tcW w:w="992" w:type="dxa"/>
            <w:tcBorders>
              <w:top w:val="nil"/>
              <w:left w:val="nil"/>
              <w:bottom w:val="single" w:sz="4" w:space="0" w:color="auto"/>
              <w:right w:val="single" w:sz="4" w:space="0" w:color="auto"/>
            </w:tcBorders>
            <w:shd w:val="clear" w:color="auto" w:fill="FFFFFF"/>
            <w:noWrap/>
            <w:vAlign w:val="center"/>
          </w:tcPr>
          <w:p w14:paraId="32CCDB49"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0.8%</w:t>
            </w:r>
          </w:p>
        </w:tc>
        <w:tc>
          <w:tcPr>
            <w:tcW w:w="1062" w:type="dxa"/>
            <w:tcBorders>
              <w:top w:val="nil"/>
              <w:left w:val="nil"/>
              <w:bottom w:val="single" w:sz="4" w:space="0" w:color="auto"/>
              <w:right w:val="single" w:sz="4" w:space="0" w:color="auto"/>
            </w:tcBorders>
            <w:shd w:val="clear" w:color="auto" w:fill="auto"/>
            <w:noWrap/>
            <w:vAlign w:val="center"/>
          </w:tcPr>
          <w:p w14:paraId="7805492C"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12.4</w:t>
            </w:r>
          </w:p>
        </w:tc>
        <w:tc>
          <w:tcPr>
            <w:tcW w:w="1065" w:type="dxa"/>
            <w:tcBorders>
              <w:top w:val="nil"/>
              <w:left w:val="nil"/>
              <w:bottom w:val="single" w:sz="4" w:space="0" w:color="auto"/>
              <w:right w:val="single" w:sz="4" w:space="0" w:color="auto"/>
            </w:tcBorders>
            <w:shd w:val="clear" w:color="auto" w:fill="auto"/>
            <w:noWrap/>
            <w:vAlign w:val="center"/>
          </w:tcPr>
          <w:p w14:paraId="7DD50C06"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0.8%</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713B49DF"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35.3</w:t>
            </w: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A8DEE6B"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2.1%</w:t>
            </w:r>
          </w:p>
        </w:tc>
      </w:tr>
      <w:tr w:rsidR="00EB0FE9" w:rsidRPr="00EB0FE9" w14:paraId="650E3E32" w14:textId="77777777" w:rsidTr="00EB0FE9">
        <w:trPr>
          <w:trHeight w:val="475"/>
        </w:trPr>
        <w:tc>
          <w:tcPr>
            <w:tcW w:w="3578" w:type="dxa"/>
            <w:tcBorders>
              <w:top w:val="nil"/>
              <w:left w:val="single" w:sz="4" w:space="0" w:color="auto"/>
              <w:bottom w:val="single" w:sz="4" w:space="0" w:color="auto"/>
              <w:right w:val="single" w:sz="4" w:space="0" w:color="auto"/>
            </w:tcBorders>
            <w:shd w:val="clear" w:color="auto" w:fill="FFFFFF"/>
            <w:vAlign w:val="center"/>
          </w:tcPr>
          <w:p w14:paraId="5F10B58D"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3. Այլ եկամուտներ</w:t>
            </w:r>
          </w:p>
        </w:tc>
        <w:tc>
          <w:tcPr>
            <w:tcW w:w="1134" w:type="dxa"/>
            <w:tcBorders>
              <w:top w:val="nil"/>
              <w:left w:val="nil"/>
              <w:bottom w:val="single" w:sz="4" w:space="0" w:color="auto"/>
              <w:right w:val="single" w:sz="4" w:space="0" w:color="auto"/>
            </w:tcBorders>
            <w:shd w:val="clear" w:color="auto" w:fill="FFFFFF"/>
            <w:noWrap/>
            <w:vAlign w:val="center"/>
          </w:tcPr>
          <w:p w14:paraId="1F11C9B4" w14:textId="77777777" w:rsidR="00EB0FE9" w:rsidRPr="00EB0FE9" w:rsidRDefault="00EB0FE9" w:rsidP="00EB0FE9">
            <w:pPr>
              <w:spacing w:after="0"/>
              <w:rPr>
                <w:rFonts w:eastAsia="Times New Roman" w:cs="Times New Roman"/>
                <w:sz w:val="22"/>
                <w:szCs w:val="22"/>
                <w:lang w:val="en-US"/>
              </w:rPr>
            </w:pPr>
            <w:r w:rsidRPr="00EB0FE9">
              <w:rPr>
                <w:rFonts w:eastAsia="Times New Roman" w:cs="Times New Roman"/>
                <w:sz w:val="22"/>
                <w:szCs w:val="22"/>
              </w:rPr>
              <w:t>72.3</w:t>
            </w:r>
            <w:r w:rsidRPr="00EB0FE9">
              <w:rPr>
                <w:rFonts w:eastAsia="Times New Roman" w:cs="Times New Roman"/>
                <w:sz w:val="22"/>
                <w:szCs w:val="22"/>
                <w:lang w:val="en-US"/>
              </w:rPr>
              <w:t>3</w:t>
            </w:r>
          </w:p>
        </w:tc>
        <w:tc>
          <w:tcPr>
            <w:tcW w:w="992" w:type="dxa"/>
            <w:tcBorders>
              <w:top w:val="nil"/>
              <w:left w:val="nil"/>
              <w:bottom w:val="single" w:sz="4" w:space="0" w:color="auto"/>
              <w:right w:val="single" w:sz="4" w:space="0" w:color="auto"/>
            </w:tcBorders>
            <w:shd w:val="clear" w:color="auto" w:fill="FFFFFF"/>
            <w:noWrap/>
            <w:vAlign w:val="center"/>
          </w:tcPr>
          <w:p w14:paraId="0873C2F4"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5.4%</w:t>
            </w:r>
          </w:p>
        </w:tc>
        <w:tc>
          <w:tcPr>
            <w:tcW w:w="1062" w:type="dxa"/>
            <w:tcBorders>
              <w:top w:val="nil"/>
              <w:left w:val="nil"/>
              <w:bottom w:val="single" w:sz="4" w:space="0" w:color="auto"/>
              <w:right w:val="single" w:sz="4" w:space="0" w:color="auto"/>
            </w:tcBorders>
            <w:shd w:val="clear" w:color="auto" w:fill="auto"/>
            <w:noWrap/>
            <w:vAlign w:val="center"/>
          </w:tcPr>
          <w:p w14:paraId="5C0AC5D5"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88.8</w:t>
            </w:r>
          </w:p>
        </w:tc>
        <w:tc>
          <w:tcPr>
            <w:tcW w:w="1065" w:type="dxa"/>
            <w:tcBorders>
              <w:top w:val="nil"/>
              <w:left w:val="nil"/>
              <w:bottom w:val="single" w:sz="4" w:space="0" w:color="auto"/>
              <w:right w:val="single" w:sz="4" w:space="0" w:color="auto"/>
            </w:tcBorders>
            <w:shd w:val="clear" w:color="auto" w:fill="auto"/>
            <w:noWrap/>
            <w:vAlign w:val="center"/>
          </w:tcPr>
          <w:p w14:paraId="24546940"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5.7%</w:t>
            </w:r>
          </w:p>
        </w:tc>
        <w:tc>
          <w:tcPr>
            <w:tcW w:w="1110" w:type="dxa"/>
            <w:tcBorders>
              <w:top w:val="nil"/>
              <w:left w:val="nil"/>
              <w:bottom w:val="single" w:sz="4" w:space="0" w:color="auto"/>
              <w:right w:val="single" w:sz="4" w:space="0" w:color="auto"/>
            </w:tcBorders>
            <w:shd w:val="clear" w:color="auto" w:fill="auto"/>
            <w:noWrap/>
            <w:vAlign w:val="center"/>
          </w:tcPr>
          <w:p w14:paraId="5556932A"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 xml:space="preserve"> 57.4</w:t>
            </w:r>
          </w:p>
        </w:tc>
        <w:tc>
          <w:tcPr>
            <w:tcW w:w="1016" w:type="dxa"/>
            <w:tcBorders>
              <w:top w:val="nil"/>
              <w:left w:val="nil"/>
              <w:bottom w:val="single" w:sz="4" w:space="0" w:color="auto"/>
              <w:right w:val="single" w:sz="4" w:space="0" w:color="auto"/>
            </w:tcBorders>
            <w:shd w:val="clear" w:color="auto" w:fill="auto"/>
            <w:noWrap/>
            <w:vAlign w:val="center"/>
          </w:tcPr>
          <w:p w14:paraId="7558A711" w14:textId="77777777" w:rsidR="00EB0FE9" w:rsidRPr="00EB0FE9" w:rsidRDefault="00EB0FE9" w:rsidP="00EB0FE9">
            <w:pPr>
              <w:spacing w:after="0"/>
              <w:rPr>
                <w:rFonts w:eastAsia="Times New Roman" w:cs="Times New Roman"/>
                <w:sz w:val="22"/>
                <w:szCs w:val="22"/>
              </w:rPr>
            </w:pPr>
            <w:r w:rsidRPr="00EB0FE9">
              <w:rPr>
                <w:rFonts w:eastAsia="Times New Roman" w:cs="Times New Roman"/>
                <w:sz w:val="22"/>
                <w:szCs w:val="22"/>
              </w:rPr>
              <w:t>3.4%</w:t>
            </w:r>
          </w:p>
        </w:tc>
      </w:tr>
    </w:tbl>
    <w:p w14:paraId="6E74EA4A"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Հայաստանի Հանրապետության 2020 թվականի պետական բյուջեի կատարումն ապահովող միջոցառումների մասին ՀՀ կառավարության 2019 թվականի 26 դեկտեմբերի N 1919–Ն որոշմամբ (Հավելված 2) Հայաստանի Հանրապետության 2020 թվականի պետական բյուջեի եկամուտների հավաքագրման եռամսյակային բաշխումն` ըստ եկամուտների ձևավորման աղբյուրների դասակարգման առանձին խմբերի հաստատվել է հետևյալ համամասնությամբ.</w:t>
      </w:r>
    </w:p>
    <w:p w14:paraId="164D08D4" w14:textId="77777777" w:rsidR="00EB0FE9" w:rsidRPr="00EB0FE9" w:rsidRDefault="00EB0FE9" w:rsidP="00EB0FE9">
      <w:pPr>
        <w:spacing w:after="0"/>
        <w:ind w:firstLine="567"/>
        <w:rPr>
          <w:rFonts w:eastAsia="Times New Roman" w:cs="Times New Roman"/>
        </w:rPr>
      </w:pPr>
      <w:r w:rsidRPr="00EB0FE9">
        <w:rPr>
          <w:rFonts w:eastAsia="Times New Roman" w:cs="Times New Roman"/>
        </w:rPr>
        <w:t xml:space="preserve"> </w:t>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p>
    <w:p w14:paraId="3F844D56" w14:textId="77777777" w:rsidR="002F56CA" w:rsidRDefault="00EB0FE9" w:rsidP="00EB0FE9">
      <w:pPr>
        <w:spacing w:after="0"/>
        <w:ind w:firstLine="567"/>
        <w:jc w:val="right"/>
        <w:rPr>
          <w:rFonts w:eastAsia="Times New Roman" w:cs="Times New Roman"/>
        </w:rPr>
      </w:pPr>
      <w:r w:rsidRPr="00EB0FE9">
        <w:rPr>
          <w:rFonts w:eastAsia="Times New Roman" w:cs="Times New Roman"/>
        </w:rPr>
        <w:tab/>
      </w:r>
      <w:r w:rsidRPr="00EB0FE9">
        <w:rPr>
          <w:rFonts w:eastAsia="Times New Roman" w:cs="Times New Roman"/>
        </w:rPr>
        <w:tab/>
      </w:r>
    </w:p>
    <w:p w14:paraId="41D57076" w14:textId="77777777" w:rsidR="002F56CA" w:rsidRDefault="002F56CA" w:rsidP="00EB0FE9">
      <w:pPr>
        <w:spacing w:after="0"/>
        <w:ind w:firstLine="567"/>
        <w:jc w:val="right"/>
        <w:rPr>
          <w:rFonts w:eastAsia="Times New Roman" w:cs="Times New Roman"/>
        </w:rPr>
      </w:pPr>
    </w:p>
    <w:p w14:paraId="4F19676E" w14:textId="77777777" w:rsidR="002F56CA" w:rsidRDefault="002F56CA" w:rsidP="00EB0FE9">
      <w:pPr>
        <w:spacing w:after="0"/>
        <w:ind w:firstLine="567"/>
        <w:jc w:val="right"/>
        <w:rPr>
          <w:rFonts w:eastAsia="Times New Roman" w:cs="Times New Roman"/>
        </w:rPr>
      </w:pPr>
    </w:p>
    <w:p w14:paraId="24586EE1" w14:textId="34482753" w:rsidR="00EB0FE9" w:rsidRPr="00EB0FE9" w:rsidRDefault="00EB0FE9" w:rsidP="00EB0FE9">
      <w:pPr>
        <w:spacing w:after="0"/>
        <w:ind w:firstLine="567"/>
        <w:jc w:val="right"/>
        <w:rPr>
          <w:rFonts w:eastAsia="Times New Roman" w:cs="Times New Roman"/>
          <w:sz w:val="22"/>
          <w:szCs w:val="22"/>
        </w:rPr>
      </w:pPr>
      <w:r w:rsidRPr="00EB0FE9">
        <w:rPr>
          <w:rFonts w:eastAsia="Times New Roman" w:cs="Times New Roman"/>
        </w:rPr>
        <w:lastRenderedPageBreak/>
        <w:tab/>
      </w:r>
      <w:r w:rsidRPr="00EB0FE9">
        <w:rPr>
          <w:rFonts w:eastAsia="Times New Roman" w:cs="Times New Roman"/>
        </w:rPr>
        <w:tab/>
        <w:t xml:space="preserve"> </w:t>
      </w:r>
      <w:r w:rsidRPr="00EB0FE9">
        <w:rPr>
          <w:rFonts w:eastAsia="Times New Roman" w:cs="Times New Roman"/>
          <w:sz w:val="22"/>
          <w:szCs w:val="22"/>
        </w:rPr>
        <w:t>(Աղյուսակ 2)</w:t>
      </w:r>
    </w:p>
    <w:p w14:paraId="6FA27A9D" w14:textId="77777777" w:rsidR="00EB0FE9" w:rsidRPr="00EB0FE9" w:rsidRDefault="00EB0FE9" w:rsidP="00EB0FE9">
      <w:pPr>
        <w:spacing w:after="0"/>
        <w:ind w:firstLine="567"/>
        <w:jc w:val="right"/>
        <w:rPr>
          <w:rFonts w:eastAsia="Times New Roman" w:cs="Times New Roman"/>
          <w:sz w:val="22"/>
          <w:szCs w:val="22"/>
        </w:rPr>
      </w:pPr>
      <w:r w:rsidRPr="00EB0FE9">
        <w:rPr>
          <w:rFonts w:eastAsia="Times New Roman" w:cs="Times New Roman"/>
          <w:sz w:val="22"/>
          <w:szCs w:val="22"/>
        </w:rPr>
        <w:t>հազ</w:t>
      </w:r>
      <w:r w:rsidRPr="00EB0FE9">
        <w:rPr>
          <w:rFonts w:eastAsia="Times New Roman" w:cs="Cambria Math"/>
          <w:sz w:val="22"/>
          <w:szCs w:val="22"/>
        </w:rPr>
        <w:t>.</w:t>
      </w:r>
      <w:r w:rsidRPr="00EB0FE9">
        <w:rPr>
          <w:rFonts w:eastAsia="Times New Roman" w:cs="Times New Roman"/>
          <w:sz w:val="22"/>
          <w:szCs w:val="22"/>
        </w:rPr>
        <w:t>դրամ</w:t>
      </w:r>
    </w:p>
    <w:tbl>
      <w:tblPr>
        <w:tblW w:w="10060" w:type="dxa"/>
        <w:tblLook w:val="04A0" w:firstRow="1" w:lastRow="0" w:firstColumn="1" w:lastColumn="0" w:noHBand="0" w:noVBand="1"/>
      </w:tblPr>
      <w:tblGrid>
        <w:gridCol w:w="2830"/>
        <w:gridCol w:w="1701"/>
        <w:gridCol w:w="1843"/>
        <w:gridCol w:w="1843"/>
        <w:gridCol w:w="1843"/>
      </w:tblGrid>
      <w:tr w:rsidR="00EB0FE9" w:rsidRPr="00EB0FE9" w14:paraId="5C844963" w14:textId="77777777" w:rsidTr="004C02CC">
        <w:trPr>
          <w:trHeight w:val="62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6C0D0" w14:textId="77777777" w:rsidR="00EB0FE9" w:rsidRPr="00EB0FE9" w:rsidRDefault="00EB0FE9" w:rsidP="00EB0FE9">
            <w:pPr>
              <w:spacing w:after="120"/>
              <w:ind w:firstLine="22"/>
              <w:jc w:val="center"/>
              <w:rPr>
                <w:rFonts w:eastAsia="Times New Roman" w:cs="Times New Roman"/>
                <w:b/>
                <w:bCs/>
                <w:sz w:val="22"/>
                <w:szCs w:val="22"/>
                <w:lang w:eastAsia="ru-RU"/>
              </w:rPr>
            </w:pPr>
            <w:r w:rsidRPr="00EB0FE9">
              <w:rPr>
                <w:rFonts w:eastAsia="Times New Roman" w:cs="Times New Roman"/>
                <w:b/>
                <w:bCs/>
                <w:sz w:val="22"/>
                <w:szCs w:val="22"/>
                <w:lang w:eastAsia="ru-RU"/>
              </w:rPr>
              <w:t>Եկամտատեսակ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5FB512" w14:textId="77777777" w:rsidR="00EB0FE9" w:rsidRPr="00EB0FE9" w:rsidRDefault="00EB0FE9" w:rsidP="00EB0FE9">
            <w:pPr>
              <w:spacing w:after="120"/>
              <w:jc w:val="center"/>
              <w:rPr>
                <w:rFonts w:eastAsia="Times New Roman" w:cs="Times New Roman"/>
                <w:b/>
                <w:bCs/>
                <w:sz w:val="22"/>
                <w:szCs w:val="22"/>
                <w:lang w:eastAsia="ru-RU"/>
              </w:rPr>
            </w:pPr>
            <w:r w:rsidRPr="00EB0FE9">
              <w:rPr>
                <w:rFonts w:eastAsia="Times New Roman" w:cs="Times New Roman"/>
                <w:b/>
                <w:bCs/>
                <w:sz w:val="22"/>
                <w:szCs w:val="22"/>
                <w:lang w:eastAsia="ru-RU"/>
              </w:rPr>
              <w:t>Առաջին եռամսյակ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B22E48" w14:textId="77777777" w:rsidR="00EB0FE9" w:rsidRPr="00EB0FE9" w:rsidRDefault="00EB0FE9" w:rsidP="00EB0FE9">
            <w:pPr>
              <w:spacing w:after="120"/>
              <w:jc w:val="center"/>
              <w:rPr>
                <w:rFonts w:eastAsia="Times New Roman" w:cs="Times New Roman"/>
                <w:b/>
                <w:bCs/>
                <w:sz w:val="22"/>
                <w:szCs w:val="22"/>
                <w:lang w:eastAsia="ru-RU"/>
              </w:rPr>
            </w:pPr>
            <w:r w:rsidRPr="00EB0FE9">
              <w:rPr>
                <w:rFonts w:eastAsia="Times New Roman" w:cs="Times New Roman"/>
                <w:b/>
                <w:bCs/>
                <w:sz w:val="22"/>
                <w:szCs w:val="22"/>
                <w:lang w:eastAsia="ru-RU"/>
              </w:rPr>
              <w:t>Առաջին կիսամյակ</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A66995" w14:textId="77777777" w:rsidR="00EB0FE9" w:rsidRPr="00EB0FE9" w:rsidRDefault="00EB0FE9" w:rsidP="00EB0FE9">
            <w:pPr>
              <w:spacing w:after="120"/>
              <w:jc w:val="center"/>
              <w:rPr>
                <w:rFonts w:eastAsia="Times New Roman" w:cs="Times New Roman"/>
                <w:b/>
                <w:bCs/>
                <w:sz w:val="22"/>
                <w:szCs w:val="22"/>
                <w:lang w:eastAsia="ru-RU"/>
              </w:rPr>
            </w:pPr>
            <w:r w:rsidRPr="00EB0FE9">
              <w:rPr>
                <w:rFonts w:eastAsia="Times New Roman" w:cs="Times New Roman"/>
                <w:b/>
                <w:bCs/>
                <w:sz w:val="22"/>
                <w:szCs w:val="22"/>
                <w:lang w:eastAsia="ru-RU"/>
              </w:rPr>
              <w:t>Ինն ամիս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32D50DE" w14:textId="77777777" w:rsidR="00EB0FE9" w:rsidRPr="00EB0FE9" w:rsidRDefault="00EB0FE9" w:rsidP="00EB0FE9">
            <w:pPr>
              <w:spacing w:after="120"/>
              <w:jc w:val="center"/>
              <w:rPr>
                <w:rFonts w:eastAsia="Times New Roman" w:cs="Times New Roman"/>
                <w:b/>
                <w:bCs/>
                <w:sz w:val="22"/>
                <w:szCs w:val="22"/>
                <w:lang w:eastAsia="ru-RU"/>
              </w:rPr>
            </w:pPr>
            <w:r w:rsidRPr="00EB0FE9">
              <w:rPr>
                <w:rFonts w:eastAsia="Times New Roman" w:cs="Times New Roman"/>
                <w:b/>
                <w:bCs/>
                <w:sz w:val="22"/>
                <w:szCs w:val="22"/>
                <w:lang w:eastAsia="ru-RU"/>
              </w:rPr>
              <w:t>Տարի</w:t>
            </w:r>
          </w:p>
        </w:tc>
      </w:tr>
      <w:tr w:rsidR="00EB0FE9" w:rsidRPr="00EB0FE9" w14:paraId="778B99E6" w14:textId="77777777" w:rsidTr="004C02CC">
        <w:trPr>
          <w:trHeight w:val="48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A0034A7" w14:textId="77777777" w:rsidR="00EB0FE9" w:rsidRPr="00EB0FE9" w:rsidRDefault="00EB0FE9" w:rsidP="00EB0FE9">
            <w:pPr>
              <w:spacing w:after="120"/>
              <w:ind w:firstLine="22"/>
              <w:jc w:val="left"/>
              <w:rPr>
                <w:rFonts w:eastAsia="Times New Roman" w:cs="Times New Roman"/>
                <w:sz w:val="22"/>
                <w:szCs w:val="22"/>
                <w:lang w:eastAsia="ru-RU"/>
              </w:rPr>
            </w:pPr>
            <w:r w:rsidRPr="00EB0FE9">
              <w:rPr>
                <w:rFonts w:eastAsia="Times New Roman" w:cs="Times New Roman"/>
                <w:sz w:val="22"/>
                <w:szCs w:val="22"/>
                <w:lang w:eastAsia="ru-RU"/>
              </w:rPr>
              <w:t>Պետական բյուջեի եկամուտներ</w:t>
            </w:r>
          </w:p>
        </w:tc>
        <w:tc>
          <w:tcPr>
            <w:tcW w:w="1701" w:type="dxa"/>
            <w:tcBorders>
              <w:top w:val="nil"/>
              <w:left w:val="nil"/>
              <w:bottom w:val="single" w:sz="4" w:space="0" w:color="auto"/>
              <w:right w:val="single" w:sz="4" w:space="0" w:color="auto"/>
            </w:tcBorders>
            <w:shd w:val="clear" w:color="auto" w:fill="auto"/>
            <w:vAlign w:val="center"/>
            <w:hideMark/>
          </w:tcPr>
          <w:p w14:paraId="54F0D4C4"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357,837,487</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361F44D6"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808,147,342</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14:paraId="68A09337"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1,218,708,774</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733C9E23"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1,695,195,470</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0</w:t>
            </w:r>
          </w:p>
        </w:tc>
      </w:tr>
      <w:tr w:rsidR="00EB0FE9" w:rsidRPr="00EB0FE9" w14:paraId="1A4293DC" w14:textId="77777777" w:rsidTr="004C02CC">
        <w:trPr>
          <w:trHeight w:val="6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19C100E" w14:textId="77777777" w:rsidR="00EB0FE9" w:rsidRPr="00EB0FE9" w:rsidRDefault="00EB0FE9" w:rsidP="00EB0FE9">
            <w:pPr>
              <w:spacing w:after="120"/>
              <w:ind w:firstLine="22"/>
              <w:jc w:val="left"/>
              <w:rPr>
                <w:rFonts w:eastAsia="Times New Roman" w:cs="Times New Roman"/>
                <w:sz w:val="22"/>
                <w:szCs w:val="22"/>
                <w:lang w:eastAsia="ru-RU"/>
              </w:rPr>
            </w:pPr>
            <w:r w:rsidRPr="00EB0FE9">
              <w:rPr>
                <w:rFonts w:eastAsia="Times New Roman" w:cs="Times New Roman"/>
                <w:sz w:val="22"/>
                <w:szCs w:val="22"/>
                <w:lang w:eastAsia="ru-RU"/>
              </w:rPr>
              <w:t>Հարկային եկամուտներ և պետական տուրքեր</w:t>
            </w:r>
          </w:p>
        </w:tc>
        <w:tc>
          <w:tcPr>
            <w:tcW w:w="1701" w:type="dxa"/>
            <w:tcBorders>
              <w:top w:val="nil"/>
              <w:left w:val="nil"/>
              <w:bottom w:val="single" w:sz="4" w:space="0" w:color="auto"/>
              <w:right w:val="single" w:sz="4" w:space="0" w:color="auto"/>
            </w:tcBorders>
            <w:shd w:val="clear" w:color="auto" w:fill="auto"/>
            <w:vAlign w:val="center"/>
            <w:hideMark/>
          </w:tcPr>
          <w:p w14:paraId="1B20BA89"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340,093,394</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14:paraId="51A0DE41"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770,271,300</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14:paraId="237B3E34"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1,160,072,837</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14:paraId="4A0E1B85"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1,607,752,712</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8</w:t>
            </w:r>
          </w:p>
        </w:tc>
      </w:tr>
      <w:tr w:rsidR="00EB0FE9" w:rsidRPr="00EB0FE9" w14:paraId="175B4482" w14:textId="77777777" w:rsidTr="004C02CC">
        <w:trPr>
          <w:trHeight w:val="396"/>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72F30E6" w14:textId="77777777" w:rsidR="00EB0FE9" w:rsidRPr="00EB0FE9" w:rsidRDefault="00EB0FE9" w:rsidP="00EB0FE9">
            <w:pPr>
              <w:spacing w:after="120"/>
              <w:ind w:firstLine="22"/>
              <w:jc w:val="left"/>
              <w:rPr>
                <w:rFonts w:eastAsia="Times New Roman" w:cs="Times New Roman"/>
                <w:sz w:val="22"/>
                <w:szCs w:val="22"/>
                <w:lang w:eastAsia="ru-RU"/>
              </w:rPr>
            </w:pPr>
            <w:r w:rsidRPr="00EB0FE9">
              <w:rPr>
                <w:rFonts w:eastAsia="Times New Roman" w:cs="Times New Roman"/>
                <w:sz w:val="22"/>
                <w:szCs w:val="22"/>
                <w:lang w:eastAsia="ru-RU"/>
              </w:rPr>
              <w:t>Պաշտոնական դրամաշնորհներ</w:t>
            </w:r>
          </w:p>
        </w:tc>
        <w:tc>
          <w:tcPr>
            <w:tcW w:w="1701" w:type="dxa"/>
            <w:tcBorders>
              <w:top w:val="nil"/>
              <w:left w:val="nil"/>
              <w:bottom w:val="single" w:sz="4" w:space="0" w:color="auto"/>
              <w:right w:val="single" w:sz="4" w:space="0" w:color="auto"/>
            </w:tcBorders>
            <w:shd w:val="clear" w:color="auto" w:fill="auto"/>
            <w:vAlign w:val="center"/>
            <w:hideMark/>
          </w:tcPr>
          <w:p w14:paraId="38739017"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5,437,007</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9</w:t>
            </w:r>
          </w:p>
        </w:tc>
        <w:tc>
          <w:tcPr>
            <w:tcW w:w="1843" w:type="dxa"/>
            <w:tcBorders>
              <w:top w:val="nil"/>
              <w:left w:val="nil"/>
              <w:bottom w:val="single" w:sz="4" w:space="0" w:color="auto"/>
              <w:right w:val="single" w:sz="4" w:space="0" w:color="auto"/>
            </w:tcBorders>
            <w:shd w:val="clear" w:color="auto" w:fill="auto"/>
            <w:vAlign w:val="center"/>
            <w:hideMark/>
          </w:tcPr>
          <w:p w14:paraId="446BA676"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12,563,487</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6</w:t>
            </w:r>
          </w:p>
        </w:tc>
        <w:tc>
          <w:tcPr>
            <w:tcW w:w="1843" w:type="dxa"/>
            <w:tcBorders>
              <w:top w:val="nil"/>
              <w:left w:val="nil"/>
              <w:bottom w:val="single" w:sz="4" w:space="0" w:color="auto"/>
              <w:right w:val="single" w:sz="4" w:space="0" w:color="auto"/>
            </w:tcBorders>
            <w:shd w:val="clear" w:color="auto" w:fill="auto"/>
            <w:vAlign w:val="center"/>
            <w:hideMark/>
          </w:tcPr>
          <w:p w14:paraId="70DDCA1E"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19,781,603</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8</w:t>
            </w:r>
          </w:p>
        </w:tc>
        <w:tc>
          <w:tcPr>
            <w:tcW w:w="1843" w:type="dxa"/>
            <w:tcBorders>
              <w:top w:val="nil"/>
              <w:left w:val="nil"/>
              <w:bottom w:val="single" w:sz="4" w:space="0" w:color="auto"/>
              <w:right w:val="single" w:sz="4" w:space="0" w:color="auto"/>
            </w:tcBorders>
            <w:shd w:val="clear" w:color="auto" w:fill="auto"/>
            <w:vAlign w:val="center"/>
            <w:hideMark/>
          </w:tcPr>
          <w:p w14:paraId="079FC528"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35,510,038</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1</w:t>
            </w:r>
          </w:p>
        </w:tc>
      </w:tr>
      <w:tr w:rsidR="00EB0FE9" w:rsidRPr="00EB0FE9" w14:paraId="1FD736AF" w14:textId="77777777" w:rsidTr="004C02CC">
        <w:trPr>
          <w:trHeight w:val="31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35FF2D0" w14:textId="77777777" w:rsidR="00EB0FE9" w:rsidRPr="00EB0FE9" w:rsidRDefault="00EB0FE9" w:rsidP="00EB0FE9">
            <w:pPr>
              <w:spacing w:after="120"/>
              <w:ind w:firstLine="22"/>
              <w:jc w:val="left"/>
              <w:rPr>
                <w:rFonts w:eastAsia="Times New Roman" w:cs="Times New Roman"/>
                <w:sz w:val="22"/>
                <w:szCs w:val="22"/>
                <w:lang w:eastAsia="ru-RU"/>
              </w:rPr>
            </w:pPr>
            <w:r w:rsidRPr="00EB0FE9">
              <w:rPr>
                <w:rFonts w:eastAsia="Times New Roman" w:cs="Times New Roman"/>
                <w:sz w:val="22"/>
                <w:szCs w:val="22"/>
                <w:lang w:eastAsia="ru-RU"/>
              </w:rPr>
              <w:t>Այլ եկամուտներ</w:t>
            </w:r>
          </w:p>
        </w:tc>
        <w:tc>
          <w:tcPr>
            <w:tcW w:w="1701" w:type="dxa"/>
            <w:tcBorders>
              <w:top w:val="nil"/>
              <w:left w:val="nil"/>
              <w:bottom w:val="single" w:sz="4" w:space="0" w:color="auto"/>
              <w:right w:val="single" w:sz="4" w:space="0" w:color="auto"/>
            </w:tcBorders>
            <w:shd w:val="clear" w:color="auto" w:fill="auto"/>
            <w:vAlign w:val="center"/>
            <w:hideMark/>
          </w:tcPr>
          <w:p w14:paraId="32F2E942"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12,307,085</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7</w:t>
            </w:r>
          </w:p>
        </w:tc>
        <w:tc>
          <w:tcPr>
            <w:tcW w:w="1843" w:type="dxa"/>
            <w:tcBorders>
              <w:top w:val="nil"/>
              <w:left w:val="nil"/>
              <w:bottom w:val="single" w:sz="4" w:space="0" w:color="auto"/>
              <w:right w:val="single" w:sz="4" w:space="0" w:color="auto"/>
            </w:tcBorders>
            <w:shd w:val="clear" w:color="auto" w:fill="auto"/>
            <w:vAlign w:val="center"/>
            <w:hideMark/>
          </w:tcPr>
          <w:p w14:paraId="2BEB5EB2"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25,312,554</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14:paraId="7F9CA4B5"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38,854,334</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0</w:t>
            </w:r>
          </w:p>
        </w:tc>
        <w:tc>
          <w:tcPr>
            <w:tcW w:w="1843" w:type="dxa"/>
            <w:tcBorders>
              <w:top w:val="nil"/>
              <w:left w:val="nil"/>
              <w:bottom w:val="single" w:sz="4" w:space="0" w:color="auto"/>
              <w:right w:val="single" w:sz="4" w:space="0" w:color="auto"/>
            </w:tcBorders>
            <w:shd w:val="clear" w:color="auto" w:fill="auto"/>
            <w:vAlign w:val="center"/>
            <w:hideMark/>
          </w:tcPr>
          <w:p w14:paraId="3767AFFC" w14:textId="77777777" w:rsidR="00EB0FE9" w:rsidRPr="00EB0FE9" w:rsidRDefault="00EB0FE9" w:rsidP="00EB0FE9">
            <w:pPr>
              <w:spacing w:after="120"/>
              <w:jc w:val="right"/>
              <w:rPr>
                <w:rFonts w:eastAsia="Times New Roman" w:cs="Times New Roman"/>
                <w:sz w:val="22"/>
                <w:szCs w:val="22"/>
                <w:lang w:eastAsia="ru-RU"/>
              </w:rPr>
            </w:pPr>
            <w:r w:rsidRPr="00EB0FE9">
              <w:rPr>
                <w:rFonts w:eastAsia="Times New Roman" w:cs="Times New Roman"/>
                <w:sz w:val="22"/>
                <w:szCs w:val="22"/>
                <w:lang w:eastAsia="ru-RU"/>
              </w:rPr>
              <w:t>51,932,719</w:t>
            </w:r>
            <w:r w:rsidRPr="00EB0FE9">
              <w:rPr>
                <w:rFonts w:ascii="Cambria Math" w:eastAsia="Times New Roman" w:hAnsi="Cambria Math" w:cs="Cambria Math"/>
                <w:sz w:val="22"/>
                <w:szCs w:val="22"/>
                <w:lang w:eastAsia="ru-RU"/>
              </w:rPr>
              <w:t>․</w:t>
            </w:r>
            <w:r w:rsidRPr="00EB0FE9">
              <w:rPr>
                <w:rFonts w:eastAsia="Times New Roman" w:cs="Times New Roman"/>
                <w:sz w:val="22"/>
                <w:szCs w:val="22"/>
                <w:lang w:eastAsia="ru-RU"/>
              </w:rPr>
              <w:t>1</w:t>
            </w:r>
          </w:p>
        </w:tc>
      </w:tr>
    </w:tbl>
    <w:p w14:paraId="1E598CC7" w14:textId="77777777" w:rsidR="00EB0FE9" w:rsidRPr="00EB0FE9" w:rsidRDefault="00EB0FE9" w:rsidP="00EB0FE9">
      <w:pPr>
        <w:spacing w:after="0"/>
        <w:ind w:left="2" w:firstLine="565"/>
        <w:contextualSpacing/>
        <w:jc w:val="right"/>
        <w:rPr>
          <w:rFonts w:eastAsia="Calibri" w:cs="Times New Roman"/>
          <w:sz w:val="22"/>
          <w:szCs w:val="22"/>
          <w:highlight w:val="red"/>
        </w:rPr>
      </w:pPr>
    </w:p>
    <w:p w14:paraId="6C7A606B" w14:textId="77777777" w:rsidR="00EB0FE9" w:rsidRPr="00EB0FE9" w:rsidRDefault="00EB0FE9" w:rsidP="00EB0FE9">
      <w:pPr>
        <w:spacing w:after="0"/>
        <w:ind w:left="2" w:firstLine="565"/>
        <w:contextualSpacing/>
        <w:jc w:val="right"/>
        <w:rPr>
          <w:rFonts w:eastAsia="Calibri" w:cs="Times New Roman"/>
          <w:sz w:val="22"/>
          <w:szCs w:val="22"/>
          <w:highlight w:val="red"/>
        </w:rPr>
      </w:pPr>
    </w:p>
    <w:p w14:paraId="2DD1D691"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Համավարակի ազդեցության հետևանքով և այն մեղմելու անհրաժեշտությունից բխող հակաճգնաժամային միջոցառումներ իրականացնելու կարիքով և ռազմական դրության իրավական ռեժիմի կարգավորումներով պայմանավորված, ինչպես նաև «Հայաստանի Հանրապետության 2020 թվականի պետական բյուջեի մասին» ՀՀ օրենքի 9-րդ հոդվածի 2 րդ կետի պահանջներից ելնելով` պետության դրամական միջոցների համախմբված հաշվառման նպատակով, Կառավարությունն իրեն վերապահված լիազորությունների շրջանակներում կատարել է  փոփոխություններ պետական բյուջեի եկամուտների տարեկան և իննամսյա ծրագրային ցուցանիշներում, որի արդյունքում պետական բյուջեի եկամուտների տարեկան և իննամսյա ճշտված ծրագրային ցուցանիշները կազմել են համապատասխանաբար 1,600.7 մլրդ դրամ և 1,088.0 մլրդ դրամ:</w:t>
      </w:r>
    </w:p>
    <w:p w14:paraId="66214F84" w14:textId="77777777" w:rsidR="00EB0FE9" w:rsidRPr="00EB0FE9" w:rsidRDefault="00EB0FE9" w:rsidP="00EB0FE9">
      <w:pPr>
        <w:spacing w:after="0"/>
        <w:ind w:left="2" w:firstLine="565"/>
        <w:contextualSpacing/>
        <w:jc w:val="right"/>
        <w:rPr>
          <w:rFonts w:eastAsia="Calibri" w:cs="Times New Roman"/>
          <w:sz w:val="22"/>
          <w:szCs w:val="22"/>
          <w:highlight w:val="red"/>
        </w:rPr>
      </w:pPr>
    </w:p>
    <w:p w14:paraId="26F468CD" w14:textId="77777777" w:rsidR="00EB0FE9" w:rsidRPr="00EB0FE9" w:rsidRDefault="00EB0FE9" w:rsidP="00EB0FE9">
      <w:pPr>
        <w:spacing w:after="120"/>
        <w:ind w:firstLine="567"/>
        <w:rPr>
          <w:rFonts w:eastAsia="Times New Roman" w:cs="Times New Roman"/>
        </w:rPr>
      </w:pPr>
    </w:p>
    <w:p w14:paraId="09653EE4" w14:textId="77777777" w:rsidR="00EB0FE9" w:rsidRPr="00EB0FE9" w:rsidRDefault="00EB0FE9" w:rsidP="00EB0FE9">
      <w:pPr>
        <w:spacing w:after="120"/>
        <w:ind w:firstLine="567"/>
        <w:rPr>
          <w:rFonts w:eastAsia="Times New Roman" w:cs="Times New Roman"/>
        </w:rPr>
      </w:pPr>
    </w:p>
    <w:p w14:paraId="0C2A7012"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2020 թվականի տարեկան և ինն ամիսների եկամուտների ծրագրային (ճշտված) ցուցանիշների և փաստացի կատարողականի տվյալները հետևյալն են.</w:t>
      </w:r>
    </w:p>
    <w:p w14:paraId="531A21B4" w14:textId="77777777" w:rsidR="00EB0FE9" w:rsidRPr="00EB0FE9" w:rsidRDefault="00EB0FE9" w:rsidP="00EB0FE9">
      <w:pPr>
        <w:spacing w:after="0"/>
        <w:ind w:firstLine="567"/>
        <w:rPr>
          <w:rFonts w:eastAsia="Times New Roman" w:cs="Times New Roman"/>
        </w:rPr>
      </w:pP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r w:rsidRPr="00EB0FE9">
        <w:rPr>
          <w:rFonts w:eastAsia="Times New Roman" w:cs="Times New Roman"/>
        </w:rPr>
        <w:tab/>
      </w:r>
    </w:p>
    <w:p w14:paraId="49A372E8" w14:textId="77777777" w:rsidR="002F56CA" w:rsidRDefault="002F56CA" w:rsidP="00EB0FE9">
      <w:pPr>
        <w:spacing w:after="0"/>
        <w:ind w:firstLine="567"/>
        <w:jc w:val="right"/>
        <w:rPr>
          <w:rFonts w:eastAsia="Times New Roman" w:cs="Times New Roman"/>
          <w:sz w:val="22"/>
          <w:szCs w:val="22"/>
        </w:rPr>
      </w:pPr>
    </w:p>
    <w:p w14:paraId="14D7FB63" w14:textId="77777777" w:rsidR="002F56CA" w:rsidRDefault="002F56CA" w:rsidP="00EB0FE9">
      <w:pPr>
        <w:spacing w:after="0"/>
        <w:ind w:firstLine="567"/>
        <w:jc w:val="right"/>
        <w:rPr>
          <w:rFonts w:eastAsia="Times New Roman" w:cs="Times New Roman"/>
          <w:sz w:val="22"/>
          <w:szCs w:val="22"/>
        </w:rPr>
      </w:pPr>
    </w:p>
    <w:p w14:paraId="24E9AF99" w14:textId="77777777" w:rsidR="002F56CA" w:rsidRDefault="002F56CA" w:rsidP="00EB0FE9">
      <w:pPr>
        <w:spacing w:after="0"/>
        <w:ind w:firstLine="567"/>
        <w:jc w:val="right"/>
        <w:rPr>
          <w:rFonts w:eastAsia="Times New Roman" w:cs="Times New Roman"/>
          <w:sz w:val="22"/>
          <w:szCs w:val="22"/>
        </w:rPr>
      </w:pPr>
    </w:p>
    <w:p w14:paraId="5856BE49" w14:textId="77777777" w:rsidR="002F56CA" w:rsidRDefault="002F56CA" w:rsidP="00EB0FE9">
      <w:pPr>
        <w:spacing w:after="0"/>
        <w:ind w:firstLine="567"/>
        <w:jc w:val="right"/>
        <w:rPr>
          <w:rFonts w:eastAsia="Times New Roman" w:cs="Times New Roman"/>
          <w:sz w:val="22"/>
          <w:szCs w:val="22"/>
        </w:rPr>
      </w:pPr>
    </w:p>
    <w:p w14:paraId="25A5CDDE" w14:textId="77777777" w:rsidR="002F56CA" w:rsidRDefault="002F56CA" w:rsidP="00EB0FE9">
      <w:pPr>
        <w:spacing w:after="0"/>
        <w:ind w:firstLine="567"/>
        <w:jc w:val="right"/>
        <w:rPr>
          <w:rFonts w:eastAsia="Times New Roman" w:cs="Times New Roman"/>
          <w:sz w:val="22"/>
          <w:szCs w:val="22"/>
        </w:rPr>
      </w:pPr>
    </w:p>
    <w:p w14:paraId="2C8BD4F4" w14:textId="12CEE14C" w:rsidR="00EB0FE9" w:rsidRPr="00EB0FE9" w:rsidRDefault="00EB0FE9" w:rsidP="00EB0FE9">
      <w:pPr>
        <w:spacing w:after="0"/>
        <w:ind w:firstLine="567"/>
        <w:jc w:val="right"/>
        <w:rPr>
          <w:rFonts w:eastAsia="Times New Roman" w:cs="Times New Roman"/>
          <w:sz w:val="22"/>
          <w:szCs w:val="22"/>
        </w:rPr>
      </w:pPr>
      <w:r w:rsidRPr="00EB0FE9">
        <w:rPr>
          <w:rFonts w:eastAsia="Times New Roman" w:cs="Times New Roman"/>
          <w:sz w:val="22"/>
          <w:szCs w:val="22"/>
        </w:rPr>
        <w:t>(Աղյուսակ 3)</w:t>
      </w:r>
    </w:p>
    <w:p w14:paraId="0B7550F6" w14:textId="77777777" w:rsidR="00EB0FE9" w:rsidRPr="00EB0FE9" w:rsidRDefault="00EB0FE9" w:rsidP="00EB0FE9">
      <w:pPr>
        <w:spacing w:after="0"/>
        <w:ind w:firstLine="567"/>
        <w:jc w:val="right"/>
        <w:rPr>
          <w:rFonts w:eastAsia="Times New Roman" w:cs="Times New Roman"/>
          <w:sz w:val="22"/>
          <w:szCs w:val="22"/>
        </w:rPr>
      </w:pPr>
      <w:r w:rsidRPr="00EB0FE9">
        <w:rPr>
          <w:rFonts w:eastAsia="Times New Roman" w:cs="Times New Roman"/>
          <w:sz w:val="22"/>
          <w:szCs w:val="22"/>
        </w:rPr>
        <w:t>մլրդ.դրամ</w:t>
      </w:r>
    </w:p>
    <w:tbl>
      <w:tblPr>
        <w:tblW w:w="11070" w:type="dxa"/>
        <w:tblInd w:w="-635" w:type="dxa"/>
        <w:tblLayout w:type="fixed"/>
        <w:tblLook w:val="04A0" w:firstRow="1" w:lastRow="0" w:firstColumn="1" w:lastColumn="0" w:noHBand="0" w:noVBand="1"/>
      </w:tblPr>
      <w:tblGrid>
        <w:gridCol w:w="1647"/>
        <w:gridCol w:w="1575"/>
        <w:gridCol w:w="1557"/>
        <w:gridCol w:w="1548"/>
        <w:gridCol w:w="1566"/>
        <w:gridCol w:w="1539"/>
        <w:gridCol w:w="828"/>
        <w:gridCol w:w="810"/>
      </w:tblGrid>
      <w:tr w:rsidR="00EB0FE9" w:rsidRPr="00EB0FE9" w14:paraId="4E4E9B7F" w14:textId="77777777" w:rsidTr="007E0CA5">
        <w:trPr>
          <w:cantSplit/>
          <w:trHeight w:val="313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FA950" w14:textId="77777777" w:rsidR="00EB0FE9" w:rsidRPr="00EB0FE9" w:rsidRDefault="00EB0FE9" w:rsidP="00EB0FE9">
            <w:pPr>
              <w:spacing w:after="120"/>
              <w:ind w:left="-60" w:right="-60"/>
              <w:jc w:val="center"/>
              <w:rPr>
                <w:rFonts w:eastAsia="Times New Roman" w:cs="Times New Roman"/>
                <w:b/>
                <w:bCs/>
                <w:sz w:val="20"/>
                <w:szCs w:val="20"/>
              </w:rPr>
            </w:pP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23FF2187" w14:textId="77777777" w:rsidR="00EB0FE9" w:rsidRPr="00EB0FE9" w:rsidRDefault="00EB0FE9" w:rsidP="00EB0FE9">
            <w:pPr>
              <w:spacing w:after="120"/>
              <w:ind w:left="-86" w:right="-45" w:hanging="9"/>
              <w:jc w:val="center"/>
              <w:rPr>
                <w:rFonts w:eastAsia="Times New Roman" w:cs="Times New Roman"/>
                <w:b/>
                <w:bCs/>
                <w:sz w:val="20"/>
                <w:szCs w:val="20"/>
              </w:rPr>
            </w:pPr>
            <w:r w:rsidRPr="00EB0FE9">
              <w:rPr>
                <w:rFonts w:eastAsia="Times New Roman" w:cs="Times New Roman"/>
                <w:b/>
                <w:bCs/>
                <w:sz w:val="20"/>
                <w:szCs w:val="20"/>
              </w:rPr>
              <w:t>Տարեկան պլան</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0DB60C1E" w14:textId="77777777" w:rsidR="00EB0FE9" w:rsidRPr="00EB0FE9" w:rsidRDefault="00EB0FE9" w:rsidP="00EB0FE9">
            <w:pPr>
              <w:spacing w:after="120"/>
              <w:ind w:left="-74" w:right="-60" w:hanging="9"/>
              <w:jc w:val="center"/>
              <w:rPr>
                <w:rFonts w:eastAsia="Times New Roman" w:cs="Times New Roman"/>
                <w:b/>
                <w:bCs/>
                <w:sz w:val="20"/>
                <w:szCs w:val="20"/>
              </w:rPr>
            </w:pPr>
            <w:r w:rsidRPr="00EB0FE9">
              <w:rPr>
                <w:rFonts w:eastAsia="Times New Roman" w:cs="Times New Roman"/>
                <w:b/>
                <w:bCs/>
                <w:sz w:val="20"/>
                <w:szCs w:val="20"/>
              </w:rPr>
              <w:t>Տարեկան ճշտված պլան</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14:paraId="1BFB86BC" w14:textId="77777777" w:rsidR="00EB0FE9" w:rsidRPr="00EB0FE9" w:rsidRDefault="00EB0FE9" w:rsidP="00EB0FE9">
            <w:pPr>
              <w:spacing w:after="120"/>
              <w:ind w:left="-77" w:right="-42" w:hanging="9"/>
              <w:jc w:val="center"/>
              <w:rPr>
                <w:rFonts w:eastAsia="Times New Roman" w:cs="Times New Roman"/>
                <w:b/>
                <w:bCs/>
                <w:sz w:val="20"/>
                <w:szCs w:val="20"/>
              </w:rPr>
            </w:pPr>
            <w:r w:rsidRPr="00EB0FE9">
              <w:rPr>
                <w:rFonts w:eastAsia="Times New Roman" w:cs="Times New Roman"/>
                <w:b/>
                <w:bCs/>
                <w:sz w:val="20"/>
                <w:szCs w:val="20"/>
              </w:rPr>
              <w:t>Ինն ամիսների պլան</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14:paraId="1B6C97BE" w14:textId="77777777" w:rsidR="00EB0FE9" w:rsidRPr="00EB0FE9" w:rsidRDefault="00EB0FE9" w:rsidP="00EB0FE9">
            <w:pPr>
              <w:spacing w:after="120"/>
              <w:ind w:left="-77" w:right="-42" w:hanging="9"/>
              <w:jc w:val="center"/>
              <w:rPr>
                <w:rFonts w:eastAsia="Times New Roman" w:cs="Times New Roman"/>
                <w:b/>
                <w:bCs/>
                <w:sz w:val="20"/>
                <w:szCs w:val="20"/>
              </w:rPr>
            </w:pPr>
            <w:r w:rsidRPr="00EB0FE9">
              <w:rPr>
                <w:rFonts w:eastAsia="Times New Roman" w:cs="Times New Roman"/>
                <w:b/>
                <w:bCs/>
                <w:sz w:val="20"/>
                <w:szCs w:val="20"/>
              </w:rPr>
              <w:t>Ինն ամիսների ճշտված պլան</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0060567" w14:textId="77777777" w:rsidR="00EB0FE9" w:rsidRPr="00EB0FE9" w:rsidRDefault="00EB0FE9" w:rsidP="00EB0FE9">
            <w:pPr>
              <w:spacing w:after="120"/>
              <w:ind w:left="-77" w:right="-72" w:hanging="9"/>
              <w:jc w:val="center"/>
              <w:rPr>
                <w:rFonts w:eastAsia="Times New Roman" w:cs="Times New Roman"/>
                <w:b/>
                <w:bCs/>
                <w:sz w:val="20"/>
                <w:szCs w:val="20"/>
              </w:rPr>
            </w:pPr>
            <w:r w:rsidRPr="00EB0FE9">
              <w:rPr>
                <w:rFonts w:eastAsia="Times New Roman" w:cs="Times New Roman"/>
                <w:b/>
                <w:bCs/>
                <w:sz w:val="20"/>
                <w:szCs w:val="20"/>
              </w:rPr>
              <w:t>Ինն ամիսների փաստ</w:t>
            </w:r>
          </w:p>
        </w:tc>
        <w:tc>
          <w:tcPr>
            <w:tcW w:w="828"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0A0ECA" w14:textId="27624E5A" w:rsidR="00EB0FE9" w:rsidRPr="00EB0FE9" w:rsidRDefault="00EB0FE9" w:rsidP="00EB0FE9">
            <w:pPr>
              <w:spacing w:after="0" w:line="240" w:lineRule="auto"/>
              <w:ind w:left="-92" w:right="115" w:hanging="14"/>
              <w:jc w:val="center"/>
              <w:rPr>
                <w:rFonts w:eastAsia="Times New Roman" w:cs="Times New Roman"/>
                <w:sz w:val="20"/>
                <w:szCs w:val="20"/>
              </w:rPr>
            </w:pPr>
            <w:r w:rsidRPr="00EB0FE9">
              <w:rPr>
                <w:rFonts w:eastAsia="Times New Roman" w:cs="Times New Roman"/>
                <w:sz w:val="20"/>
                <w:szCs w:val="20"/>
              </w:rPr>
              <w:t xml:space="preserve"> Կատարման %-ը տարեկան ճշտված</w:t>
            </w:r>
            <w:r w:rsidR="007E0CA5">
              <w:rPr>
                <w:rFonts w:eastAsia="Times New Roman" w:cs="Times New Roman"/>
                <w:sz w:val="20"/>
                <w:szCs w:val="20"/>
              </w:rPr>
              <w:t xml:space="preserve"> </w:t>
            </w:r>
            <w:r w:rsidRPr="00EB0FE9">
              <w:rPr>
                <w:rFonts w:eastAsia="Times New Roman" w:cs="Times New Roman"/>
                <w:sz w:val="20"/>
                <w:szCs w:val="20"/>
              </w:rPr>
              <w:t>պլանի նկատմամբ</w:t>
            </w:r>
          </w:p>
        </w:tc>
        <w:tc>
          <w:tcPr>
            <w:tcW w:w="8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E65B70" w14:textId="77777777" w:rsidR="00EB0FE9" w:rsidRPr="00EB0FE9" w:rsidRDefault="00EB0FE9" w:rsidP="00EB0FE9">
            <w:pPr>
              <w:spacing w:after="0" w:line="240" w:lineRule="auto"/>
              <w:ind w:left="-74" w:right="115" w:hanging="14"/>
              <w:jc w:val="center"/>
              <w:rPr>
                <w:rFonts w:eastAsia="Times New Roman" w:cs="Times New Roman"/>
                <w:sz w:val="20"/>
                <w:szCs w:val="20"/>
              </w:rPr>
            </w:pPr>
            <w:r w:rsidRPr="00EB0FE9">
              <w:rPr>
                <w:rFonts w:eastAsia="Times New Roman" w:cs="Times New Roman"/>
                <w:sz w:val="20"/>
                <w:szCs w:val="20"/>
              </w:rPr>
              <w:t xml:space="preserve"> Կատարման %-ն ինն ամիսների ճշտված պլանի նկատմամբ</w:t>
            </w:r>
          </w:p>
        </w:tc>
      </w:tr>
      <w:tr w:rsidR="00EB0FE9" w:rsidRPr="00EB0FE9" w14:paraId="38D9C1B7" w14:textId="77777777" w:rsidTr="004C02CC">
        <w:trPr>
          <w:trHeight w:val="42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38B03FBD" w14:textId="77777777" w:rsidR="00EB0FE9" w:rsidRPr="00EB0FE9" w:rsidRDefault="00EB0FE9" w:rsidP="00EB0FE9">
            <w:pPr>
              <w:spacing w:after="0" w:line="240" w:lineRule="auto"/>
              <w:ind w:left="-58" w:right="-58"/>
              <w:jc w:val="left"/>
              <w:rPr>
                <w:rFonts w:eastAsia="Times New Roman" w:cs="Times New Roman"/>
                <w:sz w:val="20"/>
                <w:szCs w:val="20"/>
              </w:rPr>
            </w:pPr>
            <w:r w:rsidRPr="00EB0FE9">
              <w:rPr>
                <w:rFonts w:eastAsia="Times New Roman" w:cs="Times New Roman"/>
                <w:sz w:val="20"/>
                <w:szCs w:val="20"/>
              </w:rPr>
              <w:t>Պետական բյուջեի եկամուտներ</w:t>
            </w:r>
          </w:p>
        </w:tc>
        <w:tc>
          <w:tcPr>
            <w:tcW w:w="1575" w:type="dxa"/>
            <w:tcBorders>
              <w:top w:val="nil"/>
              <w:left w:val="nil"/>
              <w:bottom w:val="single" w:sz="4" w:space="0" w:color="auto"/>
              <w:right w:val="single" w:sz="4" w:space="0" w:color="auto"/>
            </w:tcBorders>
            <w:shd w:val="clear" w:color="auto" w:fill="auto"/>
            <w:vAlign w:val="center"/>
            <w:hideMark/>
          </w:tcPr>
          <w:p w14:paraId="5C89FF03" w14:textId="77777777" w:rsidR="00EB0FE9" w:rsidRPr="00EB0FE9" w:rsidRDefault="00EB0FE9" w:rsidP="00EB0FE9">
            <w:pPr>
              <w:spacing w:after="120"/>
              <w:ind w:left="-86" w:right="-45" w:hanging="9"/>
              <w:jc w:val="center"/>
              <w:rPr>
                <w:rFonts w:eastAsia="Times New Roman" w:cs="Times New Roman"/>
                <w:sz w:val="20"/>
                <w:szCs w:val="20"/>
                <w:highlight w:val="red"/>
              </w:rPr>
            </w:pPr>
            <w:r w:rsidRPr="00EB0FE9">
              <w:rPr>
                <w:rFonts w:eastAsia="Times New Roman" w:cs="Times New Roman"/>
                <w:sz w:val="20"/>
                <w:szCs w:val="20"/>
              </w:rPr>
              <w:t>1,695,009,852.1</w:t>
            </w:r>
          </w:p>
        </w:tc>
        <w:tc>
          <w:tcPr>
            <w:tcW w:w="1557" w:type="dxa"/>
            <w:tcBorders>
              <w:top w:val="nil"/>
              <w:left w:val="nil"/>
              <w:bottom w:val="single" w:sz="4" w:space="0" w:color="auto"/>
              <w:right w:val="single" w:sz="4" w:space="0" w:color="auto"/>
            </w:tcBorders>
            <w:shd w:val="clear" w:color="auto" w:fill="auto"/>
            <w:vAlign w:val="center"/>
            <w:hideMark/>
          </w:tcPr>
          <w:p w14:paraId="35090FA0" w14:textId="77777777" w:rsidR="00EB0FE9" w:rsidRPr="00EB0FE9" w:rsidRDefault="00EB0FE9" w:rsidP="00EB0FE9">
            <w:pPr>
              <w:spacing w:after="120"/>
              <w:ind w:left="-74" w:right="-60" w:hanging="9"/>
              <w:jc w:val="center"/>
              <w:rPr>
                <w:rFonts w:eastAsia="Times New Roman" w:cs="Times New Roman"/>
                <w:sz w:val="20"/>
                <w:szCs w:val="20"/>
                <w:highlight w:val="red"/>
              </w:rPr>
            </w:pPr>
            <w:r w:rsidRPr="00EB0FE9">
              <w:rPr>
                <w:rFonts w:eastAsia="Times New Roman" w:cs="Times New Roman"/>
                <w:sz w:val="20"/>
                <w:szCs w:val="20"/>
              </w:rPr>
              <w:t>1,600,747,310.8</w:t>
            </w:r>
          </w:p>
        </w:tc>
        <w:tc>
          <w:tcPr>
            <w:tcW w:w="1548" w:type="dxa"/>
            <w:tcBorders>
              <w:top w:val="nil"/>
              <w:left w:val="nil"/>
              <w:bottom w:val="single" w:sz="4" w:space="0" w:color="auto"/>
              <w:right w:val="single" w:sz="4" w:space="0" w:color="auto"/>
            </w:tcBorders>
            <w:shd w:val="clear" w:color="auto" w:fill="auto"/>
            <w:vAlign w:val="center"/>
            <w:hideMark/>
          </w:tcPr>
          <w:p w14:paraId="37A9386E"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1,218,708,774.8</w:t>
            </w:r>
          </w:p>
        </w:tc>
        <w:tc>
          <w:tcPr>
            <w:tcW w:w="1566" w:type="dxa"/>
            <w:tcBorders>
              <w:top w:val="nil"/>
              <w:left w:val="nil"/>
              <w:bottom w:val="single" w:sz="4" w:space="0" w:color="auto"/>
              <w:right w:val="single" w:sz="4" w:space="0" w:color="auto"/>
            </w:tcBorders>
            <w:shd w:val="clear" w:color="auto" w:fill="auto"/>
            <w:vAlign w:val="center"/>
            <w:hideMark/>
          </w:tcPr>
          <w:p w14:paraId="71E69C7D"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1,087,977,317.3</w:t>
            </w:r>
          </w:p>
        </w:tc>
        <w:tc>
          <w:tcPr>
            <w:tcW w:w="1539" w:type="dxa"/>
            <w:tcBorders>
              <w:top w:val="nil"/>
              <w:left w:val="nil"/>
              <w:bottom w:val="single" w:sz="4" w:space="0" w:color="auto"/>
              <w:right w:val="single" w:sz="4" w:space="0" w:color="auto"/>
            </w:tcBorders>
            <w:shd w:val="clear" w:color="auto" w:fill="auto"/>
            <w:vAlign w:val="center"/>
            <w:hideMark/>
          </w:tcPr>
          <w:p w14:paraId="370E6105" w14:textId="77777777" w:rsidR="00EB0FE9" w:rsidRPr="00EB0FE9" w:rsidRDefault="00EB0FE9" w:rsidP="00EB0FE9">
            <w:pPr>
              <w:spacing w:after="120"/>
              <w:ind w:left="-77" w:right="-72" w:hanging="9"/>
              <w:jc w:val="center"/>
              <w:rPr>
                <w:rFonts w:eastAsia="Times New Roman" w:cs="Times New Roman"/>
                <w:sz w:val="20"/>
                <w:szCs w:val="20"/>
                <w:highlight w:val="red"/>
              </w:rPr>
            </w:pPr>
            <w:r w:rsidRPr="00EB0FE9">
              <w:rPr>
                <w:rFonts w:eastAsia="Times New Roman" w:cs="Times New Roman"/>
                <w:sz w:val="20"/>
                <w:szCs w:val="20"/>
              </w:rPr>
              <w:t>1,075,122,698.0</w:t>
            </w:r>
          </w:p>
        </w:tc>
        <w:tc>
          <w:tcPr>
            <w:tcW w:w="828" w:type="dxa"/>
            <w:tcBorders>
              <w:top w:val="nil"/>
              <w:left w:val="nil"/>
              <w:bottom w:val="single" w:sz="4" w:space="0" w:color="auto"/>
              <w:right w:val="single" w:sz="4" w:space="0" w:color="auto"/>
            </w:tcBorders>
            <w:shd w:val="clear" w:color="auto" w:fill="auto"/>
            <w:vAlign w:val="center"/>
            <w:hideMark/>
          </w:tcPr>
          <w:p w14:paraId="3DACCF2A" w14:textId="77777777" w:rsidR="00EB0FE9" w:rsidRPr="00EB0FE9" w:rsidRDefault="00EB0FE9" w:rsidP="00EB0FE9">
            <w:pPr>
              <w:spacing w:after="120"/>
              <w:ind w:left="-92" w:hanging="9"/>
              <w:jc w:val="center"/>
              <w:rPr>
                <w:rFonts w:eastAsia="Times New Roman" w:cs="Times New Roman"/>
                <w:sz w:val="20"/>
                <w:szCs w:val="20"/>
                <w:highlight w:val="red"/>
              </w:rPr>
            </w:pPr>
            <w:r w:rsidRPr="00EB0FE9">
              <w:rPr>
                <w:rFonts w:eastAsia="Times New Roman" w:cs="Times New Roman"/>
                <w:sz w:val="20"/>
                <w:szCs w:val="20"/>
              </w:rPr>
              <w:t>67.2%</w:t>
            </w:r>
          </w:p>
        </w:tc>
        <w:tc>
          <w:tcPr>
            <w:tcW w:w="810" w:type="dxa"/>
            <w:tcBorders>
              <w:top w:val="nil"/>
              <w:left w:val="nil"/>
              <w:bottom w:val="single" w:sz="4" w:space="0" w:color="auto"/>
              <w:right w:val="single" w:sz="4" w:space="0" w:color="auto"/>
            </w:tcBorders>
            <w:shd w:val="clear" w:color="auto" w:fill="auto"/>
            <w:vAlign w:val="center"/>
            <w:hideMark/>
          </w:tcPr>
          <w:p w14:paraId="299449A3" w14:textId="77777777" w:rsidR="00EB0FE9" w:rsidRPr="00EB0FE9" w:rsidRDefault="00EB0FE9" w:rsidP="00EB0FE9">
            <w:pPr>
              <w:spacing w:after="120"/>
              <w:ind w:left="-74" w:hanging="9"/>
              <w:jc w:val="center"/>
              <w:rPr>
                <w:rFonts w:eastAsia="Times New Roman" w:cs="Times New Roman"/>
                <w:sz w:val="20"/>
                <w:szCs w:val="20"/>
                <w:highlight w:val="red"/>
              </w:rPr>
            </w:pPr>
            <w:r w:rsidRPr="00EB0FE9">
              <w:rPr>
                <w:rFonts w:eastAsia="Times New Roman" w:cs="Times New Roman"/>
                <w:sz w:val="20"/>
                <w:szCs w:val="20"/>
              </w:rPr>
              <w:t>98.8%</w:t>
            </w:r>
          </w:p>
        </w:tc>
      </w:tr>
      <w:tr w:rsidR="00EB0FE9" w:rsidRPr="00EB0FE9" w14:paraId="5A3D1968" w14:textId="77777777" w:rsidTr="004C02CC">
        <w:trPr>
          <w:trHeight w:val="70"/>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14E9589C" w14:textId="77777777" w:rsidR="00EB0FE9" w:rsidRPr="00EB0FE9" w:rsidRDefault="00EB0FE9" w:rsidP="00EB0FE9">
            <w:pPr>
              <w:spacing w:after="0" w:line="240" w:lineRule="auto"/>
              <w:ind w:left="-58" w:right="-58"/>
              <w:jc w:val="left"/>
              <w:rPr>
                <w:rFonts w:eastAsia="Times New Roman" w:cs="Times New Roman"/>
                <w:sz w:val="20"/>
                <w:szCs w:val="20"/>
              </w:rPr>
            </w:pPr>
            <w:r w:rsidRPr="00EB0FE9">
              <w:rPr>
                <w:rFonts w:eastAsia="Times New Roman" w:cs="Times New Roman"/>
                <w:sz w:val="20"/>
                <w:szCs w:val="20"/>
              </w:rPr>
              <w:t xml:space="preserve">   այդ թվում`</w:t>
            </w:r>
          </w:p>
        </w:tc>
        <w:tc>
          <w:tcPr>
            <w:tcW w:w="1575" w:type="dxa"/>
            <w:tcBorders>
              <w:top w:val="nil"/>
              <w:left w:val="nil"/>
              <w:bottom w:val="single" w:sz="4" w:space="0" w:color="auto"/>
              <w:right w:val="single" w:sz="4" w:space="0" w:color="auto"/>
            </w:tcBorders>
            <w:shd w:val="clear" w:color="auto" w:fill="auto"/>
            <w:vAlign w:val="center"/>
            <w:hideMark/>
          </w:tcPr>
          <w:p w14:paraId="56F904F4" w14:textId="77777777" w:rsidR="00EB0FE9" w:rsidRPr="00EB0FE9" w:rsidRDefault="00EB0FE9" w:rsidP="00EB0FE9">
            <w:pPr>
              <w:spacing w:after="120"/>
              <w:ind w:left="-86" w:right="-45" w:hanging="9"/>
              <w:jc w:val="center"/>
              <w:rPr>
                <w:rFonts w:eastAsia="Times New Roman" w:cs="Times New Roman"/>
                <w:sz w:val="20"/>
                <w:szCs w:val="20"/>
                <w:highlight w:val="red"/>
              </w:rPr>
            </w:pPr>
          </w:p>
        </w:tc>
        <w:tc>
          <w:tcPr>
            <w:tcW w:w="1557" w:type="dxa"/>
            <w:tcBorders>
              <w:top w:val="nil"/>
              <w:left w:val="nil"/>
              <w:bottom w:val="single" w:sz="4" w:space="0" w:color="auto"/>
              <w:right w:val="single" w:sz="4" w:space="0" w:color="auto"/>
            </w:tcBorders>
            <w:shd w:val="clear" w:color="auto" w:fill="auto"/>
            <w:vAlign w:val="center"/>
            <w:hideMark/>
          </w:tcPr>
          <w:p w14:paraId="2A3FEBE5" w14:textId="77777777" w:rsidR="00EB0FE9" w:rsidRPr="00EB0FE9" w:rsidRDefault="00EB0FE9" w:rsidP="00EB0FE9">
            <w:pPr>
              <w:spacing w:after="120"/>
              <w:ind w:left="-74" w:right="-60" w:hanging="9"/>
              <w:jc w:val="center"/>
              <w:rPr>
                <w:rFonts w:eastAsia="Times New Roman" w:cs="Times New Roman"/>
                <w:sz w:val="20"/>
                <w:szCs w:val="20"/>
                <w:highlight w:val="red"/>
              </w:rPr>
            </w:pPr>
          </w:p>
        </w:tc>
        <w:tc>
          <w:tcPr>
            <w:tcW w:w="1548" w:type="dxa"/>
            <w:tcBorders>
              <w:top w:val="nil"/>
              <w:left w:val="nil"/>
              <w:bottom w:val="single" w:sz="4" w:space="0" w:color="auto"/>
              <w:right w:val="single" w:sz="4" w:space="0" w:color="auto"/>
            </w:tcBorders>
            <w:shd w:val="clear" w:color="auto" w:fill="auto"/>
            <w:vAlign w:val="center"/>
            <w:hideMark/>
          </w:tcPr>
          <w:p w14:paraId="71496F34" w14:textId="77777777" w:rsidR="00EB0FE9" w:rsidRPr="00EB0FE9" w:rsidRDefault="00EB0FE9" w:rsidP="00EB0FE9">
            <w:pPr>
              <w:spacing w:after="120"/>
              <w:ind w:left="-77" w:right="-42" w:hanging="9"/>
              <w:jc w:val="center"/>
              <w:rPr>
                <w:rFonts w:eastAsia="Times New Roman" w:cs="Times New Roman"/>
                <w:sz w:val="20"/>
                <w:szCs w:val="20"/>
                <w:highlight w:val="red"/>
              </w:rPr>
            </w:pPr>
          </w:p>
        </w:tc>
        <w:tc>
          <w:tcPr>
            <w:tcW w:w="1566" w:type="dxa"/>
            <w:tcBorders>
              <w:top w:val="nil"/>
              <w:left w:val="nil"/>
              <w:bottom w:val="single" w:sz="4" w:space="0" w:color="auto"/>
              <w:right w:val="single" w:sz="4" w:space="0" w:color="auto"/>
            </w:tcBorders>
            <w:shd w:val="clear" w:color="auto" w:fill="auto"/>
            <w:vAlign w:val="center"/>
            <w:hideMark/>
          </w:tcPr>
          <w:p w14:paraId="293C14E1" w14:textId="77777777" w:rsidR="00EB0FE9" w:rsidRPr="00EB0FE9" w:rsidRDefault="00EB0FE9" w:rsidP="00EB0FE9">
            <w:pPr>
              <w:spacing w:after="120"/>
              <w:ind w:left="-77" w:right="-42" w:hanging="9"/>
              <w:jc w:val="center"/>
              <w:rPr>
                <w:rFonts w:eastAsia="Times New Roman" w:cs="Times New Roman"/>
                <w:sz w:val="20"/>
                <w:szCs w:val="20"/>
                <w:highlight w:val="red"/>
              </w:rPr>
            </w:pPr>
          </w:p>
        </w:tc>
        <w:tc>
          <w:tcPr>
            <w:tcW w:w="1539" w:type="dxa"/>
            <w:tcBorders>
              <w:top w:val="nil"/>
              <w:left w:val="nil"/>
              <w:bottom w:val="single" w:sz="4" w:space="0" w:color="auto"/>
              <w:right w:val="single" w:sz="4" w:space="0" w:color="auto"/>
            </w:tcBorders>
            <w:shd w:val="clear" w:color="auto" w:fill="auto"/>
            <w:vAlign w:val="center"/>
            <w:hideMark/>
          </w:tcPr>
          <w:p w14:paraId="00F9C04D" w14:textId="77777777" w:rsidR="00EB0FE9" w:rsidRPr="00EB0FE9" w:rsidRDefault="00EB0FE9" w:rsidP="00EB0FE9">
            <w:pPr>
              <w:spacing w:after="120"/>
              <w:ind w:left="-77" w:right="-72" w:hanging="9"/>
              <w:jc w:val="center"/>
              <w:rPr>
                <w:rFonts w:eastAsia="Times New Roman" w:cs="Times New Roman"/>
                <w:sz w:val="20"/>
                <w:szCs w:val="20"/>
                <w:highlight w:val="red"/>
              </w:rPr>
            </w:pPr>
          </w:p>
        </w:tc>
        <w:tc>
          <w:tcPr>
            <w:tcW w:w="828" w:type="dxa"/>
            <w:tcBorders>
              <w:top w:val="nil"/>
              <w:left w:val="nil"/>
              <w:bottom w:val="single" w:sz="4" w:space="0" w:color="auto"/>
              <w:right w:val="single" w:sz="4" w:space="0" w:color="auto"/>
            </w:tcBorders>
            <w:shd w:val="clear" w:color="auto" w:fill="auto"/>
            <w:vAlign w:val="center"/>
            <w:hideMark/>
          </w:tcPr>
          <w:p w14:paraId="0853052B" w14:textId="77777777" w:rsidR="00EB0FE9" w:rsidRPr="00EB0FE9" w:rsidRDefault="00EB0FE9" w:rsidP="00EB0FE9">
            <w:pPr>
              <w:spacing w:after="120"/>
              <w:ind w:left="-92" w:hanging="9"/>
              <w:jc w:val="center"/>
              <w:rPr>
                <w:rFonts w:eastAsia="Times New Roman" w:cs="Times New Roman"/>
                <w:sz w:val="20"/>
                <w:szCs w:val="20"/>
                <w:highlight w:val="red"/>
              </w:rPr>
            </w:pPr>
          </w:p>
        </w:tc>
        <w:tc>
          <w:tcPr>
            <w:tcW w:w="810" w:type="dxa"/>
            <w:tcBorders>
              <w:top w:val="nil"/>
              <w:left w:val="nil"/>
              <w:bottom w:val="single" w:sz="4" w:space="0" w:color="auto"/>
              <w:right w:val="single" w:sz="4" w:space="0" w:color="auto"/>
            </w:tcBorders>
            <w:shd w:val="clear" w:color="auto" w:fill="auto"/>
            <w:vAlign w:val="center"/>
            <w:hideMark/>
          </w:tcPr>
          <w:p w14:paraId="73FA0920" w14:textId="77777777" w:rsidR="00EB0FE9" w:rsidRPr="00EB0FE9" w:rsidRDefault="00EB0FE9" w:rsidP="00EB0FE9">
            <w:pPr>
              <w:spacing w:after="120"/>
              <w:ind w:left="-74" w:hanging="9"/>
              <w:jc w:val="center"/>
              <w:rPr>
                <w:rFonts w:eastAsia="Times New Roman" w:cs="Times New Roman"/>
                <w:sz w:val="20"/>
                <w:szCs w:val="20"/>
                <w:highlight w:val="red"/>
              </w:rPr>
            </w:pPr>
          </w:p>
        </w:tc>
      </w:tr>
      <w:tr w:rsidR="00EB0FE9" w:rsidRPr="00EB0FE9" w14:paraId="5B7CA409" w14:textId="77777777" w:rsidTr="004C02CC">
        <w:trPr>
          <w:trHeight w:val="70"/>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750487EA" w14:textId="77777777" w:rsidR="00EB0FE9" w:rsidRPr="00EB0FE9" w:rsidRDefault="00EB0FE9" w:rsidP="00EB0FE9">
            <w:pPr>
              <w:spacing w:after="0" w:line="240" w:lineRule="auto"/>
              <w:ind w:left="-58" w:right="-58"/>
              <w:jc w:val="left"/>
              <w:rPr>
                <w:rFonts w:eastAsia="Times New Roman" w:cs="Times New Roman"/>
                <w:sz w:val="20"/>
                <w:szCs w:val="20"/>
              </w:rPr>
            </w:pPr>
            <w:r w:rsidRPr="00EB0FE9">
              <w:rPr>
                <w:rFonts w:eastAsia="Times New Roman" w:cs="Times New Roman"/>
                <w:sz w:val="20"/>
                <w:szCs w:val="20"/>
              </w:rPr>
              <w:t>Հարկային եկամուտներ և պետական տուրքեր</w:t>
            </w:r>
          </w:p>
        </w:tc>
        <w:tc>
          <w:tcPr>
            <w:tcW w:w="1575" w:type="dxa"/>
            <w:tcBorders>
              <w:top w:val="nil"/>
              <w:left w:val="nil"/>
              <w:bottom w:val="single" w:sz="4" w:space="0" w:color="auto"/>
              <w:right w:val="single" w:sz="4" w:space="0" w:color="auto"/>
            </w:tcBorders>
            <w:shd w:val="clear" w:color="auto" w:fill="auto"/>
            <w:vAlign w:val="center"/>
            <w:hideMark/>
          </w:tcPr>
          <w:p w14:paraId="49DF13BE" w14:textId="77777777" w:rsidR="00EB0FE9" w:rsidRPr="00EB0FE9" w:rsidRDefault="00EB0FE9" w:rsidP="00EB0FE9">
            <w:pPr>
              <w:spacing w:after="120"/>
              <w:ind w:left="-86" w:right="-45" w:hanging="9"/>
              <w:jc w:val="center"/>
              <w:rPr>
                <w:rFonts w:eastAsia="Times New Roman" w:cs="Times New Roman"/>
                <w:sz w:val="20"/>
                <w:szCs w:val="20"/>
                <w:highlight w:val="red"/>
              </w:rPr>
            </w:pPr>
            <w:r w:rsidRPr="00EB0FE9">
              <w:rPr>
                <w:rFonts w:eastAsia="Times New Roman" w:cs="Times New Roman"/>
                <w:sz w:val="20"/>
                <w:szCs w:val="20"/>
              </w:rPr>
              <w:t>1,602,252,712.8</w:t>
            </w:r>
          </w:p>
        </w:tc>
        <w:tc>
          <w:tcPr>
            <w:tcW w:w="1557" w:type="dxa"/>
            <w:tcBorders>
              <w:top w:val="nil"/>
              <w:left w:val="nil"/>
              <w:bottom w:val="single" w:sz="4" w:space="0" w:color="auto"/>
              <w:right w:val="single" w:sz="4" w:space="0" w:color="auto"/>
            </w:tcBorders>
            <w:shd w:val="clear" w:color="auto" w:fill="auto"/>
            <w:vAlign w:val="center"/>
            <w:hideMark/>
          </w:tcPr>
          <w:p w14:paraId="0E05440E" w14:textId="77777777" w:rsidR="00EB0FE9" w:rsidRPr="00EB0FE9" w:rsidRDefault="00EB0FE9" w:rsidP="00EB0FE9">
            <w:pPr>
              <w:spacing w:after="120"/>
              <w:ind w:left="-74" w:right="-60" w:hanging="9"/>
              <w:jc w:val="center"/>
              <w:rPr>
                <w:rFonts w:eastAsia="Times New Roman" w:cs="Times New Roman"/>
                <w:sz w:val="20"/>
                <w:szCs w:val="20"/>
                <w:highlight w:val="red"/>
              </w:rPr>
            </w:pPr>
            <w:r w:rsidRPr="00EB0FE9">
              <w:rPr>
                <w:rFonts w:eastAsia="Times New Roman" w:cs="Times New Roman"/>
                <w:sz w:val="20"/>
                <w:szCs w:val="20"/>
              </w:rPr>
              <w:t>1,450,338,723.8</w:t>
            </w:r>
          </w:p>
        </w:tc>
        <w:tc>
          <w:tcPr>
            <w:tcW w:w="1548" w:type="dxa"/>
            <w:tcBorders>
              <w:top w:val="nil"/>
              <w:left w:val="nil"/>
              <w:bottom w:val="single" w:sz="4" w:space="0" w:color="auto"/>
              <w:right w:val="single" w:sz="4" w:space="0" w:color="auto"/>
            </w:tcBorders>
            <w:shd w:val="clear" w:color="auto" w:fill="auto"/>
            <w:vAlign w:val="center"/>
            <w:hideMark/>
          </w:tcPr>
          <w:p w14:paraId="7B10935E"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1,160,072,837.0</w:t>
            </w:r>
          </w:p>
        </w:tc>
        <w:tc>
          <w:tcPr>
            <w:tcW w:w="1566" w:type="dxa"/>
            <w:tcBorders>
              <w:top w:val="nil"/>
              <w:left w:val="nil"/>
              <w:bottom w:val="single" w:sz="4" w:space="0" w:color="auto"/>
              <w:right w:val="single" w:sz="4" w:space="0" w:color="auto"/>
            </w:tcBorders>
            <w:shd w:val="clear" w:color="auto" w:fill="auto"/>
            <w:vAlign w:val="center"/>
            <w:hideMark/>
          </w:tcPr>
          <w:p w14:paraId="45F26586"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1,010,758,848.0</w:t>
            </w:r>
          </w:p>
        </w:tc>
        <w:tc>
          <w:tcPr>
            <w:tcW w:w="1539" w:type="dxa"/>
            <w:tcBorders>
              <w:top w:val="nil"/>
              <w:left w:val="nil"/>
              <w:bottom w:val="single" w:sz="4" w:space="0" w:color="auto"/>
              <w:right w:val="single" w:sz="4" w:space="0" w:color="auto"/>
            </w:tcBorders>
            <w:shd w:val="clear" w:color="auto" w:fill="auto"/>
            <w:vAlign w:val="center"/>
            <w:hideMark/>
          </w:tcPr>
          <w:p w14:paraId="7F2DA090" w14:textId="77777777" w:rsidR="00EB0FE9" w:rsidRPr="00EB0FE9" w:rsidRDefault="00EB0FE9" w:rsidP="00EB0FE9">
            <w:pPr>
              <w:spacing w:after="120"/>
              <w:ind w:left="-77" w:right="-72" w:hanging="9"/>
              <w:jc w:val="center"/>
              <w:rPr>
                <w:rFonts w:eastAsia="Times New Roman" w:cs="Times New Roman"/>
                <w:sz w:val="20"/>
                <w:szCs w:val="20"/>
                <w:highlight w:val="red"/>
              </w:rPr>
            </w:pPr>
            <w:r w:rsidRPr="00EB0FE9">
              <w:rPr>
                <w:rFonts w:eastAsia="Times New Roman" w:cs="Times New Roman"/>
                <w:sz w:val="20"/>
                <w:szCs w:val="20"/>
              </w:rPr>
              <w:t>1,016,761,435.0</w:t>
            </w:r>
          </w:p>
        </w:tc>
        <w:tc>
          <w:tcPr>
            <w:tcW w:w="828" w:type="dxa"/>
            <w:tcBorders>
              <w:top w:val="nil"/>
              <w:left w:val="nil"/>
              <w:bottom w:val="single" w:sz="4" w:space="0" w:color="auto"/>
              <w:right w:val="single" w:sz="4" w:space="0" w:color="auto"/>
            </w:tcBorders>
            <w:shd w:val="clear" w:color="auto" w:fill="auto"/>
            <w:vAlign w:val="center"/>
            <w:hideMark/>
          </w:tcPr>
          <w:p w14:paraId="1475C12E" w14:textId="77777777" w:rsidR="00EB0FE9" w:rsidRPr="00EB0FE9" w:rsidRDefault="00EB0FE9" w:rsidP="00EB0FE9">
            <w:pPr>
              <w:spacing w:after="120"/>
              <w:ind w:left="-92" w:hanging="9"/>
              <w:jc w:val="center"/>
              <w:rPr>
                <w:rFonts w:eastAsia="Times New Roman" w:cs="Times New Roman"/>
                <w:sz w:val="20"/>
                <w:szCs w:val="20"/>
                <w:highlight w:val="red"/>
              </w:rPr>
            </w:pPr>
            <w:r w:rsidRPr="00EB0FE9">
              <w:rPr>
                <w:rFonts w:eastAsia="Times New Roman" w:cs="Times New Roman"/>
                <w:sz w:val="20"/>
                <w:szCs w:val="20"/>
              </w:rPr>
              <w:t>70.1%</w:t>
            </w:r>
          </w:p>
        </w:tc>
        <w:tc>
          <w:tcPr>
            <w:tcW w:w="810" w:type="dxa"/>
            <w:tcBorders>
              <w:top w:val="nil"/>
              <w:left w:val="nil"/>
              <w:bottom w:val="single" w:sz="4" w:space="0" w:color="auto"/>
              <w:right w:val="single" w:sz="4" w:space="0" w:color="auto"/>
            </w:tcBorders>
            <w:shd w:val="clear" w:color="auto" w:fill="auto"/>
            <w:vAlign w:val="center"/>
            <w:hideMark/>
          </w:tcPr>
          <w:p w14:paraId="0480C7C6" w14:textId="77777777" w:rsidR="00EB0FE9" w:rsidRPr="00EB0FE9" w:rsidRDefault="00EB0FE9" w:rsidP="00EB0FE9">
            <w:pPr>
              <w:spacing w:after="120"/>
              <w:ind w:left="-74" w:hanging="9"/>
              <w:jc w:val="center"/>
              <w:rPr>
                <w:rFonts w:eastAsia="Times New Roman" w:cs="Times New Roman"/>
                <w:sz w:val="20"/>
                <w:szCs w:val="20"/>
                <w:highlight w:val="red"/>
              </w:rPr>
            </w:pPr>
            <w:r w:rsidRPr="00EB0FE9">
              <w:rPr>
                <w:rFonts w:eastAsia="Times New Roman" w:cs="Times New Roman"/>
                <w:sz w:val="20"/>
                <w:szCs w:val="20"/>
              </w:rPr>
              <w:t>100.6%</w:t>
            </w:r>
          </w:p>
        </w:tc>
      </w:tr>
      <w:tr w:rsidR="00EB0FE9" w:rsidRPr="00EB0FE9" w14:paraId="3FAB44EB" w14:textId="77777777" w:rsidTr="004C02CC">
        <w:trPr>
          <w:trHeight w:val="70"/>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57ADD472" w14:textId="77777777" w:rsidR="00EB0FE9" w:rsidRPr="00EB0FE9" w:rsidRDefault="00EB0FE9" w:rsidP="00EB0FE9">
            <w:pPr>
              <w:spacing w:after="0" w:line="240" w:lineRule="auto"/>
              <w:ind w:left="-58" w:right="-58"/>
              <w:jc w:val="left"/>
              <w:rPr>
                <w:rFonts w:eastAsia="Times New Roman" w:cs="Times New Roman"/>
                <w:sz w:val="20"/>
                <w:szCs w:val="20"/>
              </w:rPr>
            </w:pPr>
            <w:r w:rsidRPr="00EB0FE9">
              <w:rPr>
                <w:rFonts w:eastAsia="Times New Roman" w:cs="Times New Roman"/>
                <w:sz w:val="20"/>
                <w:szCs w:val="20"/>
              </w:rPr>
              <w:t>Պաշտոնական դրամաշնորհներ</w:t>
            </w:r>
          </w:p>
        </w:tc>
        <w:tc>
          <w:tcPr>
            <w:tcW w:w="1575" w:type="dxa"/>
            <w:tcBorders>
              <w:top w:val="nil"/>
              <w:left w:val="nil"/>
              <w:bottom w:val="single" w:sz="4" w:space="0" w:color="auto"/>
              <w:right w:val="single" w:sz="4" w:space="0" w:color="auto"/>
            </w:tcBorders>
            <w:shd w:val="clear" w:color="auto" w:fill="auto"/>
            <w:vAlign w:val="center"/>
            <w:hideMark/>
          </w:tcPr>
          <w:p w14:paraId="42BBF7D3" w14:textId="77777777" w:rsidR="00EB0FE9" w:rsidRPr="00EB0FE9" w:rsidRDefault="00EB0FE9" w:rsidP="00EB0FE9">
            <w:pPr>
              <w:spacing w:after="120"/>
              <w:ind w:left="-86" w:right="-45" w:hanging="9"/>
              <w:jc w:val="center"/>
              <w:rPr>
                <w:rFonts w:eastAsia="Times New Roman" w:cs="Times New Roman"/>
                <w:sz w:val="20"/>
                <w:szCs w:val="20"/>
                <w:highlight w:val="red"/>
              </w:rPr>
            </w:pPr>
            <w:r w:rsidRPr="00EB0FE9">
              <w:rPr>
                <w:rFonts w:eastAsia="Times New Roman" w:cs="Times New Roman"/>
                <w:sz w:val="20"/>
                <w:szCs w:val="20"/>
              </w:rPr>
              <w:t>35,324,420.2</w:t>
            </w:r>
          </w:p>
        </w:tc>
        <w:tc>
          <w:tcPr>
            <w:tcW w:w="1557" w:type="dxa"/>
            <w:tcBorders>
              <w:top w:val="nil"/>
              <w:left w:val="nil"/>
              <w:bottom w:val="single" w:sz="4" w:space="0" w:color="auto"/>
              <w:right w:val="single" w:sz="4" w:space="0" w:color="auto"/>
            </w:tcBorders>
            <w:shd w:val="clear" w:color="auto" w:fill="auto"/>
            <w:vAlign w:val="center"/>
            <w:hideMark/>
          </w:tcPr>
          <w:p w14:paraId="401F2E66" w14:textId="77777777" w:rsidR="00EB0FE9" w:rsidRPr="00EB0FE9" w:rsidRDefault="00EB0FE9" w:rsidP="00EB0FE9">
            <w:pPr>
              <w:spacing w:after="120"/>
              <w:ind w:left="-74" w:right="-60" w:hanging="9"/>
              <w:jc w:val="center"/>
              <w:rPr>
                <w:rFonts w:eastAsia="Times New Roman" w:cs="Times New Roman"/>
                <w:sz w:val="20"/>
                <w:szCs w:val="20"/>
                <w:highlight w:val="red"/>
              </w:rPr>
            </w:pPr>
            <w:r w:rsidRPr="00EB0FE9">
              <w:rPr>
                <w:rFonts w:eastAsia="Times New Roman" w:cs="Times New Roman"/>
                <w:sz w:val="20"/>
                <w:szCs w:val="20"/>
              </w:rPr>
              <w:t>38,910,322.2</w:t>
            </w:r>
          </w:p>
        </w:tc>
        <w:tc>
          <w:tcPr>
            <w:tcW w:w="1548" w:type="dxa"/>
            <w:tcBorders>
              <w:top w:val="nil"/>
              <w:left w:val="nil"/>
              <w:bottom w:val="single" w:sz="4" w:space="0" w:color="auto"/>
              <w:right w:val="single" w:sz="4" w:space="0" w:color="auto"/>
            </w:tcBorders>
            <w:shd w:val="clear" w:color="auto" w:fill="auto"/>
            <w:vAlign w:val="center"/>
            <w:hideMark/>
          </w:tcPr>
          <w:p w14:paraId="0743C33E"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19,781,603.8</w:t>
            </w:r>
          </w:p>
        </w:tc>
        <w:tc>
          <w:tcPr>
            <w:tcW w:w="1566" w:type="dxa"/>
            <w:tcBorders>
              <w:top w:val="nil"/>
              <w:left w:val="nil"/>
              <w:bottom w:val="single" w:sz="4" w:space="0" w:color="auto"/>
              <w:right w:val="single" w:sz="4" w:space="0" w:color="auto"/>
            </w:tcBorders>
            <w:shd w:val="clear" w:color="auto" w:fill="auto"/>
            <w:vAlign w:val="center"/>
            <w:hideMark/>
          </w:tcPr>
          <w:p w14:paraId="4DA5E03D"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21,013,137.9</w:t>
            </w:r>
          </w:p>
        </w:tc>
        <w:tc>
          <w:tcPr>
            <w:tcW w:w="1539" w:type="dxa"/>
            <w:tcBorders>
              <w:top w:val="nil"/>
              <w:left w:val="nil"/>
              <w:bottom w:val="single" w:sz="4" w:space="0" w:color="auto"/>
              <w:right w:val="single" w:sz="4" w:space="0" w:color="auto"/>
            </w:tcBorders>
            <w:shd w:val="clear" w:color="auto" w:fill="auto"/>
            <w:vAlign w:val="center"/>
            <w:hideMark/>
          </w:tcPr>
          <w:p w14:paraId="6F985F45" w14:textId="77777777" w:rsidR="00EB0FE9" w:rsidRPr="00EB0FE9" w:rsidRDefault="00EB0FE9" w:rsidP="00EB0FE9">
            <w:pPr>
              <w:spacing w:after="120"/>
              <w:ind w:left="-77" w:right="-72" w:hanging="9"/>
              <w:jc w:val="center"/>
              <w:rPr>
                <w:rFonts w:eastAsia="Times New Roman" w:cs="Times New Roman"/>
                <w:sz w:val="20"/>
                <w:szCs w:val="20"/>
                <w:highlight w:val="red"/>
              </w:rPr>
            </w:pPr>
            <w:r w:rsidRPr="00EB0FE9">
              <w:rPr>
                <w:rFonts w:eastAsia="Times New Roman" w:cs="Times New Roman"/>
                <w:sz w:val="20"/>
                <w:szCs w:val="20"/>
              </w:rPr>
              <w:t>4,620,767.8</w:t>
            </w:r>
          </w:p>
        </w:tc>
        <w:tc>
          <w:tcPr>
            <w:tcW w:w="828" w:type="dxa"/>
            <w:tcBorders>
              <w:top w:val="nil"/>
              <w:left w:val="nil"/>
              <w:bottom w:val="single" w:sz="4" w:space="0" w:color="auto"/>
              <w:right w:val="single" w:sz="4" w:space="0" w:color="auto"/>
            </w:tcBorders>
            <w:shd w:val="clear" w:color="auto" w:fill="auto"/>
            <w:vAlign w:val="center"/>
            <w:hideMark/>
          </w:tcPr>
          <w:p w14:paraId="438BD579" w14:textId="77777777" w:rsidR="00EB0FE9" w:rsidRPr="00EB0FE9" w:rsidRDefault="00EB0FE9" w:rsidP="00EB0FE9">
            <w:pPr>
              <w:spacing w:after="120"/>
              <w:ind w:left="-92" w:hanging="9"/>
              <w:jc w:val="center"/>
              <w:rPr>
                <w:rFonts w:eastAsia="Times New Roman" w:cs="Times New Roman"/>
                <w:sz w:val="20"/>
                <w:szCs w:val="20"/>
                <w:highlight w:val="red"/>
              </w:rPr>
            </w:pPr>
            <w:r w:rsidRPr="00EB0FE9">
              <w:rPr>
                <w:rFonts w:eastAsia="Times New Roman" w:cs="Times New Roman"/>
                <w:sz w:val="20"/>
                <w:szCs w:val="20"/>
              </w:rPr>
              <w:t>11.9%</w:t>
            </w:r>
          </w:p>
        </w:tc>
        <w:tc>
          <w:tcPr>
            <w:tcW w:w="810" w:type="dxa"/>
            <w:tcBorders>
              <w:top w:val="nil"/>
              <w:left w:val="nil"/>
              <w:bottom w:val="single" w:sz="4" w:space="0" w:color="auto"/>
              <w:right w:val="single" w:sz="4" w:space="0" w:color="auto"/>
            </w:tcBorders>
            <w:shd w:val="clear" w:color="auto" w:fill="auto"/>
            <w:vAlign w:val="center"/>
            <w:hideMark/>
          </w:tcPr>
          <w:p w14:paraId="66896317" w14:textId="77777777" w:rsidR="00EB0FE9" w:rsidRPr="00EB0FE9" w:rsidRDefault="00EB0FE9" w:rsidP="00EB0FE9">
            <w:pPr>
              <w:spacing w:after="120"/>
              <w:ind w:left="-74" w:hanging="9"/>
              <w:jc w:val="center"/>
              <w:rPr>
                <w:rFonts w:eastAsia="Times New Roman" w:cs="Times New Roman"/>
                <w:sz w:val="20"/>
                <w:szCs w:val="20"/>
                <w:highlight w:val="red"/>
              </w:rPr>
            </w:pPr>
            <w:r w:rsidRPr="00EB0FE9">
              <w:rPr>
                <w:rFonts w:eastAsia="Times New Roman" w:cs="Times New Roman"/>
                <w:sz w:val="20"/>
                <w:szCs w:val="20"/>
              </w:rPr>
              <w:t>22.0%</w:t>
            </w:r>
          </w:p>
        </w:tc>
      </w:tr>
      <w:tr w:rsidR="00EB0FE9" w:rsidRPr="00EB0FE9" w14:paraId="18093307" w14:textId="77777777" w:rsidTr="004C02CC">
        <w:trPr>
          <w:trHeight w:val="70"/>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287FC3DD" w14:textId="77777777" w:rsidR="00EB0FE9" w:rsidRPr="00EB0FE9" w:rsidRDefault="00EB0FE9" w:rsidP="00EB0FE9">
            <w:pPr>
              <w:spacing w:after="0" w:line="240" w:lineRule="auto"/>
              <w:ind w:left="-58" w:right="-58"/>
              <w:jc w:val="left"/>
              <w:rPr>
                <w:rFonts w:eastAsia="Times New Roman" w:cs="Times New Roman"/>
                <w:sz w:val="20"/>
                <w:szCs w:val="20"/>
              </w:rPr>
            </w:pPr>
            <w:r w:rsidRPr="00EB0FE9">
              <w:rPr>
                <w:rFonts w:eastAsia="Times New Roman" w:cs="Times New Roman"/>
                <w:sz w:val="20"/>
                <w:szCs w:val="20"/>
              </w:rPr>
              <w:t>Այլ եկամուտներ</w:t>
            </w:r>
          </w:p>
        </w:tc>
        <w:tc>
          <w:tcPr>
            <w:tcW w:w="1575" w:type="dxa"/>
            <w:tcBorders>
              <w:top w:val="nil"/>
              <w:left w:val="nil"/>
              <w:bottom w:val="single" w:sz="4" w:space="0" w:color="auto"/>
              <w:right w:val="single" w:sz="4" w:space="0" w:color="auto"/>
            </w:tcBorders>
            <w:shd w:val="clear" w:color="auto" w:fill="auto"/>
            <w:vAlign w:val="center"/>
            <w:hideMark/>
          </w:tcPr>
          <w:p w14:paraId="4889BC9E" w14:textId="77777777" w:rsidR="00EB0FE9" w:rsidRPr="00EB0FE9" w:rsidRDefault="00EB0FE9" w:rsidP="00EB0FE9">
            <w:pPr>
              <w:spacing w:after="120"/>
              <w:ind w:left="-86" w:right="-45" w:hanging="9"/>
              <w:jc w:val="center"/>
              <w:rPr>
                <w:rFonts w:eastAsia="Times New Roman" w:cs="Times New Roman"/>
                <w:sz w:val="20"/>
                <w:szCs w:val="20"/>
                <w:highlight w:val="red"/>
              </w:rPr>
            </w:pPr>
            <w:r w:rsidRPr="00EB0FE9">
              <w:rPr>
                <w:rFonts w:eastAsia="Times New Roman" w:cs="Times New Roman"/>
                <w:sz w:val="20"/>
                <w:szCs w:val="20"/>
              </w:rPr>
              <w:t>57,432,719.1</w:t>
            </w:r>
          </w:p>
        </w:tc>
        <w:tc>
          <w:tcPr>
            <w:tcW w:w="1557" w:type="dxa"/>
            <w:tcBorders>
              <w:top w:val="nil"/>
              <w:left w:val="nil"/>
              <w:bottom w:val="single" w:sz="4" w:space="0" w:color="auto"/>
              <w:right w:val="single" w:sz="4" w:space="0" w:color="auto"/>
            </w:tcBorders>
            <w:shd w:val="clear" w:color="auto" w:fill="auto"/>
            <w:vAlign w:val="center"/>
            <w:hideMark/>
          </w:tcPr>
          <w:p w14:paraId="6715D03D" w14:textId="77777777" w:rsidR="00EB0FE9" w:rsidRPr="00EB0FE9" w:rsidRDefault="00EB0FE9" w:rsidP="00EB0FE9">
            <w:pPr>
              <w:spacing w:after="120"/>
              <w:ind w:left="-74" w:right="-60" w:hanging="9"/>
              <w:jc w:val="center"/>
              <w:rPr>
                <w:rFonts w:eastAsia="Times New Roman" w:cs="Times New Roman"/>
                <w:sz w:val="20"/>
                <w:szCs w:val="20"/>
                <w:highlight w:val="red"/>
              </w:rPr>
            </w:pPr>
            <w:r w:rsidRPr="00EB0FE9">
              <w:rPr>
                <w:rFonts w:eastAsia="Times New Roman" w:cs="Times New Roman"/>
                <w:sz w:val="20"/>
                <w:szCs w:val="20"/>
              </w:rPr>
              <w:t>111,498,264.8</w:t>
            </w:r>
          </w:p>
        </w:tc>
        <w:tc>
          <w:tcPr>
            <w:tcW w:w="1548" w:type="dxa"/>
            <w:tcBorders>
              <w:top w:val="nil"/>
              <w:left w:val="nil"/>
              <w:bottom w:val="single" w:sz="4" w:space="0" w:color="auto"/>
              <w:right w:val="single" w:sz="4" w:space="0" w:color="auto"/>
            </w:tcBorders>
            <w:shd w:val="clear" w:color="auto" w:fill="auto"/>
            <w:vAlign w:val="center"/>
            <w:hideMark/>
          </w:tcPr>
          <w:p w14:paraId="4AE2A201"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38,854,334.0</w:t>
            </w:r>
          </w:p>
        </w:tc>
        <w:tc>
          <w:tcPr>
            <w:tcW w:w="1566" w:type="dxa"/>
            <w:tcBorders>
              <w:top w:val="nil"/>
              <w:left w:val="nil"/>
              <w:bottom w:val="single" w:sz="4" w:space="0" w:color="auto"/>
              <w:right w:val="single" w:sz="4" w:space="0" w:color="auto"/>
            </w:tcBorders>
            <w:shd w:val="clear" w:color="auto" w:fill="auto"/>
            <w:vAlign w:val="center"/>
            <w:hideMark/>
          </w:tcPr>
          <w:p w14:paraId="736DE524" w14:textId="77777777" w:rsidR="00EB0FE9" w:rsidRPr="00EB0FE9" w:rsidRDefault="00EB0FE9" w:rsidP="00EB0FE9">
            <w:pPr>
              <w:spacing w:after="120"/>
              <w:ind w:left="-77" w:right="-42" w:hanging="9"/>
              <w:jc w:val="center"/>
              <w:rPr>
                <w:rFonts w:eastAsia="Times New Roman" w:cs="Times New Roman"/>
                <w:sz w:val="20"/>
                <w:szCs w:val="20"/>
                <w:highlight w:val="red"/>
              </w:rPr>
            </w:pPr>
            <w:r w:rsidRPr="00EB0FE9">
              <w:rPr>
                <w:rFonts w:eastAsia="Times New Roman" w:cs="Times New Roman"/>
                <w:sz w:val="20"/>
                <w:szCs w:val="20"/>
              </w:rPr>
              <w:t>56,205,331.4</w:t>
            </w:r>
          </w:p>
        </w:tc>
        <w:tc>
          <w:tcPr>
            <w:tcW w:w="1539" w:type="dxa"/>
            <w:tcBorders>
              <w:top w:val="nil"/>
              <w:left w:val="nil"/>
              <w:bottom w:val="single" w:sz="4" w:space="0" w:color="auto"/>
              <w:right w:val="single" w:sz="4" w:space="0" w:color="auto"/>
            </w:tcBorders>
            <w:shd w:val="clear" w:color="auto" w:fill="auto"/>
            <w:vAlign w:val="center"/>
            <w:hideMark/>
          </w:tcPr>
          <w:p w14:paraId="59FC7BAE" w14:textId="77777777" w:rsidR="00EB0FE9" w:rsidRPr="00EB0FE9" w:rsidRDefault="00EB0FE9" w:rsidP="00EB0FE9">
            <w:pPr>
              <w:spacing w:after="120"/>
              <w:ind w:left="-77" w:right="-72" w:hanging="9"/>
              <w:jc w:val="center"/>
              <w:rPr>
                <w:rFonts w:eastAsia="Times New Roman" w:cs="Times New Roman"/>
                <w:sz w:val="20"/>
                <w:szCs w:val="20"/>
                <w:highlight w:val="red"/>
              </w:rPr>
            </w:pPr>
            <w:r w:rsidRPr="00EB0FE9">
              <w:rPr>
                <w:rFonts w:eastAsia="Times New Roman" w:cs="Times New Roman"/>
                <w:sz w:val="20"/>
                <w:szCs w:val="20"/>
              </w:rPr>
              <w:t>53,740,495.3</w:t>
            </w:r>
          </w:p>
        </w:tc>
        <w:tc>
          <w:tcPr>
            <w:tcW w:w="828" w:type="dxa"/>
            <w:tcBorders>
              <w:top w:val="nil"/>
              <w:left w:val="nil"/>
              <w:bottom w:val="single" w:sz="4" w:space="0" w:color="auto"/>
              <w:right w:val="single" w:sz="4" w:space="0" w:color="auto"/>
            </w:tcBorders>
            <w:shd w:val="clear" w:color="auto" w:fill="auto"/>
            <w:vAlign w:val="center"/>
            <w:hideMark/>
          </w:tcPr>
          <w:p w14:paraId="4621A7BD" w14:textId="77777777" w:rsidR="00EB0FE9" w:rsidRPr="00EB0FE9" w:rsidRDefault="00EB0FE9" w:rsidP="00EB0FE9">
            <w:pPr>
              <w:spacing w:after="120"/>
              <w:ind w:left="-92" w:hanging="9"/>
              <w:jc w:val="center"/>
              <w:rPr>
                <w:rFonts w:eastAsia="Times New Roman" w:cs="Times New Roman"/>
                <w:sz w:val="20"/>
                <w:szCs w:val="20"/>
                <w:highlight w:val="red"/>
              </w:rPr>
            </w:pPr>
            <w:r w:rsidRPr="00EB0FE9">
              <w:rPr>
                <w:rFonts w:eastAsia="Times New Roman" w:cs="Times New Roman"/>
                <w:sz w:val="20"/>
                <w:szCs w:val="20"/>
              </w:rPr>
              <w:t>48.2%</w:t>
            </w:r>
          </w:p>
        </w:tc>
        <w:tc>
          <w:tcPr>
            <w:tcW w:w="810" w:type="dxa"/>
            <w:tcBorders>
              <w:top w:val="nil"/>
              <w:left w:val="nil"/>
              <w:bottom w:val="single" w:sz="4" w:space="0" w:color="auto"/>
              <w:right w:val="single" w:sz="4" w:space="0" w:color="auto"/>
            </w:tcBorders>
            <w:shd w:val="clear" w:color="auto" w:fill="auto"/>
            <w:vAlign w:val="center"/>
            <w:hideMark/>
          </w:tcPr>
          <w:p w14:paraId="142CDC39" w14:textId="77777777" w:rsidR="00EB0FE9" w:rsidRPr="00EB0FE9" w:rsidRDefault="00EB0FE9" w:rsidP="00EB0FE9">
            <w:pPr>
              <w:spacing w:after="120"/>
              <w:ind w:left="-74" w:hanging="9"/>
              <w:jc w:val="center"/>
              <w:rPr>
                <w:rFonts w:eastAsia="Times New Roman" w:cs="Times New Roman"/>
                <w:sz w:val="20"/>
                <w:szCs w:val="20"/>
                <w:highlight w:val="red"/>
              </w:rPr>
            </w:pPr>
            <w:r w:rsidRPr="00EB0FE9">
              <w:rPr>
                <w:rFonts w:eastAsia="Times New Roman" w:cs="Times New Roman"/>
                <w:sz w:val="20"/>
                <w:szCs w:val="20"/>
              </w:rPr>
              <w:t>95.6%</w:t>
            </w:r>
          </w:p>
        </w:tc>
      </w:tr>
    </w:tbl>
    <w:p w14:paraId="33F74F7D" w14:textId="77777777" w:rsidR="00EB0FE9" w:rsidRPr="00EB0FE9" w:rsidRDefault="00EB0FE9" w:rsidP="00EB0FE9">
      <w:pPr>
        <w:spacing w:after="0"/>
        <w:ind w:left="2" w:firstLine="565"/>
        <w:contextualSpacing/>
        <w:jc w:val="right"/>
        <w:rPr>
          <w:rFonts w:eastAsia="Calibri" w:cs="Times New Roman"/>
          <w:sz w:val="22"/>
          <w:szCs w:val="22"/>
          <w:highlight w:val="red"/>
        </w:rPr>
      </w:pPr>
    </w:p>
    <w:p w14:paraId="31B12DE0"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2020 թվականի ինն ամիսների պետական բյուջեի փաստացի եկամուտները (1,075,122.7 մլն</w:t>
      </w:r>
      <w:r w:rsidRPr="00EB0FE9">
        <w:rPr>
          <w:rFonts w:ascii="Cambria Math" w:eastAsia="Times New Roman" w:hAnsi="Cambria Math" w:cs="Cambria Math"/>
        </w:rPr>
        <w:t>․</w:t>
      </w:r>
      <w:r w:rsidRPr="00EB0FE9">
        <w:rPr>
          <w:rFonts w:eastAsia="Times New Roman" w:cs="Times New Roman"/>
        </w:rPr>
        <w:t xml:space="preserve"> դրամ) կազմել են 2020թ</w:t>
      </w:r>
      <w:r w:rsidRPr="00EB0FE9">
        <w:rPr>
          <w:rFonts w:ascii="Cambria Math" w:eastAsia="Times New Roman" w:hAnsi="Cambria Math" w:cs="Cambria Math"/>
        </w:rPr>
        <w:t>․</w:t>
      </w:r>
      <w:r w:rsidRPr="00EB0FE9">
        <w:rPr>
          <w:rFonts w:eastAsia="Times New Roman" w:cs="Times New Roman"/>
        </w:rPr>
        <w:t xml:space="preserve"> ինն ամիսների ճշտված ծրագրով կանխատեսված ցուցանիշի (1,087,977</w:t>
      </w:r>
      <w:r w:rsidRPr="00EB0FE9">
        <w:rPr>
          <w:rFonts w:ascii="Cambria Math" w:eastAsia="Times New Roman" w:hAnsi="Cambria Math" w:cs="Cambria Math"/>
        </w:rPr>
        <w:t>․</w:t>
      </w:r>
      <w:r w:rsidRPr="00EB0FE9">
        <w:rPr>
          <w:rFonts w:eastAsia="Times New Roman" w:cs="Times New Roman"/>
        </w:rPr>
        <w:t>3 մլն.դրամ) 98.8%-ը, որից հարկային եկամուտների և պետական տուրքերի փաստացի մուտքերը (1,016,761.4 մլն</w:t>
      </w:r>
      <w:r w:rsidRPr="00EB0FE9">
        <w:rPr>
          <w:rFonts w:ascii="Cambria Math" w:eastAsia="Times New Roman" w:hAnsi="Cambria Math" w:cs="Cambria Math"/>
        </w:rPr>
        <w:t>․</w:t>
      </w:r>
      <w:r w:rsidRPr="00EB0FE9">
        <w:rPr>
          <w:rFonts w:eastAsia="Times New Roman" w:cs="Times New Roman"/>
        </w:rPr>
        <w:t xml:space="preserve"> դրամ)  կազմել են ինն ամիսների ճշտված ծրագրային ցուցանիշի  (1,010,758</w:t>
      </w:r>
      <w:r w:rsidRPr="00EB0FE9">
        <w:rPr>
          <w:rFonts w:ascii="Cambria Math" w:eastAsia="Times New Roman" w:hAnsi="Cambria Math" w:cs="Cambria Math"/>
        </w:rPr>
        <w:t>․</w:t>
      </w:r>
      <w:r w:rsidRPr="00EB0FE9">
        <w:rPr>
          <w:rFonts w:eastAsia="Times New Roman" w:cs="Times New Roman"/>
        </w:rPr>
        <w:t>8 մլն</w:t>
      </w:r>
      <w:r w:rsidRPr="00EB0FE9">
        <w:rPr>
          <w:rFonts w:ascii="Cambria Math" w:eastAsia="Times New Roman" w:hAnsi="Cambria Math" w:cs="Cambria Math"/>
        </w:rPr>
        <w:t>․</w:t>
      </w:r>
      <w:r w:rsidRPr="00EB0FE9">
        <w:rPr>
          <w:rFonts w:eastAsia="Times New Roman" w:cs="Times New Roman"/>
        </w:rPr>
        <w:t xml:space="preserve"> դրամ)  100.6 %-ը։</w:t>
      </w:r>
    </w:p>
    <w:p w14:paraId="7539BE71"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Պետական բյուջեի ինն ամիսների փաստացի եկամուտների 94.6%-ը ձևավորվել է հարկային եկամուտների և պետական տուրքերի, 0.4%-ը` պաշտոնական դրամաշնորհների, 5.0%-ը` այլ եկամուտների հաշվին:</w:t>
      </w:r>
    </w:p>
    <w:p w14:paraId="2EC498A4" w14:textId="44B5A440" w:rsidR="005E1DC0" w:rsidRPr="0034222B" w:rsidRDefault="00EB0FE9" w:rsidP="0034222B">
      <w:pPr>
        <w:ind w:firstLine="567"/>
        <w:rPr>
          <w:rFonts w:eastAsia="Times New Roman" w:cs="Times New Roman"/>
        </w:rPr>
        <w:sectPr w:rsidR="005E1DC0" w:rsidRPr="0034222B" w:rsidSect="002F56CA">
          <w:pgSz w:w="12240" w:h="15840"/>
          <w:pgMar w:top="1843" w:right="902" w:bottom="851" w:left="1298" w:header="720" w:footer="720" w:gutter="0"/>
          <w:cols w:space="720"/>
          <w:titlePg/>
          <w:docGrid w:linePitch="360"/>
        </w:sectPr>
      </w:pPr>
      <w:r w:rsidRPr="00EB0FE9">
        <w:rPr>
          <w:rFonts w:eastAsia="Times New Roman" w:cs="Times New Roman"/>
        </w:rPr>
        <w:tab/>
        <w:t>2019 թվականի ինն ամիսների համեմատ 2020թ. ինն ամիսների պետական բյուջեի եկամուտները նվազել են 6.4%-ով կամ 73.0 մլրդ դրամով</w:t>
      </w:r>
      <w:r>
        <w:rPr>
          <w:rFonts w:eastAsia="Times New Roman" w:cs="Times New Roman"/>
        </w:rPr>
        <w:t>։</w:t>
      </w:r>
    </w:p>
    <w:p w14:paraId="6760D534" w14:textId="762A24A8" w:rsidR="0052331E" w:rsidRPr="00EA329B" w:rsidRDefault="0052331E" w:rsidP="00EA329B">
      <w:pPr>
        <w:pStyle w:val="Heading2"/>
      </w:pPr>
      <w:bookmarkStart w:id="8" w:name="_Toc64560568"/>
      <w:r w:rsidRPr="00EA329B">
        <w:lastRenderedPageBreak/>
        <w:t>ՀԱՐԿԱՅԻՆ ԵԿԱՄՈՒՏՆԵՐԻ ՎԵՐԱԲԵՐՅԱԼ</w:t>
      </w:r>
      <w:bookmarkEnd w:id="8"/>
    </w:p>
    <w:p w14:paraId="08E0153E" w14:textId="7787691E" w:rsidR="0052331E" w:rsidRDefault="0052331E" w:rsidP="00C60AA9"/>
    <w:p w14:paraId="71411368" w14:textId="77777777" w:rsidR="00EB0FE9" w:rsidRPr="00EB0FE9" w:rsidRDefault="00EB0FE9" w:rsidP="00EB0FE9">
      <w:pPr>
        <w:spacing w:after="120"/>
        <w:ind w:firstLine="567"/>
        <w:rPr>
          <w:rFonts w:eastAsia="Times New Roman" w:cs="Times New Roman"/>
          <w:highlight w:val="red"/>
        </w:rPr>
      </w:pPr>
      <w:r w:rsidRPr="00EB0FE9">
        <w:rPr>
          <w:rFonts w:eastAsia="Times New Roman" w:cs="Times New Roman"/>
        </w:rPr>
        <w:t>2020 թվականի ինն ամիսների ընթացքում պետական բյուջե փաստացի մուտքագրված հարկային եկամուտների և պետական տուրքերի գումարը կազմել է  1,016,761,435.0 հազ դրամ գումար՝ 100.6%</w:t>
      </w:r>
      <w:r w:rsidRPr="00EB0FE9">
        <w:rPr>
          <w:rFonts w:eastAsia="Times New Roman" w:cs="Times New Roman"/>
        </w:rPr>
        <w:noBreakHyphen/>
        <w:t>ով ապահովելով ՀՀ կառավարության ինն ամիսների ճշտված ծրագրով կանխատեսված ցուցանիշը։</w:t>
      </w:r>
    </w:p>
    <w:p w14:paraId="68927C88" w14:textId="77777777" w:rsidR="00EB0FE9" w:rsidRPr="00EB0FE9" w:rsidRDefault="00EB0FE9" w:rsidP="00EB0FE9">
      <w:pPr>
        <w:spacing w:after="120"/>
        <w:ind w:firstLine="567"/>
        <w:rPr>
          <w:rFonts w:eastAsia="Times New Roman" w:cs="Times New Roman"/>
          <w:highlight w:val="red"/>
        </w:rPr>
      </w:pPr>
    </w:p>
    <w:p w14:paraId="56C06212"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2020 թվականի ինն ամիսների ընթացքում ՀՀ պետական բյուջե մուտքագրված  հարկային եկամուտների և պետական տուրքերի կառուցվածքն ըստ եկամտի տեսակների հետևյալն է.</w:t>
      </w:r>
    </w:p>
    <w:p w14:paraId="2D7F1F43" w14:textId="77777777" w:rsidR="00EB0FE9" w:rsidRPr="00EB0FE9" w:rsidRDefault="00EB0FE9" w:rsidP="00EB0FE9">
      <w:pPr>
        <w:spacing w:after="120"/>
        <w:rPr>
          <w:rFonts w:eastAsia="Times New Roman" w:cs="Times New Roman"/>
          <w:highlight w:val="red"/>
        </w:rPr>
      </w:pPr>
    </w:p>
    <w:p w14:paraId="00DF1533" w14:textId="77777777" w:rsidR="00EB0FE9" w:rsidRPr="00EB0FE9" w:rsidRDefault="00EB0FE9" w:rsidP="00EB0FE9">
      <w:pPr>
        <w:numPr>
          <w:ilvl w:val="0"/>
          <w:numId w:val="3"/>
        </w:numPr>
        <w:tabs>
          <w:tab w:val="left" w:pos="426"/>
        </w:tabs>
        <w:spacing w:after="120"/>
        <w:ind w:left="0" w:firstLine="0"/>
        <w:contextualSpacing/>
        <w:rPr>
          <w:rFonts w:eastAsia="Times New Roman" w:cs="Sylfaen"/>
        </w:rPr>
      </w:pPr>
      <w:r w:rsidRPr="00EB0FE9">
        <w:rPr>
          <w:rFonts w:eastAsia="Times New Roman" w:cs="Sylfaen"/>
        </w:rPr>
        <w:t>33.0%</w:t>
      </w:r>
      <w:r w:rsidRPr="00EB0FE9">
        <w:rPr>
          <w:rFonts w:eastAsia="Times New Roman" w:cs="Sylfaen"/>
        </w:rPr>
        <w:noBreakHyphen/>
        <w:t>ն ապահովվել է ավելացված արժեքի հարկի հաշվին՝ կազմելով 335.1 մլրդ. դրամ, որից 199 մլրդ դրամը ստացվել է ՀՀ ներմուծվող ապրանքներից, այդ թվում՝ 78.3 մլրդ դրամը գանձվել է Եվրասիական տնտեսական միության անդամ պետություններից ներմուծվող ապրանքների համար: Մնացած 136.2 մլրդ դրամը գանձվել է ՀՀ</w:t>
      </w:r>
      <w:r w:rsidRPr="00EB0FE9">
        <w:rPr>
          <w:rFonts w:eastAsia="Times New Roman" w:cs="Sylfaen"/>
        </w:rPr>
        <w:noBreakHyphen/>
        <w:t>ում արտադրվող ապրանքներից և ծառայություններից:</w:t>
      </w:r>
    </w:p>
    <w:p w14:paraId="093D006D" w14:textId="77777777" w:rsidR="00EB0FE9" w:rsidRPr="00EB0FE9" w:rsidRDefault="00EB0FE9" w:rsidP="00EB0FE9">
      <w:pPr>
        <w:tabs>
          <w:tab w:val="left" w:pos="426"/>
        </w:tabs>
        <w:contextualSpacing/>
        <w:rPr>
          <w:rFonts w:eastAsia="Times New Roman" w:cs="Sylfaen"/>
        </w:rPr>
      </w:pPr>
    </w:p>
    <w:p w14:paraId="0446003D" w14:textId="77777777" w:rsidR="00EB0FE9" w:rsidRPr="00EB0FE9" w:rsidRDefault="00EB0FE9" w:rsidP="00EB0FE9">
      <w:pPr>
        <w:numPr>
          <w:ilvl w:val="0"/>
          <w:numId w:val="3"/>
        </w:numPr>
        <w:tabs>
          <w:tab w:val="left" w:pos="426"/>
        </w:tabs>
        <w:spacing w:after="120"/>
        <w:ind w:left="0" w:firstLine="0"/>
        <w:contextualSpacing/>
        <w:jc w:val="left"/>
        <w:rPr>
          <w:rFonts w:eastAsia="Times New Roman" w:cs="Sylfaen"/>
        </w:rPr>
      </w:pPr>
      <w:r w:rsidRPr="00EB0FE9">
        <w:rPr>
          <w:rFonts w:eastAsia="Times New Roman" w:cs="GHEA Grapalat"/>
          <w:color w:val="000000"/>
        </w:rPr>
        <w:t>30.5%</w:t>
      </w:r>
      <w:r w:rsidRPr="00EB0FE9">
        <w:rPr>
          <w:rFonts w:eastAsia="Times New Roman" w:cs="GHEA Grapalat"/>
          <w:color w:val="000000"/>
        </w:rPr>
        <w:noBreakHyphen/>
      </w:r>
      <w:r w:rsidRPr="00EB0FE9">
        <w:rPr>
          <w:rFonts w:eastAsia="Times New Roman" w:cs="Sylfaen"/>
        </w:rPr>
        <w:t>ը ապահովվել է եկամտային հարկի հաշվին՝ կազմելով 310</w:t>
      </w:r>
      <w:r w:rsidRPr="00EB0FE9">
        <w:rPr>
          <w:rFonts w:ascii="Cambria Math" w:eastAsia="Times New Roman" w:hAnsi="Cambria Math" w:cs="Cambria Math"/>
        </w:rPr>
        <w:t>․</w:t>
      </w:r>
      <w:r w:rsidRPr="00EB0FE9">
        <w:rPr>
          <w:rFonts w:eastAsia="Times New Roman" w:cs="Sylfaen"/>
        </w:rPr>
        <w:t>5 մլրդ. դրամ:</w:t>
      </w:r>
    </w:p>
    <w:p w14:paraId="0C83CA57" w14:textId="77777777" w:rsidR="00EB0FE9" w:rsidRPr="00EB0FE9" w:rsidRDefault="00EB0FE9" w:rsidP="00EB0FE9">
      <w:pPr>
        <w:tabs>
          <w:tab w:val="left" w:pos="426"/>
        </w:tabs>
        <w:spacing w:after="120"/>
        <w:contextualSpacing/>
        <w:rPr>
          <w:rFonts w:eastAsia="Times New Roman" w:cs="Sylfaen"/>
        </w:rPr>
      </w:pPr>
    </w:p>
    <w:p w14:paraId="36F620D8" w14:textId="77777777" w:rsidR="00EB0FE9" w:rsidRPr="00EB0FE9" w:rsidRDefault="00EB0FE9" w:rsidP="00EB0FE9">
      <w:pPr>
        <w:numPr>
          <w:ilvl w:val="0"/>
          <w:numId w:val="3"/>
        </w:numPr>
        <w:tabs>
          <w:tab w:val="left" w:pos="426"/>
        </w:tabs>
        <w:spacing w:after="120"/>
        <w:ind w:left="0" w:firstLine="0"/>
        <w:contextualSpacing/>
        <w:rPr>
          <w:rFonts w:eastAsia="Times New Roman" w:cs="Sylfaen"/>
        </w:rPr>
      </w:pPr>
      <w:r w:rsidRPr="00EB0FE9">
        <w:rPr>
          <w:rFonts w:eastAsia="Times New Roman" w:cs="Sylfaen"/>
        </w:rPr>
        <w:t>12.1%-ն ապահովվել է շահութահարկի հաշվին` կազմելով 122</w:t>
      </w:r>
      <w:r w:rsidRPr="00EB0FE9">
        <w:rPr>
          <w:rFonts w:ascii="Cambria Math" w:eastAsia="Times New Roman" w:hAnsi="Cambria Math" w:cs="Cambria Math"/>
        </w:rPr>
        <w:t>․</w:t>
      </w:r>
      <w:r w:rsidRPr="00EB0FE9">
        <w:rPr>
          <w:rFonts w:eastAsia="Times New Roman" w:cs="Sylfaen"/>
        </w:rPr>
        <w:t>6 մլրդ դրամ:</w:t>
      </w:r>
    </w:p>
    <w:p w14:paraId="1B56C744" w14:textId="77777777" w:rsidR="00EB0FE9" w:rsidRPr="00EB0FE9" w:rsidRDefault="00EB0FE9" w:rsidP="00EB0FE9">
      <w:pPr>
        <w:tabs>
          <w:tab w:val="left" w:pos="426"/>
        </w:tabs>
        <w:spacing w:after="120"/>
        <w:contextualSpacing/>
        <w:rPr>
          <w:rFonts w:eastAsia="Times New Roman" w:cs="Sylfaen"/>
        </w:rPr>
      </w:pPr>
    </w:p>
    <w:p w14:paraId="6B272DC1"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rPr>
          <w:rFonts w:eastAsia="Times New Roman" w:cs="Sylfaen"/>
        </w:rPr>
      </w:pPr>
      <w:r w:rsidRPr="00EB0FE9">
        <w:rPr>
          <w:rFonts w:eastAsia="Times New Roman" w:cs="Sylfaen"/>
        </w:rPr>
        <w:t>8</w:t>
      </w:r>
      <w:r w:rsidRPr="00EB0FE9">
        <w:rPr>
          <w:rFonts w:ascii="Cambria Math" w:eastAsia="Times New Roman" w:hAnsi="Cambria Math" w:cs="Cambria Math"/>
        </w:rPr>
        <w:t>․</w:t>
      </w:r>
      <w:r w:rsidRPr="00EB0FE9">
        <w:rPr>
          <w:rFonts w:eastAsia="Times New Roman" w:cs="Sylfaen"/>
        </w:rPr>
        <w:t>2%-ն ապահովվել է ակցիզային հարկի հաշվին` կազմելով 83.6 մլրդ դրամ:</w:t>
      </w:r>
    </w:p>
    <w:p w14:paraId="59132BD7" w14:textId="77777777" w:rsidR="00EB0FE9" w:rsidRPr="00EB0FE9" w:rsidRDefault="00EB0FE9" w:rsidP="00EB0FE9">
      <w:pPr>
        <w:spacing w:after="120"/>
        <w:contextualSpacing/>
        <w:rPr>
          <w:rFonts w:eastAsia="Times New Roman" w:cs="Sylfaen"/>
        </w:rPr>
      </w:pPr>
    </w:p>
    <w:p w14:paraId="4F85B225"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rPr>
          <w:rFonts w:eastAsia="Times New Roman" w:cs="Sylfaen"/>
        </w:rPr>
      </w:pPr>
      <w:r w:rsidRPr="00EB0FE9">
        <w:rPr>
          <w:rFonts w:eastAsia="Times New Roman" w:cs="Sylfaen"/>
        </w:rPr>
        <w:t>Մասնավորապես` հանրապետությունում արտադրվող ենթաակցիզային ապրանքների հարկումից ստացվել է 44.2</w:t>
      </w:r>
      <w:r w:rsidRPr="00EB0FE9">
        <w:rPr>
          <w:rFonts w:eastAsia="Times New Roman" w:cs="GHEA Grapalat"/>
          <w:color w:val="000000"/>
        </w:rPr>
        <w:t xml:space="preserve"> </w:t>
      </w:r>
      <w:r w:rsidRPr="00EB0FE9">
        <w:rPr>
          <w:rFonts w:eastAsia="Times New Roman" w:cs="Sylfaen"/>
        </w:rPr>
        <w:t>մլրդ դրամ, հանրապետություն ներմուծվող ենթաակցիզային ապրանքների հարկումից՝ 39.4</w:t>
      </w:r>
      <w:r w:rsidRPr="00EB0FE9">
        <w:rPr>
          <w:rFonts w:eastAsia="Times New Roman" w:cs="GHEA Grapalat"/>
          <w:color w:val="000000"/>
        </w:rPr>
        <w:t xml:space="preserve"> </w:t>
      </w:r>
      <w:r w:rsidRPr="00EB0FE9">
        <w:rPr>
          <w:rFonts w:eastAsia="Times New Roman" w:cs="Sylfaen"/>
        </w:rPr>
        <w:t>մլրդ դրամ։ Նախորդ համադրելի ժամանակաշրջանի համեմատ ակցիզային հարկի գծով եկամուտները աճել են 0.4%-ով՝ 1</w:t>
      </w:r>
      <w:r w:rsidRPr="00EB0FE9">
        <w:rPr>
          <w:rFonts w:ascii="Cambria Math" w:eastAsia="Times New Roman" w:hAnsi="Cambria Math" w:cs="Cambria Math"/>
        </w:rPr>
        <w:t>․</w:t>
      </w:r>
      <w:r w:rsidRPr="00EB0FE9">
        <w:rPr>
          <w:rFonts w:eastAsia="Times New Roman" w:cs="Sylfaen"/>
        </w:rPr>
        <w:t>4 մլր դրամով, ինչը հիմնականում պայմանավորված է օրենսդրական փոփոխությունների արդյունքում ակցիզային հարկի դրույքաչափերի աճով և նոր դրույքաչափերի հաստատմամբ։</w:t>
      </w:r>
    </w:p>
    <w:p w14:paraId="57100384" w14:textId="77777777" w:rsidR="00EB0FE9" w:rsidRPr="00EB0FE9" w:rsidRDefault="00EB0FE9" w:rsidP="00EB0FE9">
      <w:pPr>
        <w:tabs>
          <w:tab w:val="left" w:pos="426"/>
        </w:tabs>
        <w:autoSpaceDE w:val="0"/>
        <w:autoSpaceDN w:val="0"/>
        <w:adjustRightInd w:val="0"/>
        <w:spacing w:after="120"/>
        <w:contextualSpacing/>
        <w:rPr>
          <w:rFonts w:eastAsia="Times New Roman" w:cs="Sylfaen"/>
        </w:rPr>
      </w:pPr>
    </w:p>
    <w:p w14:paraId="1C63C322" w14:textId="77777777" w:rsidR="00EB0FE9" w:rsidRPr="00EB0FE9" w:rsidRDefault="00EB0FE9" w:rsidP="00EB0FE9">
      <w:pPr>
        <w:numPr>
          <w:ilvl w:val="0"/>
          <w:numId w:val="3"/>
        </w:numPr>
        <w:tabs>
          <w:tab w:val="left" w:pos="426"/>
        </w:tabs>
        <w:spacing w:after="120"/>
        <w:ind w:left="0" w:firstLine="0"/>
        <w:contextualSpacing/>
        <w:rPr>
          <w:rFonts w:eastAsia="Times New Roman" w:cs="Sylfaen"/>
        </w:rPr>
      </w:pPr>
      <w:r w:rsidRPr="00EB0FE9">
        <w:rPr>
          <w:rFonts w:eastAsia="Times New Roman" w:cs="Sylfaen"/>
        </w:rPr>
        <w:t>4.6 %-ն ապահովվել է մաքսատուրքի հաշվին` կազմելով 46.9</w:t>
      </w:r>
      <w:r w:rsidRPr="00EB0FE9">
        <w:rPr>
          <w:rFonts w:ascii="Calibri" w:eastAsia="Times New Roman" w:hAnsi="Calibri" w:cs="Calibri"/>
        </w:rPr>
        <w:t> </w:t>
      </w:r>
      <w:r w:rsidRPr="00EB0FE9">
        <w:rPr>
          <w:rFonts w:eastAsia="Times New Roman" w:cs="Sylfaen"/>
        </w:rPr>
        <w:t>մլրդ դրամ։</w:t>
      </w:r>
    </w:p>
    <w:p w14:paraId="3A41C392" w14:textId="77777777" w:rsidR="00EB0FE9" w:rsidRPr="00EB0FE9" w:rsidRDefault="00EB0FE9" w:rsidP="00EB0FE9">
      <w:pPr>
        <w:tabs>
          <w:tab w:val="left" w:pos="426"/>
        </w:tabs>
        <w:spacing w:after="120"/>
        <w:contextualSpacing/>
        <w:rPr>
          <w:rFonts w:eastAsia="Times New Roman" w:cs="Sylfaen"/>
        </w:rPr>
      </w:pPr>
    </w:p>
    <w:p w14:paraId="07F8982D"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jc w:val="left"/>
        <w:rPr>
          <w:rFonts w:eastAsia="Times New Roman" w:cs="Sylfaen"/>
        </w:rPr>
      </w:pPr>
      <w:r w:rsidRPr="00EB0FE9">
        <w:rPr>
          <w:rFonts w:eastAsia="Times New Roman" w:cs="Sylfaen"/>
        </w:rPr>
        <w:t>1.9 %</w:t>
      </w:r>
      <w:r w:rsidRPr="00EB0FE9">
        <w:rPr>
          <w:rFonts w:eastAsia="Times New Roman" w:cs="Sylfaen"/>
        </w:rPr>
        <w:noBreakHyphen/>
        <w:t>ը ապահովվել է շրջանառության հարկի հաշվին՝ կազմելով 19.8 մլրդ դրամ։</w:t>
      </w:r>
    </w:p>
    <w:p w14:paraId="66F2AB8B" w14:textId="77777777" w:rsidR="00EB0FE9" w:rsidRPr="00EB0FE9" w:rsidRDefault="00EB0FE9" w:rsidP="00EB0FE9">
      <w:pPr>
        <w:tabs>
          <w:tab w:val="left" w:pos="426"/>
        </w:tabs>
        <w:autoSpaceDE w:val="0"/>
        <w:autoSpaceDN w:val="0"/>
        <w:adjustRightInd w:val="0"/>
        <w:spacing w:after="120"/>
        <w:contextualSpacing/>
        <w:rPr>
          <w:rFonts w:eastAsia="Times New Roman" w:cs="Sylfaen"/>
        </w:rPr>
      </w:pPr>
    </w:p>
    <w:p w14:paraId="06ABF25A"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jc w:val="left"/>
        <w:rPr>
          <w:rFonts w:eastAsia="Times New Roman" w:cs="Sylfaen"/>
        </w:rPr>
      </w:pPr>
      <w:r w:rsidRPr="00EB0FE9">
        <w:rPr>
          <w:rFonts w:eastAsia="Times New Roman" w:cs="Sylfaen"/>
        </w:rPr>
        <w:t>1.7%-ը ապահովվել է սոցիալական վճարի հաշվին՝ կազմելով 17</w:t>
      </w:r>
      <w:r w:rsidRPr="00EB0FE9">
        <w:rPr>
          <w:rFonts w:ascii="Cambria Math" w:eastAsia="Times New Roman" w:hAnsi="Cambria Math" w:cs="Cambria Math"/>
        </w:rPr>
        <w:t>․</w:t>
      </w:r>
      <w:r w:rsidRPr="00EB0FE9">
        <w:rPr>
          <w:rFonts w:eastAsia="Times New Roman" w:cs="Sylfaen"/>
        </w:rPr>
        <w:t>4 մլրդ դրամ։</w:t>
      </w:r>
    </w:p>
    <w:p w14:paraId="0D7D2E08" w14:textId="77777777" w:rsidR="00EB0FE9" w:rsidRPr="00EB0FE9" w:rsidRDefault="00EB0FE9" w:rsidP="00EB0FE9">
      <w:pPr>
        <w:tabs>
          <w:tab w:val="left" w:pos="426"/>
        </w:tabs>
        <w:autoSpaceDE w:val="0"/>
        <w:autoSpaceDN w:val="0"/>
        <w:adjustRightInd w:val="0"/>
        <w:spacing w:after="120"/>
        <w:contextualSpacing/>
        <w:rPr>
          <w:rFonts w:eastAsia="Times New Roman" w:cs="Sylfaen"/>
        </w:rPr>
      </w:pPr>
    </w:p>
    <w:p w14:paraId="165B9963" w14:textId="77777777" w:rsidR="00EB0FE9" w:rsidRPr="00EB0FE9" w:rsidRDefault="00EB0FE9" w:rsidP="00EB0FE9">
      <w:pPr>
        <w:numPr>
          <w:ilvl w:val="0"/>
          <w:numId w:val="3"/>
        </w:numPr>
        <w:tabs>
          <w:tab w:val="left" w:pos="426"/>
        </w:tabs>
        <w:autoSpaceDE w:val="0"/>
        <w:autoSpaceDN w:val="0"/>
        <w:adjustRightInd w:val="0"/>
        <w:spacing w:after="0"/>
        <w:ind w:left="0" w:firstLine="0"/>
        <w:contextualSpacing/>
        <w:rPr>
          <w:rFonts w:eastAsia="Times New Roman" w:cs="Sylfaen"/>
        </w:rPr>
      </w:pPr>
      <w:r w:rsidRPr="00EB0FE9">
        <w:rPr>
          <w:rFonts w:eastAsia="Times New Roman" w:cs="Sylfaen"/>
        </w:rPr>
        <w:t>4.0%</w:t>
      </w:r>
      <w:r w:rsidRPr="00EB0FE9">
        <w:rPr>
          <w:rFonts w:eastAsia="Times New Roman" w:cs="Sylfaen"/>
        </w:rPr>
        <w:noBreakHyphen/>
        <w:t>ը ապահովվել է բնապահպանական հարկի և բնօգտագործման վճարների հաշվին՝ կազմելով 41 մլրդ դրամ։</w:t>
      </w:r>
    </w:p>
    <w:p w14:paraId="53183272" w14:textId="77777777" w:rsidR="00EB0FE9" w:rsidRPr="00EB0FE9" w:rsidRDefault="00EB0FE9" w:rsidP="00EB0FE9">
      <w:pPr>
        <w:tabs>
          <w:tab w:val="left" w:pos="426"/>
        </w:tabs>
        <w:autoSpaceDE w:val="0"/>
        <w:autoSpaceDN w:val="0"/>
        <w:adjustRightInd w:val="0"/>
        <w:spacing w:after="0"/>
        <w:contextualSpacing/>
        <w:rPr>
          <w:rFonts w:eastAsia="Times New Roman" w:cs="Sylfaen"/>
        </w:rPr>
      </w:pPr>
    </w:p>
    <w:p w14:paraId="62542431"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rPr>
          <w:rFonts w:eastAsia="Times New Roman" w:cs="Sylfaen"/>
        </w:rPr>
      </w:pPr>
      <w:r w:rsidRPr="00EB0FE9">
        <w:rPr>
          <w:rFonts w:eastAsia="Times New Roman" w:cs="Sylfaen"/>
        </w:rPr>
        <w:t>1.7 %-ը ապահովվել է այլ հարկերի հաշվին՝ կազմելով 17.6 մլրդ դրամ, մասնավորապես` 6</w:t>
      </w:r>
      <w:r w:rsidRPr="00EB0FE9">
        <w:rPr>
          <w:rFonts w:ascii="Cambria Math" w:eastAsia="Times New Roman" w:hAnsi="Cambria Math" w:cs="Cambria Math"/>
        </w:rPr>
        <w:t>․</w:t>
      </w:r>
      <w:r w:rsidRPr="00EB0FE9">
        <w:rPr>
          <w:rFonts w:eastAsia="Times New Roman" w:cs="Sylfaen"/>
        </w:rPr>
        <w:t>4 մլրդ դրամ կազմել են «Հայաստանի Հանրապետության պաշտպանու</w:t>
      </w:r>
      <w:bookmarkStart w:id="9" w:name="_GoBack"/>
      <w:bookmarkEnd w:id="9"/>
      <w:r w:rsidRPr="00EB0FE9">
        <w:rPr>
          <w:rFonts w:eastAsia="Times New Roman" w:cs="Sylfaen"/>
        </w:rPr>
        <w:t>թյան ժամանակ զինծառայողների կյանքին կամ առողջությանը պատճառված վնասների հատուցման մասին» ՀՀ օրենքով սահմանված դրոշմանիշային վճարները, 6</w:t>
      </w:r>
      <w:r w:rsidRPr="00EB0FE9">
        <w:rPr>
          <w:rFonts w:ascii="Cambria Math" w:eastAsia="Times New Roman" w:hAnsi="Cambria Math" w:cs="Cambria Math"/>
        </w:rPr>
        <w:t>․</w:t>
      </w:r>
      <w:r w:rsidRPr="00EB0FE9">
        <w:rPr>
          <w:rFonts w:eastAsia="Times New Roman" w:cs="Sylfaen"/>
        </w:rPr>
        <w:t>2 մլրդ դրամ՝ ռադիոհաճախականության օգտագործման պարտադիր վճարները,</w:t>
      </w:r>
      <w:r w:rsidRPr="00EB0FE9">
        <w:rPr>
          <w:rFonts w:eastAsia="Times New Roman" w:cs="Sylfaen"/>
          <w:color w:val="FF0000"/>
        </w:rPr>
        <w:t xml:space="preserve"> </w:t>
      </w:r>
      <w:r w:rsidRPr="00EB0FE9">
        <w:rPr>
          <w:rFonts w:eastAsia="Times New Roman" w:cs="Sylfaen"/>
        </w:rPr>
        <w:t>2.0 մլրդ. դրամ՝ ճանապարհային հարկը, 0.8 մլրդ. դրամ՝ ԵՏՄ անդամ չհանդիսացող պետություններից ՀՀ մաքսային մարմինների կողմից գանձվող միասնական մաքսային վճարը,</w:t>
      </w:r>
      <w:r w:rsidRPr="00EB0FE9">
        <w:rPr>
          <w:rFonts w:eastAsia="Times New Roman" w:cs="Sylfaen"/>
          <w:color w:val="FF0000"/>
        </w:rPr>
        <w:t xml:space="preserve"> </w:t>
      </w:r>
      <w:r w:rsidRPr="00EB0FE9">
        <w:rPr>
          <w:rFonts w:eastAsia="Times New Roman" w:cs="Sylfaen"/>
        </w:rPr>
        <w:t>0.6</w:t>
      </w:r>
      <w:r w:rsidRPr="00EB0FE9">
        <w:rPr>
          <w:rFonts w:ascii="Calibri" w:eastAsia="Times New Roman" w:hAnsi="Calibri" w:cs="Calibri"/>
        </w:rPr>
        <w:t> </w:t>
      </w:r>
      <w:r w:rsidRPr="00EB0FE9">
        <w:rPr>
          <w:rFonts w:eastAsia="Times New Roman" w:cs="Sylfaen"/>
        </w:rPr>
        <w:t>մլրդ. դրամ՝ հանրային ծառայությունների կարգավորման պարտադիր վճարները,</w:t>
      </w:r>
      <w:r w:rsidRPr="00EB0FE9">
        <w:rPr>
          <w:rFonts w:eastAsia="Times New Roman" w:cs="Sylfaen"/>
          <w:color w:val="FF0000"/>
        </w:rPr>
        <w:t xml:space="preserve"> </w:t>
      </w:r>
      <w:r w:rsidRPr="00EB0FE9">
        <w:rPr>
          <w:rFonts w:eastAsia="Times New Roman" w:cs="Sylfaen"/>
        </w:rPr>
        <w:t>38.1 մլն դրամ՝ արտոնագրային հարկը:</w:t>
      </w:r>
    </w:p>
    <w:p w14:paraId="50FD5167" w14:textId="77777777" w:rsidR="00EB0FE9" w:rsidRPr="00EB0FE9" w:rsidRDefault="00EB0FE9" w:rsidP="00EB0FE9">
      <w:pPr>
        <w:tabs>
          <w:tab w:val="left" w:pos="426"/>
        </w:tabs>
        <w:autoSpaceDE w:val="0"/>
        <w:autoSpaceDN w:val="0"/>
        <w:adjustRightInd w:val="0"/>
        <w:contextualSpacing/>
        <w:rPr>
          <w:rFonts w:eastAsia="Times New Roman" w:cs="Sylfaen"/>
        </w:rPr>
      </w:pPr>
    </w:p>
    <w:p w14:paraId="2128C1F3" w14:textId="77777777" w:rsidR="00EB0FE9" w:rsidRPr="00EB0FE9" w:rsidRDefault="00EB0FE9" w:rsidP="00EB0FE9">
      <w:pPr>
        <w:numPr>
          <w:ilvl w:val="0"/>
          <w:numId w:val="3"/>
        </w:numPr>
        <w:tabs>
          <w:tab w:val="left" w:pos="426"/>
        </w:tabs>
        <w:spacing w:after="120"/>
        <w:ind w:left="0" w:firstLine="0"/>
        <w:contextualSpacing/>
        <w:rPr>
          <w:rFonts w:eastAsia="Times New Roman" w:cs="Sylfaen"/>
        </w:rPr>
      </w:pPr>
      <w:r w:rsidRPr="00EB0FE9">
        <w:rPr>
          <w:rFonts w:eastAsia="Times New Roman" w:cs="Sylfaen"/>
        </w:rPr>
        <w:t>Հաշվետու ժամանակահատվածում հարկերի անցումային գերավճարից միասնական հաշիվ փոխանցված գումարը կազմել է 307</w:t>
      </w:r>
      <w:r w:rsidRPr="00EB0FE9">
        <w:rPr>
          <w:rFonts w:ascii="Cambria Math" w:eastAsia="Times New Roman" w:hAnsi="Cambria Math" w:cs="Cambria Math"/>
        </w:rPr>
        <w:t>․</w:t>
      </w:r>
      <w:r w:rsidRPr="00EB0FE9">
        <w:rPr>
          <w:rFonts w:eastAsia="Times New Roman" w:cs="Sylfaen"/>
        </w:rPr>
        <w:t>7 մլն դրամ:</w:t>
      </w:r>
    </w:p>
    <w:p w14:paraId="33A53F7A" w14:textId="77777777" w:rsidR="00EB0FE9" w:rsidRPr="00EB0FE9" w:rsidRDefault="00EB0FE9" w:rsidP="00EB0FE9">
      <w:pPr>
        <w:tabs>
          <w:tab w:val="left" w:pos="426"/>
        </w:tabs>
        <w:spacing w:after="120"/>
        <w:contextualSpacing/>
        <w:rPr>
          <w:rFonts w:eastAsia="Times New Roman" w:cs="Sylfaen"/>
        </w:rPr>
      </w:pPr>
    </w:p>
    <w:p w14:paraId="6580E7A3" w14:textId="77777777" w:rsidR="00EB0FE9" w:rsidRPr="00EB0FE9" w:rsidRDefault="00EB0FE9" w:rsidP="00EB0FE9">
      <w:pPr>
        <w:numPr>
          <w:ilvl w:val="0"/>
          <w:numId w:val="3"/>
        </w:numPr>
        <w:tabs>
          <w:tab w:val="left" w:pos="426"/>
        </w:tabs>
        <w:autoSpaceDE w:val="0"/>
        <w:autoSpaceDN w:val="0"/>
        <w:adjustRightInd w:val="0"/>
        <w:spacing w:after="120"/>
        <w:ind w:left="0" w:firstLine="0"/>
        <w:contextualSpacing/>
        <w:rPr>
          <w:rFonts w:eastAsia="Times New Roman" w:cs="Sylfaen"/>
        </w:rPr>
      </w:pPr>
      <w:r w:rsidRPr="00EB0FE9">
        <w:rPr>
          <w:rFonts w:eastAsia="Times New Roman" w:cs="Sylfaen"/>
        </w:rPr>
        <w:t>2.2 %</w:t>
      </w:r>
      <w:r w:rsidRPr="00EB0FE9">
        <w:rPr>
          <w:rFonts w:eastAsia="Times New Roman" w:cs="Sylfaen"/>
        </w:rPr>
        <w:noBreakHyphen/>
        <w:t>ը ապահովվել է պետական տուրքերի հաշվին՝ կազմելով 22</w:t>
      </w:r>
      <w:r w:rsidRPr="00EB0FE9">
        <w:rPr>
          <w:rFonts w:ascii="Cambria Math" w:eastAsia="Times New Roman" w:hAnsi="Cambria Math" w:cs="Cambria Math"/>
        </w:rPr>
        <w:t>․</w:t>
      </w:r>
      <w:r w:rsidRPr="00EB0FE9">
        <w:rPr>
          <w:rFonts w:eastAsia="Times New Roman" w:cs="Sylfaen"/>
        </w:rPr>
        <w:t>6 մլրդ դրամ։ Վճարված պետական տուրքերը կազմել են հաշվետու ժամանակաշրջանի ծրագրային ցուցանիշի 64.7%</w:t>
      </w:r>
      <w:r w:rsidRPr="00EB0FE9">
        <w:rPr>
          <w:rFonts w:eastAsia="Times New Roman" w:cs="Sylfaen"/>
        </w:rPr>
        <w:noBreakHyphen/>
        <w:t>ը: Շեղումը հիմնականում պայմանավորված է օրենքով սահմանված այլ ծառայությունների և գործողությունների ու լիցենզավորման ենթակա գործունեություն իրականացնելու նպատակով լիցենզիաներ, արտոնագրեր (թույլտվություններ) տալու համար սահմանված պետական տուրքերի կատարողականով: Բացի այդ, ցածր կատարողական է արձանագրվել նաև պետական գրանցման և ֆիզիկական անձանց տրվող իրավաբանական նշանակություն ունեցող փաստաթղթերի, որոշակի ծառայությունների կամ գործողությունների համար սահմանված պետական տուրքերի գծով։</w:t>
      </w:r>
    </w:p>
    <w:p w14:paraId="1D433A86" w14:textId="77777777" w:rsidR="00EB0FE9" w:rsidRPr="00EB0FE9" w:rsidRDefault="00EB0FE9" w:rsidP="00EB0FE9">
      <w:pPr>
        <w:tabs>
          <w:tab w:val="left" w:pos="426"/>
        </w:tabs>
        <w:contextualSpacing/>
        <w:rPr>
          <w:rFonts w:eastAsia="Times New Roman" w:cs="Sylfaen"/>
        </w:rPr>
      </w:pPr>
      <w:r w:rsidRPr="00EB0FE9">
        <w:rPr>
          <w:rFonts w:eastAsia="Times New Roman" w:cs="Sylfaen"/>
        </w:rPr>
        <w:tab/>
      </w:r>
    </w:p>
    <w:p w14:paraId="3728E625" w14:textId="77777777" w:rsidR="00EB0FE9" w:rsidRPr="00EB0FE9" w:rsidRDefault="00EB0FE9" w:rsidP="00EB0FE9">
      <w:pPr>
        <w:contextualSpacing/>
        <w:rPr>
          <w:rFonts w:eastAsia="Times New Roman" w:cs="Sylfaen"/>
        </w:rPr>
      </w:pPr>
      <w:r w:rsidRPr="00EB0FE9">
        <w:rPr>
          <w:rFonts w:eastAsia="Times New Roman" w:cs="Sylfaen"/>
        </w:rPr>
        <w:t xml:space="preserve">2019 թվականի ինն ամիսների համեմատ պետական տուրքի գծով բյուջեի մուտքերը նվազել են 24.6% ով կամ 7.4 մլրդ դրամով, որը հիմնականում պայմանավորված է օրենքով սահմանված այլ ծառայությունների և գործողությունների, պետական գրանցման, ինչպես նաև ֆիզիկական անձանց տրվող իրավաբանական նշանակություն ունեցող փաստաթղթերի, որոշակի ծառայությունների կամ գործողությունների համար գանձված տուրքերի նվազմամբ: Նախորդ տարվա նույն ժամանակահատվածի համեմատ աճ է արձանագրվել լիցենզավորման ենթակա գործունեություն իրականացնելու նպատակով </w:t>
      </w:r>
      <w:r w:rsidRPr="00EB0FE9">
        <w:rPr>
          <w:rFonts w:eastAsia="Times New Roman" w:cs="Sylfaen"/>
        </w:rPr>
        <w:lastRenderedPageBreak/>
        <w:t>լիցենզիաներ, արտոնագրեր (թույլտվություններ) տալու համար գանձվող տուրքերի գծով, որոնք 29.2%-ով կամ 1.7 մլրդ դրամով գերազանցել են նախորդ տարվա նույն ժամանակահատվածի ցուցանիշը։</w:t>
      </w:r>
    </w:p>
    <w:p w14:paraId="3711ED83" w14:textId="77777777" w:rsidR="00EB0FE9" w:rsidRPr="00EB0FE9" w:rsidRDefault="00EB0FE9" w:rsidP="00EB0FE9">
      <w:pPr>
        <w:tabs>
          <w:tab w:val="left" w:pos="426"/>
        </w:tabs>
        <w:contextualSpacing/>
        <w:rPr>
          <w:rFonts w:eastAsia="Times New Roman" w:cs="Sylfaen"/>
        </w:rPr>
      </w:pPr>
    </w:p>
    <w:p w14:paraId="45D18CC9" w14:textId="77777777" w:rsidR="00EB0FE9" w:rsidRPr="00EB0FE9" w:rsidRDefault="00EB0FE9" w:rsidP="00EB0FE9">
      <w:pPr>
        <w:tabs>
          <w:tab w:val="left" w:pos="426"/>
        </w:tabs>
        <w:autoSpaceDE w:val="0"/>
        <w:autoSpaceDN w:val="0"/>
        <w:adjustRightInd w:val="0"/>
        <w:spacing w:after="120"/>
        <w:ind w:left="35" w:firstLine="567"/>
        <w:rPr>
          <w:rFonts w:eastAsia="Times New Roman" w:cs="Sylfaen"/>
        </w:rPr>
      </w:pPr>
      <w:r w:rsidRPr="00EB0FE9">
        <w:rPr>
          <w:rFonts w:eastAsia="Times New Roman" w:cs="Sylfaen"/>
        </w:rPr>
        <w:t>Նախորդ տարվա նույն ժամանակահատվածի համեմատ աճել են նաև բանկային և ֆինանսավարկային կազմակերպությունների ու տրանսպորտի բնագավառներում լիցենզավորման համար գանձվող տուրքերը՝ կազմելով համապատասխանաբար 7</w:t>
      </w:r>
      <w:r w:rsidRPr="00EB0FE9">
        <w:rPr>
          <w:rFonts w:ascii="Cambria Math" w:eastAsia="Times New Roman" w:hAnsi="Cambria Math" w:cs="Cambria Math"/>
        </w:rPr>
        <w:t>․</w:t>
      </w:r>
      <w:r w:rsidRPr="00EB0FE9">
        <w:rPr>
          <w:rFonts w:eastAsia="Times New Roman" w:cs="Sylfaen"/>
        </w:rPr>
        <w:t>3 անգամ (820</w:t>
      </w:r>
      <w:r w:rsidRPr="00EB0FE9">
        <w:rPr>
          <w:rFonts w:ascii="Cambria Math" w:eastAsia="Times New Roman" w:hAnsi="Cambria Math" w:cs="Cambria Math"/>
        </w:rPr>
        <w:t>․</w:t>
      </w:r>
      <w:r w:rsidRPr="00EB0FE9">
        <w:rPr>
          <w:rFonts w:eastAsia="Times New Roman" w:cs="Sylfaen"/>
        </w:rPr>
        <w:t>5 մլն դրամով) և 7.3 անգամ (388.8 մլն դրամով):</w:t>
      </w:r>
    </w:p>
    <w:p w14:paraId="1312DED4" w14:textId="77777777" w:rsidR="00EB0FE9" w:rsidRPr="00EB0FE9" w:rsidRDefault="00EB0FE9" w:rsidP="00EB0FE9">
      <w:pPr>
        <w:tabs>
          <w:tab w:val="left" w:pos="426"/>
        </w:tabs>
        <w:autoSpaceDE w:val="0"/>
        <w:autoSpaceDN w:val="0"/>
        <w:adjustRightInd w:val="0"/>
        <w:spacing w:after="0"/>
        <w:ind w:left="42" w:firstLine="567"/>
        <w:rPr>
          <w:rFonts w:eastAsia="Times New Roman" w:cs="Sylfaen"/>
        </w:rPr>
      </w:pPr>
    </w:p>
    <w:p w14:paraId="55FB1C64" w14:textId="77777777" w:rsidR="00EB0FE9" w:rsidRPr="00EB0FE9" w:rsidRDefault="00EB0FE9" w:rsidP="00EB0FE9">
      <w:pPr>
        <w:spacing w:after="0"/>
        <w:ind w:firstLine="567"/>
        <w:rPr>
          <w:rFonts w:eastAsia="Times New Roman" w:cs="Times New Roman"/>
        </w:rPr>
      </w:pPr>
      <w:r w:rsidRPr="00EB0FE9">
        <w:rPr>
          <w:rFonts w:eastAsia="Times New Roman" w:cs="Sylfaen"/>
        </w:rPr>
        <w:t>ՀՀ ՊԵԿ կողմից հաստատված եզրակացությունների համաձայն 2020թ. ինն ամիսների և նախորդ համադրելի ժամանակաշրջանի ԱԱՀ-ի զրոյական դրույքաչափով հարկվող գործարքներից առաջացած ԱԱՀ-ի փոխհատուցվող գումարի, բյուջեից հաշվանցման ենթակա ԱԱՀ գումարի գծով միասնական հաշվին մուտքագրված (այդ թվում հարկային ուսումնասիրությունների արդյունքում) և ԱԱՀ-ի վերադարձի (Tax free) հաշիվներով վերադարձված գումարների, ինչպես նաև վարկառուներին և համավարկառուներին հիպոտեկային վարկի սպասարկման համար վճարվող տոկոսների գծով համադրելի ցուցանիշները հետևյալն են՝</w:t>
      </w:r>
    </w:p>
    <w:p w14:paraId="1D7D1D12" w14:textId="77777777" w:rsidR="00EB0FE9" w:rsidRPr="00EB0FE9" w:rsidRDefault="00EB0FE9" w:rsidP="00EB0FE9">
      <w:pPr>
        <w:spacing w:after="0"/>
        <w:ind w:firstLine="567"/>
        <w:jc w:val="right"/>
        <w:rPr>
          <w:rFonts w:eastAsia="Times New Roman" w:cs="Times New Roman"/>
          <w:sz w:val="22"/>
          <w:szCs w:val="22"/>
        </w:rPr>
      </w:pPr>
    </w:p>
    <w:p w14:paraId="63D0EEDD" w14:textId="77777777" w:rsidR="00EB0FE9" w:rsidRPr="00EB0FE9" w:rsidRDefault="00EB0FE9" w:rsidP="00EB0FE9">
      <w:pPr>
        <w:spacing w:after="0"/>
        <w:ind w:firstLine="567"/>
        <w:jc w:val="right"/>
        <w:rPr>
          <w:rFonts w:eastAsia="Times New Roman" w:cs="Sylfaen"/>
          <w:sz w:val="22"/>
          <w:szCs w:val="22"/>
        </w:rPr>
      </w:pPr>
      <w:r w:rsidRPr="00EB0FE9">
        <w:rPr>
          <w:rFonts w:eastAsia="Times New Roman" w:cs="Times New Roman"/>
          <w:sz w:val="22"/>
          <w:szCs w:val="22"/>
        </w:rPr>
        <w:t>(Աղյուսակ 4)</w:t>
      </w:r>
    </w:p>
    <w:p w14:paraId="61687E62" w14:textId="77777777" w:rsidR="00EB0FE9" w:rsidRPr="00EB0FE9" w:rsidRDefault="00EB0FE9" w:rsidP="00EB0FE9">
      <w:pPr>
        <w:spacing w:after="0"/>
        <w:ind w:firstLine="567"/>
        <w:jc w:val="right"/>
        <w:rPr>
          <w:rFonts w:eastAsia="Times New Roman" w:cs="Times New Roman"/>
          <w:sz w:val="22"/>
          <w:szCs w:val="22"/>
        </w:rPr>
      </w:pPr>
      <w:r w:rsidRPr="00EB0FE9">
        <w:rPr>
          <w:rFonts w:eastAsia="Times New Roman" w:cs="Times New Roman"/>
          <w:sz w:val="22"/>
          <w:szCs w:val="22"/>
        </w:rPr>
        <w:t>մլն.դրամ</w:t>
      </w:r>
    </w:p>
    <w:tbl>
      <w:tblPr>
        <w:tblW w:w="9991" w:type="dxa"/>
        <w:tblLook w:val="04A0" w:firstRow="1" w:lastRow="0" w:firstColumn="1" w:lastColumn="0" w:noHBand="0" w:noVBand="1"/>
      </w:tblPr>
      <w:tblGrid>
        <w:gridCol w:w="720"/>
        <w:gridCol w:w="5371"/>
        <w:gridCol w:w="1540"/>
        <w:gridCol w:w="1501"/>
        <w:gridCol w:w="859"/>
      </w:tblGrid>
      <w:tr w:rsidR="00EB0FE9" w:rsidRPr="00EB0FE9" w14:paraId="16115B71" w14:textId="77777777" w:rsidTr="004C02CC">
        <w:trPr>
          <w:trHeight w:val="28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573D"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Հ/Հ</w:t>
            </w:r>
          </w:p>
        </w:tc>
        <w:tc>
          <w:tcPr>
            <w:tcW w:w="53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06646"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Ցուցանիշ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505E3A"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20</w:t>
            </w:r>
            <w:r w:rsidRPr="00EB0FE9">
              <w:rPr>
                <w:rFonts w:eastAsia="Times New Roman" w:cs="Arial"/>
                <w:b/>
                <w:bCs/>
                <w:sz w:val="22"/>
                <w:szCs w:val="22"/>
              </w:rPr>
              <w:t>19</w:t>
            </w:r>
            <w:r w:rsidRPr="00EB0FE9">
              <w:rPr>
                <w:rFonts w:eastAsia="Times New Roman" w:cs="Arial"/>
                <w:b/>
                <w:bCs/>
                <w:sz w:val="22"/>
                <w:szCs w:val="22"/>
                <w:lang w:val="en-US"/>
              </w:rPr>
              <w:t>թ.</w:t>
            </w:r>
            <w:r w:rsidRPr="00EB0FE9">
              <w:rPr>
                <w:rFonts w:ascii="Calibri" w:eastAsia="Times New Roman" w:hAnsi="Calibri" w:cs="Calibri"/>
                <w:b/>
                <w:bCs/>
                <w:sz w:val="22"/>
                <w:szCs w:val="22"/>
                <w:lang w:val="en-US"/>
              </w:rPr>
              <w:t> </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14:paraId="1D3BB166"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2020թ.</w:t>
            </w:r>
          </w:p>
        </w:tc>
      </w:tr>
      <w:tr w:rsidR="00EB0FE9" w:rsidRPr="00EB0FE9" w14:paraId="5B491B84" w14:textId="77777777" w:rsidTr="004C02CC">
        <w:trPr>
          <w:trHeight w:val="855"/>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2EDB92C" w14:textId="77777777" w:rsidR="00EB0FE9" w:rsidRPr="00EB0FE9" w:rsidRDefault="00EB0FE9" w:rsidP="00EB0FE9">
            <w:pPr>
              <w:spacing w:after="0"/>
              <w:jc w:val="left"/>
              <w:rPr>
                <w:rFonts w:eastAsia="Times New Roman" w:cs="Arial"/>
                <w:b/>
                <w:bCs/>
                <w:sz w:val="22"/>
                <w:szCs w:val="22"/>
                <w:lang w:val="en-US"/>
              </w:rPr>
            </w:pPr>
          </w:p>
        </w:tc>
        <w:tc>
          <w:tcPr>
            <w:tcW w:w="5371" w:type="dxa"/>
            <w:vMerge/>
            <w:tcBorders>
              <w:top w:val="single" w:sz="4" w:space="0" w:color="auto"/>
              <w:left w:val="single" w:sz="4" w:space="0" w:color="auto"/>
              <w:bottom w:val="single" w:sz="4" w:space="0" w:color="auto"/>
              <w:right w:val="single" w:sz="4" w:space="0" w:color="auto"/>
            </w:tcBorders>
            <w:vAlign w:val="center"/>
            <w:hideMark/>
          </w:tcPr>
          <w:p w14:paraId="64E58C86" w14:textId="77777777" w:rsidR="00EB0FE9" w:rsidRPr="00EB0FE9" w:rsidRDefault="00EB0FE9" w:rsidP="00EB0FE9">
            <w:pPr>
              <w:spacing w:after="0"/>
              <w:jc w:val="left"/>
              <w:rPr>
                <w:rFonts w:eastAsia="Times New Roman" w:cs="Arial"/>
                <w:b/>
                <w:bCs/>
                <w:sz w:val="22"/>
                <w:szCs w:val="22"/>
                <w:lang w:val="en-US"/>
              </w:rPr>
            </w:pPr>
          </w:p>
        </w:tc>
        <w:tc>
          <w:tcPr>
            <w:tcW w:w="1540" w:type="dxa"/>
            <w:tcBorders>
              <w:top w:val="nil"/>
              <w:left w:val="nil"/>
              <w:bottom w:val="single" w:sz="4" w:space="0" w:color="auto"/>
              <w:right w:val="single" w:sz="4" w:space="0" w:color="auto"/>
            </w:tcBorders>
            <w:shd w:val="clear" w:color="auto" w:fill="auto"/>
            <w:vAlign w:val="center"/>
            <w:hideMark/>
          </w:tcPr>
          <w:p w14:paraId="554CCBB7"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Հունվար-սեպտեմբեր</w:t>
            </w:r>
          </w:p>
        </w:tc>
        <w:tc>
          <w:tcPr>
            <w:tcW w:w="1501" w:type="dxa"/>
            <w:tcBorders>
              <w:top w:val="nil"/>
              <w:left w:val="nil"/>
              <w:bottom w:val="single" w:sz="4" w:space="0" w:color="auto"/>
              <w:right w:val="single" w:sz="4" w:space="0" w:color="auto"/>
            </w:tcBorders>
            <w:shd w:val="clear" w:color="auto" w:fill="auto"/>
            <w:vAlign w:val="center"/>
            <w:hideMark/>
          </w:tcPr>
          <w:p w14:paraId="7E301FEA"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en-US"/>
              </w:rPr>
              <w:t>Հունվար-սեպտեմբեր</w:t>
            </w:r>
          </w:p>
        </w:tc>
        <w:tc>
          <w:tcPr>
            <w:tcW w:w="859" w:type="dxa"/>
            <w:tcBorders>
              <w:top w:val="nil"/>
              <w:left w:val="nil"/>
              <w:bottom w:val="single" w:sz="4" w:space="0" w:color="auto"/>
              <w:right w:val="single" w:sz="4" w:space="0" w:color="auto"/>
            </w:tcBorders>
            <w:shd w:val="clear" w:color="auto" w:fill="auto"/>
            <w:vAlign w:val="center"/>
            <w:hideMark/>
          </w:tcPr>
          <w:p w14:paraId="17455E8E"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Աճի տեմպ %</w:t>
            </w:r>
          </w:p>
        </w:tc>
      </w:tr>
      <w:tr w:rsidR="00EB0FE9" w:rsidRPr="00EB0FE9" w14:paraId="5A24B761" w14:textId="77777777" w:rsidTr="004C02CC">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B17E0F"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1</w:t>
            </w:r>
          </w:p>
        </w:tc>
        <w:tc>
          <w:tcPr>
            <w:tcW w:w="5371" w:type="dxa"/>
            <w:tcBorders>
              <w:top w:val="nil"/>
              <w:left w:val="nil"/>
              <w:bottom w:val="single" w:sz="4" w:space="0" w:color="auto"/>
              <w:right w:val="single" w:sz="4" w:space="0" w:color="auto"/>
            </w:tcBorders>
            <w:shd w:val="clear" w:color="auto" w:fill="auto"/>
            <w:vAlign w:val="center"/>
            <w:hideMark/>
          </w:tcPr>
          <w:p w14:paraId="1A3DB688"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2</w:t>
            </w:r>
          </w:p>
        </w:tc>
        <w:tc>
          <w:tcPr>
            <w:tcW w:w="1540" w:type="dxa"/>
            <w:tcBorders>
              <w:top w:val="nil"/>
              <w:left w:val="nil"/>
              <w:bottom w:val="single" w:sz="4" w:space="0" w:color="auto"/>
              <w:right w:val="single" w:sz="4" w:space="0" w:color="auto"/>
            </w:tcBorders>
            <w:shd w:val="clear" w:color="auto" w:fill="auto"/>
            <w:vAlign w:val="center"/>
            <w:hideMark/>
          </w:tcPr>
          <w:p w14:paraId="4C9031E8"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rPr>
              <w:t>3</w:t>
            </w:r>
          </w:p>
        </w:tc>
        <w:tc>
          <w:tcPr>
            <w:tcW w:w="1501" w:type="dxa"/>
            <w:tcBorders>
              <w:top w:val="nil"/>
              <w:left w:val="nil"/>
              <w:bottom w:val="single" w:sz="4" w:space="0" w:color="auto"/>
              <w:right w:val="single" w:sz="4" w:space="0" w:color="auto"/>
            </w:tcBorders>
            <w:shd w:val="clear" w:color="auto" w:fill="auto"/>
            <w:vAlign w:val="center"/>
            <w:hideMark/>
          </w:tcPr>
          <w:p w14:paraId="52D77B74"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rPr>
              <w:t>4</w:t>
            </w:r>
          </w:p>
        </w:tc>
        <w:tc>
          <w:tcPr>
            <w:tcW w:w="859" w:type="dxa"/>
            <w:tcBorders>
              <w:top w:val="nil"/>
              <w:left w:val="nil"/>
              <w:bottom w:val="single" w:sz="4" w:space="0" w:color="auto"/>
              <w:right w:val="single" w:sz="4" w:space="0" w:color="auto"/>
            </w:tcBorders>
            <w:shd w:val="clear" w:color="auto" w:fill="auto"/>
            <w:vAlign w:val="center"/>
            <w:hideMark/>
          </w:tcPr>
          <w:p w14:paraId="2FA7F9BE"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rPr>
              <w:t>5</w:t>
            </w:r>
          </w:p>
        </w:tc>
      </w:tr>
      <w:tr w:rsidR="00EB0FE9" w:rsidRPr="00EB0FE9" w14:paraId="07C9FB00" w14:textId="77777777" w:rsidTr="004C02CC">
        <w:trPr>
          <w:trHeight w:val="156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D9BD768"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1</w:t>
            </w:r>
          </w:p>
        </w:tc>
        <w:tc>
          <w:tcPr>
            <w:tcW w:w="5371" w:type="dxa"/>
            <w:tcBorders>
              <w:top w:val="nil"/>
              <w:left w:val="nil"/>
              <w:bottom w:val="single" w:sz="4" w:space="0" w:color="auto"/>
              <w:right w:val="single" w:sz="4" w:space="0" w:color="auto"/>
            </w:tcBorders>
            <w:shd w:val="clear" w:color="auto" w:fill="auto"/>
            <w:vAlign w:val="center"/>
            <w:hideMark/>
          </w:tcPr>
          <w:p w14:paraId="6EA3A272" w14:textId="77777777" w:rsidR="00EB0FE9" w:rsidRPr="00EB0FE9" w:rsidRDefault="00EB0FE9" w:rsidP="00EB0FE9">
            <w:pPr>
              <w:spacing w:after="0"/>
              <w:jc w:val="left"/>
              <w:rPr>
                <w:rFonts w:eastAsia="Times New Roman" w:cs="Arial"/>
                <w:sz w:val="22"/>
                <w:szCs w:val="22"/>
                <w:lang w:val="en-US"/>
              </w:rPr>
            </w:pPr>
            <w:r w:rsidRPr="00EB0FE9">
              <w:rPr>
                <w:rFonts w:eastAsia="Times New Roman" w:cs="Arial"/>
                <w:sz w:val="22"/>
                <w:szCs w:val="22"/>
                <w:lang w:val="en-US"/>
              </w:rPr>
              <w:t>ԱԱՀ-ի զրոյական դրույքաչափով հարկվող գործարքներից առաջացած ԱԱՀ-ի փոխհատուցված գումար</w:t>
            </w:r>
          </w:p>
        </w:tc>
        <w:tc>
          <w:tcPr>
            <w:tcW w:w="1540" w:type="dxa"/>
            <w:tcBorders>
              <w:top w:val="nil"/>
              <w:left w:val="nil"/>
              <w:bottom w:val="single" w:sz="4" w:space="0" w:color="auto"/>
              <w:right w:val="single" w:sz="4" w:space="0" w:color="auto"/>
            </w:tcBorders>
            <w:shd w:val="clear" w:color="auto" w:fill="auto"/>
            <w:vAlign w:val="center"/>
            <w:hideMark/>
          </w:tcPr>
          <w:p w14:paraId="169BDE50" w14:textId="77777777" w:rsidR="00EB0FE9" w:rsidRPr="00EB0FE9" w:rsidRDefault="00EB0FE9" w:rsidP="00EB0FE9">
            <w:pPr>
              <w:spacing w:after="0"/>
              <w:jc w:val="center"/>
              <w:rPr>
                <w:rFonts w:eastAsia="Times New Roman" w:cs="Arial"/>
                <w:b/>
                <w:bCs/>
                <w:sz w:val="22"/>
                <w:szCs w:val="22"/>
                <w:lang w:val="ru-RU"/>
              </w:rPr>
            </w:pPr>
            <w:r w:rsidRPr="00EB0FE9">
              <w:rPr>
                <w:rFonts w:eastAsia="Times New Roman" w:cs="Arial"/>
                <w:b/>
                <w:bCs/>
                <w:sz w:val="22"/>
                <w:szCs w:val="22"/>
                <w:lang w:val="ru-RU"/>
              </w:rPr>
              <w:t>6</w:t>
            </w:r>
            <w:r w:rsidRPr="00EB0FE9">
              <w:rPr>
                <w:rFonts w:eastAsia="Times New Roman" w:cs="Arial"/>
                <w:b/>
                <w:bCs/>
                <w:sz w:val="22"/>
                <w:szCs w:val="22"/>
                <w:lang w:val="en-US"/>
              </w:rPr>
              <w:t>0</w:t>
            </w:r>
            <w:r w:rsidRPr="00EB0FE9">
              <w:rPr>
                <w:rFonts w:eastAsia="Times New Roman" w:cs="Arial"/>
                <w:b/>
                <w:bCs/>
                <w:sz w:val="22"/>
                <w:szCs w:val="22"/>
              </w:rPr>
              <w:t>,</w:t>
            </w:r>
            <w:r w:rsidRPr="00EB0FE9">
              <w:rPr>
                <w:rFonts w:eastAsia="Times New Roman" w:cs="Arial"/>
                <w:b/>
                <w:bCs/>
                <w:sz w:val="22"/>
                <w:szCs w:val="22"/>
                <w:lang w:val="ru-RU"/>
              </w:rPr>
              <w:t>108</w:t>
            </w:r>
            <w:r w:rsidRPr="00EB0FE9">
              <w:rPr>
                <w:rFonts w:eastAsia="Times New Roman" w:cs="Arial"/>
                <w:b/>
                <w:bCs/>
                <w:sz w:val="22"/>
                <w:szCs w:val="22"/>
              </w:rPr>
              <w:t>.</w:t>
            </w:r>
            <w:r w:rsidRPr="00EB0FE9">
              <w:rPr>
                <w:rFonts w:eastAsia="Times New Roman" w:cs="Arial"/>
                <w:b/>
                <w:bCs/>
                <w:sz w:val="22"/>
                <w:szCs w:val="22"/>
                <w:lang w:val="ru-RU"/>
              </w:rPr>
              <w:t>2</w:t>
            </w:r>
          </w:p>
        </w:tc>
        <w:tc>
          <w:tcPr>
            <w:tcW w:w="1501" w:type="dxa"/>
            <w:tcBorders>
              <w:top w:val="nil"/>
              <w:left w:val="nil"/>
              <w:bottom w:val="single" w:sz="4" w:space="0" w:color="auto"/>
              <w:right w:val="single" w:sz="4" w:space="0" w:color="auto"/>
            </w:tcBorders>
            <w:shd w:val="clear" w:color="auto" w:fill="auto"/>
            <w:vAlign w:val="center"/>
            <w:hideMark/>
          </w:tcPr>
          <w:p w14:paraId="74AC4FF1" w14:textId="77777777" w:rsidR="00EB0FE9" w:rsidRPr="00EB0FE9" w:rsidRDefault="00EB0FE9" w:rsidP="00EB0FE9">
            <w:pPr>
              <w:spacing w:after="0"/>
              <w:jc w:val="center"/>
              <w:rPr>
                <w:rFonts w:eastAsia="Times New Roman" w:cs="Arial"/>
                <w:b/>
                <w:bCs/>
                <w:sz w:val="22"/>
                <w:szCs w:val="22"/>
                <w:lang w:val="ru-RU"/>
              </w:rPr>
            </w:pPr>
            <w:r w:rsidRPr="00EB0FE9">
              <w:rPr>
                <w:rFonts w:eastAsia="Times New Roman" w:cs="Arial"/>
                <w:b/>
                <w:bCs/>
                <w:sz w:val="22"/>
                <w:szCs w:val="22"/>
                <w:lang w:val="ru-RU"/>
              </w:rPr>
              <w:t>5</w:t>
            </w:r>
            <w:r w:rsidRPr="00EB0FE9">
              <w:rPr>
                <w:rFonts w:eastAsia="Times New Roman" w:cs="Arial"/>
                <w:b/>
                <w:bCs/>
                <w:sz w:val="22"/>
                <w:szCs w:val="22"/>
              </w:rPr>
              <w:t>6,04</w:t>
            </w:r>
            <w:r w:rsidRPr="00EB0FE9">
              <w:rPr>
                <w:rFonts w:eastAsia="Times New Roman" w:cs="Arial"/>
                <w:b/>
                <w:bCs/>
                <w:sz w:val="22"/>
                <w:szCs w:val="22"/>
                <w:lang w:val="ru-RU"/>
              </w:rPr>
              <w:t>3</w:t>
            </w:r>
            <w:r w:rsidRPr="00EB0FE9">
              <w:rPr>
                <w:rFonts w:eastAsia="Times New Roman" w:cs="Arial"/>
                <w:b/>
                <w:bCs/>
                <w:sz w:val="22"/>
                <w:szCs w:val="22"/>
              </w:rPr>
              <w:t>.</w:t>
            </w:r>
            <w:r w:rsidRPr="00EB0FE9">
              <w:rPr>
                <w:rFonts w:eastAsia="Times New Roman" w:cs="Arial"/>
                <w:b/>
                <w:bCs/>
                <w:sz w:val="22"/>
                <w:szCs w:val="22"/>
                <w:lang w:val="ru-RU"/>
              </w:rPr>
              <w:t>0</w:t>
            </w:r>
          </w:p>
        </w:tc>
        <w:tc>
          <w:tcPr>
            <w:tcW w:w="859" w:type="dxa"/>
            <w:tcBorders>
              <w:top w:val="nil"/>
              <w:left w:val="nil"/>
              <w:bottom w:val="single" w:sz="4" w:space="0" w:color="auto"/>
              <w:right w:val="single" w:sz="4" w:space="0" w:color="auto"/>
            </w:tcBorders>
            <w:shd w:val="clear" w:color="auto" w:fill="auto"/>
            <w:vAlign w:val="center"/>
            <w:hideMark/>
          </w:tcPr>
          <w:p w14:paraId="1183C930"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ru-RU"/>
              </w:rPr>
              <w:t>93</w:t>
            </w:r>
            <w:r w:rsidRPr="00EB0FE9">
              <w:rPr>
                <w:rFonts w:eastAsia="Times New Roman" w:cs="Arial"/>
                <w:b/>
                <w:bCs/>
                <w:sz w:val="22"/>
                <w:szCs w:val="22"/>
                <w:lang w:val="en-US"/>
              </w:rPr>
              <w:t>.2</w:t>
            </w:r>
          </w:p>
        </w:tc>
      </w:tr>
      <w:tr w:rsidR="00EB0FE9" w:rsidRPr="00EB0FE9" w14:paraId="19A90330" w14:textId="77777777" w:rsidTr="00804740">
        <w:trPr>
          <w:trHeight w:val="199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EA31"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lastRenderedPageBreak/>
              <w:t>2</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535B46AC" w14:textId="77777777" w:rsidR="00EB0FE9" w:rsidRPr="00EB0FE9" w:rsidRDefault="00EB0FE9" w:rsidP="00EB0FE9">
            <w:pPr>
              <w:spacing w:after="0"/>
              <w:jc w:val="left"/>
              <w:rPr>
                <w:rFonts w:eastAsia="Times New Roman" w:cs="Arial"/>
                <w:sz w:val="22"/>
                <w:szCs w:val="22"/>
                <w:lang w:val="en-US"/>
              </w:rPr>
            </w:pPr>
            <w:r w:rsidRPr="00EB0FE9">
              <w:rPr>
                <w:rFonts w:eastAsia="Times New Roman" w:cs="Arial"/>
                <w:color w:val="000000"/>
                <w:sz w:val="22"/>
                <w:szCs w:val="22"/>
                <w:lang w:val="en-US"/>
              </w:rPr>
              <w:t xml:space="preserve">Հաշվետու կիսամյակին և եռամսյակին հաջորդող ամսվա 21-ի դրությամբ ԱԱՀ-ի փոխհատուցվող գումարի գծով, ինչպես նաև ՀՀ հարկային օրենսգրքի 457-րդ հոդվածի 7-րդ մասով սահմանված` հաշվետու կիսամյակին հաջորդող ամսվա 21-ի դրությամբ բյուջեից հաշվանցման </w:t>
            </w:r>
            <w:r w:rsidRPr="00EB0FE9">
              <w:rPr>
                <w:rFonts w:eastAsia="Times New Roman" w:cs="Arial"/>
                <w:sz w:val="22"/>
                <w:szCs w:val="22"/>
                <w:lang w:val="en-US"/>
              </w:rPr>
              <w:t>ենթակա ԱԱՀ գումարի գծով միասնական հաշվին մուտքագրված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FB30B66"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21</w:t>
            </w:r>
            <w:r w:rsidRPr="00EB0FE9">
              <w:rPr>
                <w:rFonts w:eastAsia="Times New Roman" w:cs="Arial"/>
                <w:b/>
                <w:bCs/>
                <w:sz w:val="22"/>
                <w:szCs w:val="22"/>
              </w:rPr>
              <w:t>,</w:t>
            </w:r>
            <w:r w:rsidRPr="00EB0FE9">
              <w:rPr>
                <w:rFonts w:eastAsia="Times New Roman" w:cs="Arial"/>
                <w:b/>
                <w:bCs/>
                <w:sz w:val="22"/>
                <w:szCs w:val="22"/>
                <w:lang w:val="en-US"/>
              </w:rPr>
              <w:t>076</w:t>
            </w:r>
            <w:r w:rsidRPr="00EB0FE9">
              <w:rPr>
                <w:rFonts w:eastAsia="Times New Roman" w:cs="Arial"/>
                <w:b/>
                <w:bCs/>
                <w:sz w:val="22"/>
                <w:szCs w:val="22"/>
              </w:rPr>
              <w:t>.</w:t>
            </w:r>
            <w:r w:rsidRPr="00EB0FE9">
              <w:rPr>
                <w:rFonts w:eastAsia="Times New Roman" w:cs="Arial"/>
                <w:b/>
                <w:bCs/>
                <w:sz w:val="22"/>
                <w:szCs w:val="22"/>
                <w:lang w:val="en-US"/>
              </w:rPr>
              <w:t>0</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42C93CDE"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ru-RU"/>
              </w:rPr>
              <w:t>31</w:t>
            </w:r>
            <w:r w:rsidRPr="00EB0FE9">
              <w:rPr>
                <w:rFonts w:eastAsia="Times New Roman" w:cs="Arial"/>
                <w:b/>
                <w:bCs/>
                <w:sz w:val="22"/>
                <w:szCs w:val="22"/>
              </w:rPr>
              <w:t>,</w:t>
            </w:r>
            <w:r w:rsidRPr="00EB0FE9">
              <w:rPr>
                <w:rFonts w:eastAsia="Times New Roman" w:cs="Arial"/>
                <w:b/>
                <w:bCs/>
                <w:sz w:val="22"/>
                <w:szCs w:val="22"/>
                <w:lang w:val="ru-RU"/>
              </w:rPr>
              <w:t>947</w:t>
            </w:r>
            <w:r w:rsidRPr="00EB0FE9">
              <w:rPr>
                <w:rFonts w:eastAsia="Times New Roman" w:cs="Arial"/>
                <w:b/>
                <w:bCs/>
                <w:sz w:val="22"/>
                <w:szCs w:val="22"/>
              </w:rPr>
              <w:t>.1</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D30F162"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en-US"/>
              </w:rPr>
              <w:t>151.6</w:t>
            </w:r>
          </w:p>
        </w:tc>
      </w:tr>
      <w:tr w:rsidR="00EB0FE9" w:rsidRPr="00EB0FE9" w14:paraId="3477E154" w14:textId="77777777" w:rsidTr="00804740">
        <w:trPr>
          <w:trHeight w:val="573"/>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BFFF7"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3</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0FC74AB3" w14:textId="77777777" w:rsidR="00EB0FE9" w:rsidRPr="00EB0FE9" w:rsidRDefault="00EB0FE9" w:rsidP="00EB0FE9">
            <w:pPr>
              <w:spacing w:after="0"/>
              <w:jc w:val="left"/>
              <w:rPr>
                <w:rFonts w:eastAsia="Times New Roman" w:cs="Arial"/>
                <w:sz w:val="22"/>
                <w:szCs w:val="22"/>
                <w:lang w:val="en-US"/>
              </w:rPr>
            </w:pPr>
            <w:r w:rsidRPr="00EB0FE9">
              <w:rPr>
                <w:rFonts w:eastAsia="Times New Roman" w:cs="Arial"/>
                <w:sz w:val="22"/>
                <w:szCs w:val="22"/>
                <w:lang w:val="en-US"/>
              </w:rPr>
              <w:t>ԱԱՀ-ի վերադարձի (Tax free) հաշիվներով ՀՀ տարածքում վճարված ԱԱՀ-ի վերադարձված գումար</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B896FB2"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587</w:t>
            </w:r>
            <w:r w:rsidRPr="00EB0FE9">
              <w:rPr>
                <w:rFonts w:eastAsia="Times New Roman" w:cs="Arial"/>
                <w:b/>
                <w:bCs/>
                <w:sz w:val="22"/>
                <w:szCs w:val="22"/>
              </w:rPr>
              <w:t>.</w:t>
            </w:r>
            <w:r w:rsidRPr="00EB0FE9">
              <w:rPr>
                <w:rFonts w:eastAsia="Times New Roman" w:cs="Arial"/>
                <w:b/>
                <w:bCs/>
                <w:sz w:val="22"/>
                <w:szCs w:val="22"/>
                <w:lang w:val="en-US"/>
              </w:rPr>
              <w:t>5</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128EE21F"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174</w:t>
            </w:r>
            <w:r w:rsidRPr="00EB0FE9">
              <w:rPr>
                <w:rFonts w:eastAsia="Times New Roman" w:cs="Arial"/>
                <w:b/>
                <w:bCs/>
                <w:sz w:val="22"/>
                <w:szCs w:val="22"/>
              </w:rPr>
              <w:t>.</w:t>
            </w:r>
            <w:r w:rsidRPr="00EB0FE9">
              <w:rPr>
                <w:rFonts w:eastAsia="Times New Roman" w:cs="Arial"/>
                <w:b/>
                <w:bCs/>
                <w:sz w:val="22"/>
                <w:szCs w:val="22"/>
                <w:lang w:val="en-US"/>
              </w:rPr>
              <w:t>9</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E858CD1"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29</w:t>
            </w:r>
            <w:r w:rsidRPr="00EB0FE9">
              <w:rPr>
                <w:rFonts w:eastAsia="Times New Roman" w:cs="Arial"/>
                <w:b/>
                <w:bCs/>
                <w:sz w:val="22"/>
                <w:szCs w:val="22"/>
              </w:rPr>
              <w:t>.</w:t>
            </w:r>
            <w:r w:rsidRPr="00EB0FE9">
              <w:rPr>
                <w:rFonts w:eastAsia="Times New Roman" w:cs="Arial"/>
                <w:b/>
                <w:bCs/>
                <w:sz w:val="22"/>
                <w:szCs w:val="22"/>
                <w:lang w:val="en-US"/>
              </w:rPr>
              <w:t>8</w:t>
            </w:r>
          </w:p>
        </w:tc>
      </w:tr>
      <w:tr w:rsidR="00EB0FE9" w:rsidRPr="00EB0FE9" w14:paraId="6619FB26" w14:textId="77777777" w:rsidTr="00804740">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1E37"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4</w:t>
            </w:r>
          </w:p>
        </w:tc>
        <w:tc>
          <w:tcPr>
            <w:tcW w:w="5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27DB" w14:textId="77777777" w:rsidR="00EB0FE9" w:rsidRPr="00EB0FE9" w:rsidRDefault="00EB0FE9" w:rsidP="00EB0FE9">
            <w:pPr>
              <w:spacing w:after="0"/>
              <w:jc w:val="left"/>
              <w:rPr>
                <w:rFonts w:eastAsia="Times New Roman" w:cs="Arial"/>
                <w:sz w:val="22"/>
                <w:szCs w:val="22"/>
                <w:lang w:val="en-US"/>
              </w:rPr>
            </w:pPr>
            <w:r w:rsidRPr="00EB0FE9">
              <w:rPr>
                <w:rFonts w:eastAsia="Times New Roman" w:cs="Arial"/>
                <w:sz w:val="22"/>
                <w:szCs w:val="22"/>
                <w:lang w:val="en-US"/>
              </w:rPr>
              <w:t>Վարկառուներին և համավարկառուներին հիպոտեկային վարկի սպասարկման համար վճարվող տոկոսների գծով ՀՀ ֆինանսների նախարարություն ներկայացված վճարման հանձնարարականների հանրագումար</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5CA69"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5</w:t>
            </w:r>
            <w:r w:rsidRPr="00EB0FE9">
              <w:rPr>
                <w:rFonts w:eastAsia="Times New Roman" w:cs="Arial"/>
                <w:b/>
                <w:bCs/>
                <w:sz w:val="22"/>
                <w:szCs w:val="22"/>
              </w:rPr>
              <w:t>,</w:t>
            </w:r>
            <w:r w:rsidRPr="00EB0FE9">
              <w:rPr>
                <w:rFonts w:eastAsia="Times New Roman" w:cs="Arial"/>
                <w:b/>
                <w:bCs/>
                <w:sz w:val="22"/>
                <w:szCs w:val="22"/>
                <w:lang w:val="en-US"/>
              </w:rPr>
              <w:t>450</w:t>
            </w:r>
            <w:r w:rsidRPr="00EB0FE9">
              <w:rPr>
                <w:rFonts w:eastAsia="Times New Roman" w:cs="Arial"/>
                <w:b/>
                <w:bCs/>
                <w:sz w:val="22"/>
                <w:szCs w:val="22"/>
              </w:rPr>
              <w:t>.</w:t>
            </w:r>
            <w:r w:rsidRPr="00EB0FE9">
              <w:rPr>
                <w:rFonts w:eastAsia="Times New Roman" w:cs="Arial"/>
                <w:b/>
                <w:bCs/>
                <w:sz w:val="22"/>
                <w:szCs w:val="22"/>
                <w:lang w:val="en-US"/>
              </w:rPr>
              <w:t>9</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2ED6B"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9</w:t>
            </w:r>
            <w:r w:rsidRPr="00EB0FE9">
              <w:rPr>
                <w:rFonts w:eastAsia="Times New Roman" w:cs="Arial"/>
                <w:b/>
                <w:bCs/>
                <w:sz w:val="22"/>
                <w:szCs w:val="22"/>
              </w:rPr>
              <w:t>,</w:t>
            </w:r>
            <w:r w:rsidRPr="00EB0FE9">
              <w:rPr>
                <w:rFonts w:eastAsia="Times New Roman" w:cs="Arial"/>
                <w:b/>
                <w:bCs/>
                <w:sz w:val="22"/>
                <w:szCs w:val="22"/>
                <w:lang w:val="en-US"/>
              </w:rPr>
              <w:t>330</w:t>
            </w:r>
            <w:r w:rsidRPr="00EB0FE9">
              <w:rPr>
                <w:rFonts w:eastAsia="Times New Roman" w:cs="Arial"/>
                <w:b/>
                <w:bCs/>
                <w:sz w:val="22"/>
                <w:szCs w:val="22"/>
              </w:rPr>
              <w:t>.</w:t>
            </w:r>
            <w:r w:rsidRPr="00EB0FE9">
              <w:rPr>
                <w:rFonts w:eastAsia="Times New Roman" w:cs="Arial"/>
                <w:b/>
                <w:bCs/>
                <w:sz w:val="22"/>
                <w:szCs w:val="22"/>
                <w:lang w:val="en-US"/>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B0275"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en-US"/>
              </w:rPr>
              <w:t>171.2</w:t>
            </w:r>
          </w:p>
        </w:tc>
      </w:tr>
      <w:tr w:rsidR="00EB0FE9" w:rsidRPr="00EB0FE9" w14:paraId="3836DF6B" w14:textId="77777777" w:rsidTr="004C02CC">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4C6EF"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5</w:t>
            </w:r>
          </w:p>
        </w:tc>
        <w:tc>
          <w:tcPr>
            <w:tcW w:w="5371" w:type="dxa"/>
            <w:tcBorders>
              <w:top w:val="single" w:sz="4" w:space="0" w:color="auto"/>
              <w:left w:val="nil"/>
              <w:bottom w:val="single" w:sz="4" w:space="0" w:color="auto"/>
              <w:right w:val="single" w:sz="4" w:space="0" w:color="auto"/>
            </w:tcBorders>
            <w:shd w:val="clear" w:color="auto" w:fill="auto"/>
            <w:vAlign w:val="center"/>
            <w:hideMark/>
          </w:tcPr>
          <w:p w14:paraId="51108867" w14:textId="77777777" w:rsidR="00EB0FE9" w:rsidRPr="00EB0FE9" w:rsidRDefault="00EB0FE9" w:rsidP="00EB0FE9">
            <w:pPr>
              <w:spacing w:after="0"/>
              <w:jc w:val="left"/>
              <w:rPr>
                <w:rFonts w:eastAsia="Times New Roman" w:cs="Arial"/>
                <w:b/>
                <w:bCs/>
                <w:sz w:val="22"/>
                <w:szCs w:val="22"/>
                <w:lang w:val="en-US"/>
              </w:rPr>
            </w:pPr>
            <w:r w:rsidRPr="00EB0FE9">
              <w:rPr>
                <w:rFonts w:eastAsia="Times New Roman" w:cs="Arial"/>
                <w:b/>
                <w:bCs/>
                <w:sz w:val="22"/>
                <w:szCs w:val="22"/>
                <w:lang w:val="en-US"/>
              </w:rPr>
              <w:t>ԸՆԴԱՄԵՆԸ</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024DBF7F"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87</w:t>
            </w:r>
            <w:r w:rsidRPr="00EB0FE9">
              <w:rPr>
                <w:rFonts w:eastAsia="Times New Roman" w:cs="Arial"/>
                <w:b/>
                <w:bCs/>
                <w:sz w:val="22"/>
                <w:szCs w:val="22"/>
              </w:rPr>
              <w:t>,</w:t>
            </w:r>
            <w:r w:rsidRPr="00EB0FE9">
              <w:rPr>
                <w:rFonts w:eastAsia="Times New Roman" w:cs="Arial"/>
                <w:b/>
                <w:bCs/>
                <w:sz w:val="22"/>
                <w:szCs w:val="22"/>
                <w:lang w:val="en-US"/>
              </w:rPr>
              <w:t>222</w:t>
            </w:r>
            <w:r w:rsidRPr="00EB0FE9">
              <w:rPr>
                <w:rFonts w:eastAsia="Times New Roman" w:cs="Arial"/>
                <w:b/>
                <w:bCs/>
                <w:sz w:val="22"/>
                <w:szCs w:val="22"/>
              </w:rPr>
              <w:t>.</w:t>
            </w:r>
            <w:r w:rsidRPr="00EB0FE9">
              <w:rPr>
                <w:rFonts w:eastAsia="Times New Roman" w:cs="Arial"/>
                <w:b/>
                <w:bCs/>
                <w:sz w:val="22"/>
                <w:szCs w:val="22"/>
                <w:lang w:val="en-US"/>
              </w:rPr>
              <w:t>6</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14:paraId="7BB82A13" w14:textId="77777777" w:rsidR="00EB0FE9" w:rsidRPr="00EB0FE9" w:rsidRDefault="00EB0FE9" w:rsidP="00EB0FE9">
            <w:pPr>
              <w:spacing w:after="0"/>
              <w:jc w:val="center"/>
              <w:rPr>
                <w:rFonts w:eastAsia="Times New Roman" w:cs="Arial"/>
                <w:b/>
                <w:bCs/>
                <w:sz w:val="22"/>
                <w:szCs w:val="22"/>
                <w:lang w:val="en-US"/>
              </w:rPr>
            </w:pPr>
            <w:r w:rsidRPr="00EB0FE9">
              <w:rPr>
                <w:rFonts w:eastAsia="Times New Roman" w:cs="Arial"/>
                <w:b/>
                <w:bCs/>
                <w:sz w:val="22"/>
                <w:szCs w:val="22"/>
                <w:lang w:val="en-US"/>
              </w:rPr>
              <w:t>97</w:t>
            </w:r>
            <w:r w:rsidRPr="00EB0FE9">
              <w:rPr>
                <w:rFonts w:eastAsia="Times New Roman" w:cs="Arial"/>
                <w:b/>
                <w:bCs/>
                <w:sz w:val="22"/>
                <w:szCs w:val="22"/>
              </w:rPr>
              <w:t>,</w:t>
            </w:r>
            <w:r w:rsidRPr="00EB0FE9">
              <w:rPr>
                <w:rFonts w:eastAsia="Times New Roman" w:cs="Arial"/>
                <w:b/>
                <w:bCs/>
                <w:sz w:val="22"/>
                <w:szCs w:val="22"/>
                <w:lang w:val="en-US"/>
              </w:rPr>
              <w:t>495</w:t>
            </w:r>
            <w:r w:rsidRPr="00EB0FE9">
              <w:rPr>
                <w:rFonts w:eastAsia="Times New Roman" w:cs="Arial"/>
                <w:b/>
                <w:bCs/>
                <w:sz w:val="22"/>
                <w:szCs w:val="22"/>
              </w:rPr>
              <w:t>.</w:t>
            </w:r>
            <w:r w:rsidRPr="00EB0FE9">
              <w:rPr>
                <w:rFonts w:eastAsia="Times New Roman" w:cs="Arial"/>
                <w:b/>
                <w:bCs/>
                <w:sz w:val="22"/>
                <w:szCs w:val="22"/>
                <w:lang w:val="en-US"/>
              </w:rPr>
              <w:t>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3330AEC" w14:textId="77777777" w:rsidR="00EB0FE9" w:rsidRPr="00EB0FE9" w:rsidRDefault="00EB0FE9" w:rsidP="00EB0FE9">
            <w:pPr>
              <w:spacing w:after="0"/>
              <w:jc w:val="center"/>
              <w:rPr>
                <w:rFonts w:eastAsia="Times New Roman" w:cs="Arial"/>
                <w:b/>
                <w:bCs/>
                <w:sz w:val="22"/>
                <w:szCs w:val="22"/>
              </w:rPr>
            </w:pPr>
            <w:r w:rsidRPr="00EB0FE9">
              <w:rPr>
                <w:rFonts w:eastAsia="Times New Roman" w:cs="Arial"/>
                <w:b/>
                <w:bCs/>
                <w:sz w:val="22"/>
                <w:szCs w:val="22"/>
                <w:lang w:val="en-US"/>
              </w:rPr>
              <w:t>111.8</w:t>
            </w:r>
          </w:p>
        </w:tc>
      </w:tr>
    </w:tbl>
    <w:p w14:paraId="44A82BC3" w14:textId="77777777" w:rsidR="00EB0FE9" w:rsidRPr="00EB0FE9" w:rsidRDefault="00EB0FE9" w:rsidP="00EB0FE9">
      <w:pPr>
        <w:spacing w:after="120"/>
        <w:ind w:firstLine="567"/>
        <w:rPr>
          <w:rFonts w:eastAsia="Times New Roman" w:cs="Times New Roman"/>
          <w:highlight w:val="red"/>
        </w:rPr>
      </w:pPr>
    </w:p>
    <w:p w14:paraId="02A3C34B" w14:textId="77777777" w:rsidR="00EB0FE9" w:rsidRPr="00EB0FE9" w:rsidRDefault="00EB0FE9" w:rsidP="00EB0FE9">
      <w:pPr>
        <w:spacing w:after="120"/>
        <w:ind w:firstLine="567"/>
        <w:rPr>
          <w:rFonts w:eastAsia="Times New Roman" w:cs="Sylfaen"/>
        </w:rPr>
      </w:pPr>
      <w:r w:rsidRPr="00EB0FE9">
        <w:rPr>
          <w:rFonts w:eastAsia="Times New Roman" w:cs="Sylfaen"/>
        </w:rPr>
        <w:t>2020թ</w:t>
      </w:r>
      <w:r w:rsidRPr="00EB0FE9">
        <w:rPr>
          <w:rFonts w:ascii="Cambria Math" w:eastAsia="Times New Roman" w:hAnsi="Cambria Math" w:cs="Cambria Math"/>
        </w:rPr>
        <w:t>․</w:t>
      </w:r>
      <w:r w:rsidRPr="00EB0FE9">
        <w:rPr>
          <w:rFonts w:eastAsia="Times New Roman" w:cs="Sylfaen"/>
        </w:rPr>
        <w:t xml:space="preserve"> ինն ամիսներում ԱԱՀ-ի զրոյական դրույքաչափով հարկվող գործարքներից առաջացած ԱԱՀ-ի փոխհատուցված գումարները կազմել են 56,043</w:t>
      </w:r>
      <w:r w:rsidRPr="00EB0FE9">
        <w:rPr>
          <w:rFonts w:ascii="Cambria Math" w:eastAsia="Times New Roman" w:hAnsi="Cambria Math" w:cs="Cambria Math"/>
        </w:rPr>
        <w:t>․</w:t>
      </w:r>
      <w:r w:rsidRPr="00EB0FE9">
        <w:rPr>
          <w:rFonts w:eastAsia="Times New Roman" w:cs="Sylfaen"/>
        </w:rPr>
        <w:t>0 մլն դրամ, որը նախորդ համադրելի ժամանակաշրջանի ցուցանիշից պակաս է 6.8 տոկոսով, իսկ բյուջեից հաշվանցման ենթակա ԱԱՀ գումարի գծով միասնական հաշվին մուտքագրված գումարը նախորդ համադրելի ժամանակաշրջանի համեմատ ավելի է 51</w:t>
      </w:r>
      <w:r w:rsidRPr="00EB0FE9">
        <w:rPr>
          <w:rFonts w:ascii="Cambria Math" w:eastAsia="Times New Roman" w:hAnsi="Cambria Math" w:cs="Cambria Math"/>
        </w:rPr>
        <w:t>․</w:t>
      </w:r>
      <w:r w:rsidRPr="00EB0FE9">
        <w:rPr>
          <w:rFonts w:eastAsia="Times New Roman" w:cs="Sylfaen"/>
        </w:rPr>
        <w:t>6 տոկոսով։ ԱԱՀ-ի վերադարձի հաշիվներով ՀՀ տարածքում վճարված ԱԱՀ-ի վերադարձված գումարը նախորդ համադրելի ժամանակաշրջանի համեմատ նվազել են 70</w:t>
      </w:r>
      <w:r w:rsidRPr="00EB0FE9">
        <w:rPr>
          <w:rFonts w:ascii="Cambria Math" w:eastAsia="Times New Roman" w:hAnsi="Cambria Math" w:cs="Cambria Math"/>
        </w:rPr>
        <w:t>․</w:t>
      </w:r>
      <w:r w:rsidRPr="00EB0FE9">
        <w:rPr>
          <w:rFonts w:eastAsia="Times New Roman" w:cs="Sylfaen"/>
        </w:rPr>
        <w:t>2 տոկոսով, ինչը հիմնականում պայմանավորված է COVID-19-ի հանգամանքով։</w:t>
      </w:r>
    </w:p>
    <w:p w14:paraId="73FDB8CC" w14:textId="77777777" w:rsidR="00EB0FE9" w:rsidRPr="00EB0FE9" w:rsidRDefault="00EB0FE9" w:rsidP="00EB0FE9">
      <w:pPr>
        <w:spacing w:after="120"/>
        <w:ind w:firstLine="567"/>
        <w:rPr>
          <w:rFonts w:eastAsia="Times New Roman" w:cs="Sylfaen"/>
        </w:rPr>
      </w:pPr>
      <w:r w:rsidRPr="00EB0FE9">
        <w:rPr>
          <w:rFonts w:eastAsia="Times New Roman" w:cs="Sylfaen"/>
        </w:rPr>
        <w:t>Վարկառուներին և համավարկառուներին հիպոտեկային վարկի սպասարկման համար վճարվող տոկոսների գումարը նախորդ համադրելի ժամանակաշրջանի համեմատ աճել է 71</w:t>
      </w:r>
      <w:r w:rsidRPr="00EB0FE9">
        <w:rPr>
          <w:rFonts w:ascii="Cambria Math" w:eastAsia="Times New Roman" w:hAnsi="Cambria Math" w:cs="Cambria Math"/>
        </w:rPr>
        <w:t>․</w:t>
      </w:r>
      <w:r w:rsidRPr="00EB0FE9">
        <w:rPr>
          <w:rFonts w:eastAsia="Times New Roman" w:cs="Sylfaen"/>
        </w:rPr>
        <w:t>2 տոկոսով։</w:t>
      </w:r>
    </w:p>
    <w:p w14:paraId="1A4D8BEA" w14:textId="77777777" w:rsidR="00EB0FE9" w:rsidRPr="00EB0FE9" w:rsidRDefault="00EB0FE9" w:rsidP="00EB0FE9">
      <w:pPr>
        <w:spacing w:after="120"/>
        <w:ind w:firstLine="567"/>
        <w:rPr>
          <w:rFonts w:eastAsia="Times New Roman" w:cs="Sylfaen"/>
        </w:rPr>
      </w:pPr>
      <w:r w:rsidRPr="00EB0FE9">
        <w:rPr>
          <w:rFonts w:eastAsia="Times New Roman" w:cs="Sylfaen"/>
        </w:rPr>
        <w:t>2020 թվականի ինն ամիսներում ՊԵԿ կողմից վերահսկվող եկամուտների մասով ՀՀ պետական բյուջե վճարված հարկային եկամուտներն ու պետական տուրքերն ըստ եկամտային հաշիվների և ծախսային ուղղությունների հետևյալն է.</w:t>
      </w:r>
    </w:p>
    <w:p w14:paraId="2BFD6248" w14:textId="77777777" w:rsidR="00EB0FE9" w:rsidRPr="00EB0FE9" w:rsidRDefault="00EB0FE9" w:rsidP="00EB0FE9">
      <w:pPr>
        <w:spacing w:after="200"/>
        <w:rPr>
          <w:rFonts w:eastAsia="Times New Roman" w:cs="Times New Roman"/>
        </w:rPr>
      </w:pPr>
      <w:r w:rsidRPr="00EB0FE9">
        <w:rPr>
          <w:rFonts w:eastAsia="Times New Roman" w:cs="Times New Roman"/>
        </w:rPr>
        <w:br w:type="page"/>
      </w:r>
    </w:p>
    <w:p w14:paraId="32B02891" w14:textId="77777777" w:rsidR="00EB0FE9" w:rsidRPr="00EB0FE9" w:rsidRDefault="00EB0FE9" w:rsidP="00EB0FE9">
      <w:pPr>
        <w:spacing w:after="0"/>
        <w:ind w:left="7920" w:firstLine="720"/>
        <w:rPr>
          <w:rFonts w:eastAsia="Times New Roman" w:cs="Sylfaen"/>
        </w:rPr>
      </w:pPr>
      <w:r w:rsidRPr="00EB0FE9">
        <w:rPr>
          <w:rFonts w:eastAsia="Times New Roman" w:cs="Times New Roman"/>
        </w:rPr>
        <w:lastRenderedPageBreak/>
        <w:t>(Աղյուսակ 5)</w:t>
      </w:r>
    </w:p>
    <w:p w14:paraId="2B11164C" w14:textId="77777777" w:rsidR="00EB0FE9" w:rsidRPr="00EB0FE9" w:rsidRDefault="00EB0FE9" w:rsidP="00EB0FE9">
      <w:pPr>
        <w:spacing w:after="0"/>
        <w:rPr>
          <w:rFonts w:eastAsia="Times New Roman" w:cs="Sylfaen"/>
        </w:rPr>
      </w:pPr>
      <w:r w:rsidRPr="00EB0FE9">
        <w:rPr>
          <w:rFonts w:eastAsia="Times New Roman" w:cs="Sylfaen"/>
        </w:rPr>
        <w:t>Բյուջե մուտքերը ըստ եկամտային հաշիվների.</w:t>
      </w:r>
      <w:r w:rsidRPr="00EB0FE9">
        <w:rPr>
          <w:rFonts w:eastAsia="Times New Roman" w:cs="Sylfaen"/>
        </w:rPr>
        <w:tab/>
      </w:r>
      <w:r w:rsidRPr="00EB0FE9">
        <w:rPr>
          <w:rFonts w:eastAsia="Times New Roman" w:cs="Sylfaen"/>
        </w:rPr>
        <w:tab/>
      </w:r>
      <w:r w:rsidRPr="00EB0FE9">
        <w:rPr>
          <w:rFonts w:eastAsia="Times New Roman" w:cs="Sylfaen"/>
        </w:rPr>
        <w:tab/>
      </w:r>
      <w:r w:rsidRPr="00EB0FE9">
        <w:rPr>
          <w:rFonts w:eastAsia="Times New Roman" w:cs="Sylfaen"/>
        </w:rPr>
        <w:tab/>
        <w:t xml:space="preserve"> </w:t>
      </w:r>
      <w:r w:rsidRPr="00EB0FE9">
        <w:rPr>
          <w:rFonts w:eastAsia="Times New Roman" w:cs="Sylfaen"/>
        </w:rPr>
        <w:tab/>
        <w:t xml:space="preserve"> հազ. դրամ</w:t>
      </w:r>
    </w:p>
    <w:tbl>
      <w:tblPr>
        <w:tblW w:w="9727" w:type="dxa"/>
        <w:tblLook w:val="04A0" w:firstRow="1" w:lastRow="0" w:firstColumn="1" w:lastColumn="0" w:noHBand="0" w:noVBand="1"/>
      </w:tblPr>
      <w:tblGrid>
        <w:gridCol w:w="2638"/>
        <w:gridCol w:w="1800"/>
        <w:gridCol w:w="2052"/>
        <w:gridCol w:w="1835"/>
        <w:gridCol w:w="1705"/>
      </w:tblGrid>
      <w:tr w:rsidR="00EB0FE9" w:rsidRPr="00EB0FE9" w14:paraId="6083C451" w14:textId="77777777" w:rsidTr="004C02CC">
        <w:trPr>
          <w:trHeight w:val="138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305C" w14:textId="77777777" w:rsidR="00EB0FE9" w:rsidRPr="00EB0FE9" w:rsidRDefault="00EB0FE9" w:rsidP="00EB0FE9">
            <w:pPr>
              <w:spacing w:after="0" w:line="240" w:lineRule="auto"/>
              <w:ind w:left="-75" w:firstLine="45"/>
              <w:jc w:val="center"/>
              <w:rPr>
                <w:rFonts w:eastAsia="Times New Roman" w:cs="Times New Roman"/>
                <w:b/>
                <w:lang w:eastAsia="ru-RU"/>
              </w:rPr>
            </w:pPr>
            <w:r w:rsidRPr="00EB0FE9">
              <w:rPr>
                <w:rFonts w:eastAsia="Times New Roman" w:cs="Times New Roman"/>
                <w:b/>
                <w:lang w:eastAsia="ru-RU"/>
              </w:rPr>
              <w:t>Ժամանակահատված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0F96" w14:textId="77777777" w:rsidR="00EB0FE9" w:rsidRPr="00EB0FE9" w:rsidRDefault="00EB0FE9" w:rsidP="00EB0FE9">
            <w:pPr>
              <w:spacing w:after="0" w:line="240" w:lineRule="auto"/>
              <w:ind w:left="-59" w:firstLine="15"/>
              <w:jc w:val="center"/>
              <w:rPr>
                <w:rFonts w:eastAsia="Times New Roman" w:cs="Times New Roman"/>
                <w:b/>
                <w:lang w:eastAsia="ru-RU"/>
              </w:rPr>
            </w:pPr>
            <w:r w:rsidRPr="00EB0FE9">
              <w:rPr>
                <w:rFonts w:eastAsia="Times New Roman" w:cs="Times New Roman"/>
                <w:b/>
                <w:lang w:eastAsia="ru-RU"/>
              </w:rPr>
              <w:t>Հարկերի միասնական հաշվից բյուջե մուտքե</w:t>
            </w:r>
            <w:r w:rsidRPr="00EB0FE9">
              <w:rPr>
                <w:rFonts w:eastAsia="Times New Roman" w:cs="Arial"/>
                <w:b/>
                <w:lang w:eastAsia="ru-RU"/>
              </w:rPr>
              <w:t>ր</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7E95A" w14:textId="77777777" w:rsidR="00EB0FE9" w:rsidRPr="00EB0FE9" w:rsidRDefault="00EB0FE9" w:rsidP="00EB0FE9">
            <w:pPr>
              <w:spacing w:after="0" w:line="240" w:lineRule="auto"/>
              <w:ind w:left="-89" w:right="-63" w:firstLine="45"/>
              <w:jc w:val="center"/>
              <w:rPr>
                <w:rFonts w:eastAsia="Times New Roman" w:cs="Times New Roman"/>
                <w:b/>
                <w:lang w:eastAsia="ru-RU"/>
              </w:rPr>
            </w:pPr>
            <w:r w:rsidRPr="00EB0FE9">
              <w:rPr>
                <w:rFonts w:eastAsia="Times New Roman" w:cs="Times New Roman"/>
                <w:b/>
                <w:lang w:eastAsia="ru-RU"/>
              </w:rPr>
              <w:t>Այլ հաշիվներից բյուջե հարկային մուտքեր</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DED6" w14:textId="77777777" w:rsidR="00EB0FE9" w:rsidRPr="00EB0FE9" w:rsidRDefault="00EB0FE9" w:rsidP="00EB0FE9">
            <w:pPr>
              <w:spacing w:after="0" w:line="240" w:lineRule="auto"/>
              <w:ind w:left="-92" w:right="-123" w:firstLine="63"/>
              <w:jc w:val="center"/>
              <w:rPr>
                <w:rFonts w:eastAsia="Times New Roman" w:cs="Times New Roman"/>
                <w:b/>
                <w:lang w:eastAsia="ru-RU"/>
              </w:rPr>
            </w:pPr>
            <w:r w:rsidRPr="00EB0FE9">
              <w:rPr>
                <w:rFonts w:eastAsia="Times New Roman" w:cs="Times New Roman"/>
                <w:b/>
                <w:lang w:eastAsia="ru-RU"/>
              </w:rPr>
              <w:t>Մաքսային ծառայության կողմից գանձված գումարնե</w:t>
            </w:r>
            <w:r w:rsidRPr="00EB0FE9">
              <w:rPr>
                <w:rFonts w:eastAsia="Times New Roman" w:cs="Arial"/>
                <w:b/>
                <w:lang w:eastAsia="ru-RU"/>
              </w:rPr>
              <w:t>ր</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499F9" w14:textId="77777777" w:rsidR="00EB0FE9" w:rsidRPr="00EB0FE9" w:rsidRDefault="00EB0FE9" w:rsidP="00EB0FE9">
            <w:pPr>
              <w:tabs>
                <w:tab w:val="left" w:pos="1502"/>
              </w:tabs>
              <w:spacing w:after="0" w:line="240" w:lineRule="auto"/>
              <w:ind w:left="-29" w:firstLine="29"/>
              <w:jc w:val="center"/>
              <w:rPr>
                <w:rFonts w:eastAsia="Times New Roman" w:cs="Times New Roman"/>
                <w:b/>
                <w:lang w:val="ru-RU" w:eastAsia="ru-RU"/>
              </w:rPr>
            </w:pPr>
            <w:r w:rsidRPr="00EB0FE9">
              <w:rPr>
                <w:rFonts w:eastAsia="Times New Roman" w:cs="Times New Roman"/>
                <w:b/>
                <w:lang w:val="ru-RU" w:eastAsia="ru-RU"/>
              </w:rPr>
              <w:t>Ընդամենը բյուջե հաշվեգրված եկամուտնե</w:t>
            </w:r>
            <w:r w:rsidRPr="00EB0FE9">
              <w:rPr>
                <w:rFonts w:eastAsia="Times New Roman" w:cs="Arial"/>
                <w:b/>
                <w:lang w:val="ru-RU" w:eastAsia="ru-RU"/>
              </w:rPr>
              <w:t>ր</w:t>
            </w:r>
          </w:p>
        </w:tc>
      </w:tr>
      <w:tr w:rsidR="00EB0FE9" w:rsidRPr="00EB0FE9" w14:paraId="3B4F2AE8" w14:textId="77777777" w:rsidTr="004C02CC">
        <w:trPr>
          <w:trHeight w:val="629"/>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2F9E" w14:textId="77777777" w:rsidR="00EB0FE9" w:rsidRPr="00EB0FE9" w:rsidRDefault="00EB0FE9" w:rsidP="00EB0FE9">
            <w:pPr>
              <w:spacing w:after="0"/>
              <w:ind w:left="-93" w:right="-60" w:firstLine="45"/>
              <w:jc w:val="center"/>
              <w:rPr>
                <w:rFonts w:eastAsia="Times New Roman" w:cs="Times New Roman"/>
                <w:b/>
                <w:i/>
                <w:iCs/>
                <w:lang w:eastAsia="ru-RU"/>
              </w:rPr>
            </w:pPr>
            <w:r w:rsidRPr="00EB0FE9">
              <w:rPr>
                <w:rFonts w:eastAsia="Times New Roman" w:cs="Times New Roman"/>
                <w:b/>
                <w:lang w:eastAsia="ru-RU"/>
              </w:rPr>
              <w:t>2020թ. 9 ամիսների ընթացքում</w:t>
            </w:r>
            <w:r w:rsidRPr="00EB0FE9">
              <w:rPr>
                <w:rFonts w:eastAsia="Times New Roman" w:cs="GHEA Grapalat"/>
                <w:b/>
                <w:lang w:eastAsia="ru-RU"/>
              </w:rPr>
              <w:t>,</w:t>
            </w:r>
            <w:r w:rsidRPr="00EB0FE9">
              <w:rPr>
                <w:rFonts w:eastAsia="Times New Roman" w:cs="Times New Roman"/>
                <w:b/>
                <w:lang w:eastAsia="ru-RU"/>
              </w:rPr>
              <w:br/>
              <w:t>այդ թվում՝</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9238" w14:textId="77777777" w:rsidR="00EB0FE9" w:rsidRPr="00EB0FE9" w:rsidRDefault="00EB0FE9" w:rsidP="00EB0FE9">
            <w:pPr>
              <w:spacing w:after="0"/>
              <w:ind w:left="-122" w:right="-75" w:firstLine="15"/>
              <w:jc w:val="center"/>
              <w:rPr>
                <w:rFonts w:eastAsia="Times New Roman" w:cs="Times New Roman"/>
                <w:b/>
                <w:bCs/>
                <w:lang w:eastAsia="ru-RU"/>
              </w:rPr>
            </w:pPr>
            <w:r w:rsidRPr="00EB0FE9">
              <w:rPr>
                <w:rFonts w:eastAsia="Times New Roman" w:cs="Times New Roman"/>
                <w:b/>
                <w:bCs/>
              </w:rPr>
              <w:t>596,166,973</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055AC" w14:textId="77777777" w:rsidR="00EB0FE9" w:rsidRPr="00EB0FE9" w:rsidRDefault="00EB0FE9" w:rsidP="00EB0FE9">
            <w:pPr>
              <w:spacing w:after="0"/>
              <w:ind w:left="-89" w:right="-63" w:firstLine="45"/>
              <w:jc w:val="center"/>
              <w:rPr>
                <w:rFonts w:eastAsia="Times New Roman" w:cs="Times New Roman"/>
                <w:b/>
                <w:bCs/>
                <w:lang w:eastAsia="ru-RU"/>
              </w:rPr>
            </w:pPr>
            <w:r w:rsidRPr="00EB0FE9">
              <w:rPr>
                <w:rFonts w:eastAsia="Times New Roman" w:cs="Times New Roman"/>
                <w:b/>
                <w:bCs/>
                <w:lang w:eastAsia="ru-RU"/>
              </w:rPr>
              <w:t>40,829,772</w:t>
            </w:r>
          </w:p>
        </w:tc>
        <w:tc>
          <w:tcPr>
            <w:tcW w:w="1835" w:type="dxa"/>
            <w:tcBorders>
              <w:top w:val="single" w:sz="4" w:space="0" w:color="auto"/>
              <w:left w:val="nil"/>
              <w:bottom w:val="single" w:sz="4" w:space="0" w:color="auto"/>
              <w:right w:val="single" w:sz="4" w:space="0" w:color="auto"/>
            </w:tcBorders>
            <w:shd w:val="clear" w:color="auto" w:fill="auto"/>
            <w:vAlign w:val="center"/>
            <w:hideMark/>
          </w:tcPr>
          <w:p w14:paraId="59736D8B" w14:textId="77777777" w:rsidR="00EB0FE9" w:rsidRPr="00EB0FE9" w:rsidRDefault="00EB0FE9" w:rsidP="00EB0FE9">
            <w:pPr>
              <w:spacing w:after="0"/>
              <w:ind w:left="-92" w:right="-123" w:firstLine="63"/>
              <w:jc w:val="center"/>
              <w:rPr>
                <w:rFonts w:eastAsia="Times New Roman" w:cs="Times New Roman"/>
                <w:b/>
                <w:bCs/>
                <w:lang w:eastAsia="ru-RU"/>
              </w:rPr>
            </w:pPr>
            <w:r w:rsidRPr="00EB0FE9">
              <w:rPr>
                <w:rFonts w:eastAsia="Times New Roman" w:cs="Times New Roman"/>
                <w:b/>
                <w:bCs/>
                <w:lang w:eastAsia="ru-RU"/>
              </w:rPr>
              <w:t>198,978,386</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14:paraId="3C3E40F7" w14:textId="77777777" w:rsidR="00EB0FE9" w:rsidRPr="00EB0FE9" w:rsidRDefault="00EB0FE9" w:rsidP="00EB0FE9">
            <w:pPr>
              <w:tabs>
                <w:tab w:val="left" w:pos="1502"/>
              </w:tabs>
              <w:spacing w:after="0"/>
              <w:ind w:left="-104" w:firstLine="29"/>
              <w:jc w:val="center"/>
              <w:rPr>
                <w:rFonts w:eastAsia="Times New Roman" w:cs="Times New Roman"/>
                <w:lang w:eastAsia="ru-RU"/>
              </w:rPr>
            </w:pPr>
            <w:r w:rsidRPr="00EB0FE9">
              <w:rPr>
                <w:rFonts w:eastAsia="Times New Roman" w:cs="Times New Roman"/>
                <w:b/>
                <w:bCs/>
              </w:rPr>
              <w:t>746,191,904</w:t>
            </w:r>
          </w:p>
        </w:tc>
      </w:tr>
      <w:tr w:rsidR="00EB0FE9" w:rsidRPr="00EB0FE9" w14:paraId="07DB2700"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E4B0"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val="ru-RU" w:eastAsia="ru-RU"/>
              </w:rPr>
              <w:t>Հունվար</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6AB2F0B"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133,445,780</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8A38B"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5,965,293</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6F093"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21,214,740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1283" w14:textId="77777777" w:rsidR="00EB0FE9" w:rsidRPr="00EB0FE9" w:rsidRDefault="00EB0FE9" w:rsidP="00EB0FE9">
            <w:pPr>
              <w:tabs>
                <w:tab w:val="left" w:pos="1502"/>
              </w:tabs>
              <w:spacing w:after="0"/>
              <w:ind w:left="-104" w:firstLine="29"/>
              <w:jc w:val="center"/>
              <w:rPr>
                <w:rFonts w:eastAsia="Times New Roman" w:cs="Times New Roman"/>
                <w:lang w:eastAsia="ru-RU"/>
              </w:rPr>
            </w:pPr>
            <w:r w:rsidRPr="00EB0FE9">
              <w:rPr>
                <w:rFonts w:eastAsia="Times New Roman" w:cs="Times New Roman"/>
              </w:rPr>
              <w:t>160,625,812</w:t>
            </w:r>
          </w:p>
        </w:tc>
      </w:tr>
      <w:tr w:rsidR="00EB0FE9" w:rsidRPr="00EB0FE9" w14:paraId="46629100"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3E4B1"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val="ru-RU" w:eastAsia="ru-RU"/>
              </w:rPr>
              <w:t>Փետրվար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5542"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67,231,843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8A1AB" w14:textId="77777777" w:rsidR="00EB0FE9" w:rsidRPr="00EB0FE9" w:rsidRDefault="00EB0FE9" w:rsidP="00EB0FE9">
            <w:pPr>
              <w:spacing w:after="0"/>
              <w:ind w:left="-89" w:right="-63" w:firstLine="45"/>
              <w:jc w:val="center"/>
              <w:rPr>
                <w:rFonts w:eastAsia="Times New Roman" w:cs="Times New Roman"/>
                <w:lang w:val="ru-RU" w:eastAsia="ru-RU"/>
              </w:rPr>
            </w:pPr>
            <w:r w:rsidRPr="00EB0FE9">
              <w:rPr>
                <w:rFonts w:eastAsia="Times New Roman" w:cs="Times New Roman"/>
                <w:lang w:eastAsia="ru-RU"/>
              </w:rPr>
              <w:t>4,352,3</w:t>
            </w:r>
            <w:r w:rsidRPr="00EB0FE9">
              <w:rPr>
                <w:rFonts w:eastAsia="Times New Roman" w:cs="Times New Roman"/>
                <w:lang w:val="ru-RU" w:eastAsia="ru-RU"/>
              </w:rPr>
              <w:t>98</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EC4AE" w14:textId="77777777" w:rsidR="00EB0FE9" w:rsidRPr="00EB0FE9" w:rsidRDefault="00EB0FE9" w:rsidP="00EB0FE9">
            <w:pPr>
              <w:spacing w:after="0"/>
              <w:ind w:left="-92" w:right="-123" w:firstLine="63"/>
              <w:jc w:val="center"/>
              <w:rPr>
                <w:rFonts w:eastAsia="Times New Roman" w:cs="Times New Roman"/>
                <w:lang w:val="ru-RU" w:eastAsia="ru-RU"/>
              </w:rPr>
            </w:pPr>
            <w:r w:rsidRPr="00EB0FE9">
              <w:rPr>
                <w:rFonts w:eastAsia="Times New Roman" w:cs="Times New Roman"/>
                <w:lang w:val="ru-RU" w:eastAsia="ru-RU"/>
              </w:rPr>
              <w:t>21,001,219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C43D2" w14:textId="77777777" w:rsidR="00EB0FE9" w:rsidRPr="00EB0FE9" w:rsidRDefault="00EB0FE9" w:rsidP="00EB0FE9">
            <w:pPr>
              <w:tabs>
                <w:tab w:val="left" w:pos="1502"/>
              </w:tabs>
              <w:spacing w:after="0"/>
              <w:ind w:left="-104" w:firstLine="29"/>
              <w:jc w:val="center"/>
              <w:rPr>
                <w:rFonts w:eastAsia="Times New Roman" w:cs="Times New Roman"/>
                <w:lang w:val="ru-RU" w:eastAsia="ru-RU"/>
              </w:rPr>
            </w:pPr>
            <w:r w:rsidRPr="00EB0FE9">
              <w:rPr>
                <w:rFonts w:eastAsia="Times New Roman" w:cs="Times New Roman"/>
              </w:rPr>
              <w:t>92,585,460</w:t>
            </w:r>
          </w:p>
        </w:tc>
      </w:tr>
      <w:tr w:rsidR="00EB0FE9" w:rsidRPr="00EB0FE9" w14:paraId="0EEBAABD"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1924D" w14:textId="77777777" w:rsidR="00EB0FE9" w:rsidRPr="00EB0FE9" w:rsidRDefault="00EB0FE9" w:rsidP="00EB0FE9">
            <w:pPr>
              <w:spacing w:after="0"/>
              <w:ind w:firstLine="45"/>
              <w:rPr>
                <w:rFonts w:eastAsia="Times New Roman" w:cs="Times New Roman"/>
                <w:bCs/>
                <w:lang w:val="ru-RU" w:eastAsia="ru-RU"/>
              </w:rPr>
            </w:pPr>
            <w:r w:rsidRPr="00EB0FE9">
              <w:rPr>
                <w:rFonts w:eastAsia="Times New Roman" w:cs="Times New Roman"/>
                <w:bCs/>
                <w:lang w:val="ru-RU" w:eastAsia="ru-RU"/>
              </w:rPr>
              <w:t>Մարտ</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683FE"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102,800,953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6FF5"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val="ru-RU" w:eastAsia="ru-RU"/>
              </w:rPr>
              <w:t>5,33</w:t>
            </w:r>
            <w:r w:rsidRPr="00EB0FE9">
              <w:rPr>
                <w:rFonts w:eastAsia="Times New Roman" w:cs="Times New Roman"/>
                <w:lang w:eastAsia="ru-RU"/>
              </w:rPr>
              <w:t>2,003</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DC4D3" w14:textId="77777777" w:rsidR="00EB0FE9" w:rsidRPr="00EB0FE9" w:rsidRDefault="00EB0FE9" w:rsidP="00EB0FE9">
            <w:pPr>
              <w:spacing w:after="0"/>
              <w:ind w:left="-92" w:right="-123" w:firstLine="63"/>
              <w:jc w:val="center"/>
              <w:rPr>
                <w:rFonts w:eastAsia="Times New Roman" w:cs="Times New Roman"/>
                <w:lang w:val="ru-RU" w:eastAsia="ru-RU"/>
              </w:rPr>
            </w:pPr>
            <w:r w:rsidRPr="00EB0FE9">
              <w:rPr>
                <w:rFonts w:eastAsia="Times New Roman" w:cs="Times New Roman"/>
                <w:lang w:val="ru-RU" w:eastAsia="ru-RU"/>
              </w:rPr>
              <w:t>22,879,590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9CAF" w14:textId="77777777" w:rsidR="00EB0FE9" w:rsidRPr="00EB0FE9" w:rsidRDefault="00EB0FE9" w:rsidP="00EB0FE9">
            <w:pPr>
              <w:tabs>
                <w:tab w:val="left" w:pos="1502"/>
              </w:tabs>
              <w:spacing w:after="0"/>
              <w:ind w:left="-104" w:firstLine="29"/>
              <w:jc w:val="center"/>
              <w:rPr>
                <w:rFonts w:eastAsia="Times New Roman" w:cs="Times New Roman"/>
                <w:lang w:val="ru-RU" w:eastAsia="ru-RU"/>
              </w:rPr>
            </w:pPr>
            <w:r w:rsidRPr="00EB0FE9">
              <w:rPr>
                <w:rFonts w:eastAsia="Times New Roman" w:cs="Times New Roman"/>
              </w:rPr>
              <w:t>131,012,542</w:t>
            </w:r>
          </w:p>
        </w:tc>
      </w:tr>
      <w:tr w:rsidR="00EB0FE9" w:rsidRPr="00EB0FE9" w14:paraId="22886B25"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BAE1"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Ապրիլ</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EF48"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140,523,351</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A50B5"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4,339,032</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1F66"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17,688,570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C5868" w14:textId="77777777" w:rsidR="00EB0FE9" w:rsidRPr="00EB0FE9" w:rsidRDefault="00EB0FE9" w:rsidP="00EB0FE9">
            <w:pPr>
              <w:tabs>
                <w:tab w:val="left" w:pos="1502"/>
              </w:tabs>
              <w:spacing w:after="0"/>
              <w:ind w:left="-104" w:firstLine="29"/>
              <w:jc w:val="center"/>
              <w:rPr>
                <w:rFonts w:eastAsia="Times New Roman" w:cs="Times New Roman"/>
                <w:lang w:val="ru-RU" w:eastAsia="ru-RU"/>
              </w:rPr>
            </w:pPr>
            <w:r w:rsidRPr="00EB0FE9">
              <w:rPr>
                <w:rFonts w:eastAsia="Times New Roman" w:cs="Times New Roman"/>
              </w:rPr>
              <w:t>162,550,953</w:t>
            </w:r>
          </w:p>
        </w:tc>
      </w:tr>
      <w:tr w:rsidR="00EB0FE9" w:rsidRPr="00EB0FE9" w14:paraId="01C09E09"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2A5A"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Մայիս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CBC93"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70,019,017</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333D"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3,436,667</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96ADA"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16,784,319</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EFCF" w14:textId="77777777" w:rsidR="00EB0FE9" w:rsidRPr="00EB0FE9" w:rsidRDefault="00EB0FE9" w:rsidP="00EB0FE9">
            <w:pPr>
              <w:tabs>
                <w:tab w:val="left" w:pos="1502"/>
              </w:tabs>
              <w:spacing w:after="0"/>
              <w:ind w:left="-104" w:firstLine="29"/>
              <w:jc w:val="center"/>
              <w:rPr>
                <w:rFonts w:eastAsia="Times New Roman" w:cs="Times New Roman"/>
                <w:lang w:val="ru-RU" w:eastAsia="ru-RU"/>
              </w:rPr>
            </w:pPr>
            <w:r w:rsidRPr="00EB0FE9">
              <w:rPr>
                <w:rFonts w:eastAsia="Times New Roman" w:cs="Times New Roman"/>
              </w:rPr>
              <w:t>90,240,003</w:t>
            </w:r>
          </w:p>
        </w:tc>
      </w:tr>
      <w:tr w:rsidR="00EB0FE9" w:rsidRPr="00EB0FE9" w14:paraId="755E503A"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B7DD5"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Հունիս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747EB" w14:textId="77777777" w:rsidR="00EB0FE9" w:rsidRPr="00EB0FE9" w:rsidRDefault="00EB0FE9" w:rsidP="00EB0FE9">
            <w:pPr>
              <w:spacing w:after="0"/>
              <w:ind w:left="-122" w:firstLine="15"/>
              <w:jc w:val="center"/>
              <w:rPr>
                <w:rFonts w:eastAsia="Times New Roman" w:cs="Times New Roman"/>
                <w:lang w:eastAsia="ru-RU"/>
              </w:rPr>
            </w:pPr>
            <w:r w:rsidRPr="00EB0FE9">
              <w:rPr>
                <w:rFonts w:eastAsia="Times New Roman" w:cs="Times New Roman"/>
              </w:rPr>
              <w:t>82,146,003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F6A9"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3,211,495</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87A3"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23,819,610</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54AD" w14:textId="77777777" w:rsidR="00EB0FE9" w:rsidRPr="00EB0FE9" w:rsidRDefault="00EB0FE9" w:rsidP="00EB0FE9">
            <w:pPr>
              <w:tabs>
                <w:tab w:val="left" w:pos="1502"/>
              </w:tabs>
              <w:spacing w:after="0"/>
              <w:ind w:left="-104" w:firstLine="29"/>
              <w:jc w:val="center"/>
              <w:rPr>
                <w:rFonts w:eastAsia="Times New Roman" w:cs="Times New Roman"/>
                <w:lang w:val="ru-RU" w:eastAsia="ru-RU"/>
              </w:rPr>
            </w:pPr>
            <w:r w:rsidRPr="00EB0FE9">
              <w:rPr>
                <w:rFonts w:eastAsia="Times New Roman" w:cs="Times New Roman"/>
              </w:rPr>
              <w:t>109,177,108</w:t>
            </w:r>
          </w:p>
        </w:tc>
      </w:tr>
      <w:tr w:rsidR="00EB0FE9" w:rsidRPr="00EB0FE9" w14:paraId="6026DEDC"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8CA0A"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Հուլիս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BCF9" w14:textId="77777777" w:rsidR="00EB0FE9" w:rsidRPr="00EB0FE9" w:rsidRDefault="00EB0FE9" w:rsidP="00EB0FE9">
            <w:pPr>
              <w:spacing w:after="0"/>
              <w:ind w:left="-122" w:firstLine="15"/>
              <w:jc w:val="center"/>
              <w:rPr>
                <w:rFonts w:eastAsia="Times New Roman" w:cs="Times New Roman"/>
              </w:rPr>
            </w:pPr>
            <w:r w:rsidRPr="00EB0FE9">
              <w:rPr>
                <w:rFonts w:eastAsia="Times New Roman" w:cs="Times New Roman"/>
              </w:rPr>
              <w:t>90,316,516</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D600C"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5,972,448</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59B0"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25,568,302</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FB105" w14:textId="77777777" w:rsidR="00EB0FE9" w:rsidRPr="00EB0FE9" w:rsidRDefault="00EB0FE9" w:rsidP="00EB0FE9">
            <w:pPr>
              <w:tabs>
                <w:tab w:val="left" w:pos="1502"/>
              </w:tabs>
              <w:spacing w:after="0"/>
              <w:ind w:left="-104" w:firstLine="29"/>
              <w:jc w:val="center"/>
              <w:rPr>
                <w:rFonts w:eastAsia="Times New Roman" w:cs="Times New Roman"/>
              </w:rPr>
            </w:pPr>
            <w:r w:rsidRPr="00EB0FE9">
              <w:rPr>
                <w:rFonts w:eastAsia="Times New Roman" w:cs="Times New Roman"/>
              </w:rPr>
              <w:t>121,857,265</w:t>
            </w:r>
          </w:p>
        </w:tc>
      </w:tr>
      <w:tr w:rsidR="00EB0FE9" w:rsidRPr="00EB0FE9" w14:paraId="5FE1FEBD"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09A27"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Օգոստոս</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6AA27" w14:textId="77777777" w:rsidR="00EB0FE9" w:rsidRPr="00EB0FE9" w:rsidRDefault="00EB0FE9" w:rsidP="00EB0FE9">
            <w:pPr>
              <w:spacing w:after="0"/>
              <w:ind w:left="-122" w:firstLine="15"/>
              <w:jc w:val="center"/>
              <w:rPr>
                <w:rFonts w:eastAsia="Times New Roman" w:cs="Times New Roman"/>
              </w:rPr>
            </w:pPr>
            <w:r w:rsidRPr="00EB0FE9">
              <w:rPr>
                <w:rFonts w:eastAsia="Times New Roman" w:cs="Times New Roman"/>
              </w:rPr>
              <w:t>80,338,748</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67CB"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3,580,200</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CB77A"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24,317,508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7B043" w14:textId="77777777" w:rsidR="00EB0FE9" w:rsidRPr="00EB0FE9" w:rsidRDefault="00EB0FE9" w:rsidP="00EB0FE9">
            <w:pPr>
              <w:tabs>
                <w:tab w:val="left" w:pos="1502"/>
              </w:tabs>
              <w:spacing w:after="0"/>
              <w:ind w:left="-104" w:firstLine="29"/>
              <w:jc w:val="center"/>
              <w:rPr>
                <w:rFonts w:eastAsia="Times New Roman" w:cs="Times New Roman"/>
              </w:rPr>
            </w:pPr>
            <w:r w:rsidRPr="00EB0FE9">
              <w:rPr>
                <w:rFonts w:eastAsia="Times New Roman" w:cs="Times New Roman"/>
              </w:rPr>
              <w:t>108,236,456</w:t>
            </w:r>
          </w:p>
        </w:tc>
      </w:tr>
      <w:tr w:rsidR="00EB0FE9" w:rsidRPr="00EB0FE9" w14:paraId="4E3B1B86" w14:textId="77777777" w:rsidTr="004C02CC">
        <w:trPr>
          <w:trHeight w:val="312"/>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70FF" w14:textId="77777777" w:rsidR="00EB0FE9" w:rsidRPr="00EB0FE9" w:rsidRDefault="00EB0FE9" w:rsidP="00EB0FE9">
            <w:pPr>
              <w:spacing w:after="0"/>
              <w:ind w:firstLine="45"/>
              <w:rPr>
                <w:rFonts w:eastAsia="Times New Roman" w:cs="Times New Roman"/>
                <w:bCs/>
                <w:lang w:eastAsia="ru-RU"/>
              </w:rPr>
            </w:pPr>
            <w:r w:rsidRPr="00EB0FE9">
              <w:rPr>
                <w:rFonts w:eastAsia="Times New Roman" w:cs="Times New Roman"/>
                <w:bCs/>
                <w:lang w:eastAsia="ru-RU"/>
              </w:rPr>
              <w:t>Սեպտեմբեր</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9ECC2" w14:textId="77777777" w:rsidR="00EB0FE9" w:rsidRPr="00EB0FE9" w:rsidRDefault="00EB0FE9" w:rsidP="00EB0FE9">
            <w:pPr>
              <w:spacing w:after="0"/>
              <w:ind w:left="-122" w:firstLine="15"/>
              <w:jc w:val="center"/>
              <w:rPr>
                <w:rFonts w:eastAsia="Times New Roman" w:cs="Times New Roman"/>
              </w:rPr>
            </w:pPr>
            <w:r w:rsidRPr="00EB0FE9">
              <w:rPr>
                <w:rFonts w:eastAsia="Times New Roman" w:cs="Times New Roman"/>
              </w:rPr>
              <w:t>109,917,072</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ADB5" w14:textId="77777777" w:rsidR="00EB0FE9" w:rsidRPr="00EB0FE9" w:rsidRDefault="00EB0FE9" w:rsidP="00EB0FE9">
            <w:pPr>
              <w:spacing w:after="0"/>
              <w:ind w:left="-89" w:right="-63" w:firstLine="45"/>
              <w:jc w:val="center"/>
              <w:rPr>
                <w:rFonts w:eastAsia="Times New Roman" w:cs="Times New Roman"/>
                <w:lang w:eastAsia="ru-RU"/>
              </w:rPr>
            </w:pPr>
            <w:r w:rsidRPr="00EB0FE9">
              <w:rPr>
                <w:rFonts w:eastAsia="Times New Roman" w:cs="Times New Roman"/>
                <w:lang w:eastAsia="ru-RU"/>
              </w:rPr>
              <w:t>4,640,237</w:t>
            </w:r>
          </w:p>
        </w:tc>
        <w:tc>
          <w:tcPr>
            <w:tcW w:w="1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F3C9" w14:textId="77777777" w:rsidR="00EB0FE9" w:rsidRPr="00EB0FE9" w:rsidRDefault="00EB0FE9" w:rsidP="00EB0FE9">
            <w:pPr>
              <w:spacing w:after="0"/>
              <w:ind w:left="-92" w:right="-123" w:firstLine="63"/>
              <w:jc w:val="center"/>
              <w:rPr>
                <w:rFonts w:eastAsia="Times New Roman" w:cs="Times New Roman"/>
                <w:lang w:eastAsia="ru-RU"/>
              </w:rPr>
            </w:pPr>
            <w:r w:rsidRPr="00EB0FE9">
              <w:rPr>
                <w:rFonts w:eastAsia="Times New Roman" w:cs="Times New Roman"/>
                <w:lang w:eastAsia="ru-RU"/>
              </w:rPr>
              <w:t>25,704,528</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49BF" w14:textId="77777777" w:rsidR="00EB0FE9" w:rsidRPr="00EB0FE9" w:rsidRDefault="00EB0FE9" w:rsidP="00EB0FE9">
            <w:pPr>
              <w:tabs>
                <w:tab w:val="left" w:pos="1502"/>
              </w:tabs>
              <w:spacing w:after="0"/>
              <w:ind w:left="-104" w:firstLine="29"/>
              <w:jc w:val="center"/>
              <w:rPr>
                <w:rFonts w:eastAsia="Times New Roman" w:cs="Times New Roman"/>
              </w:rPr>
            </w:pPr>
            <w:r w:rsidRPr="00EB0FE9">
              <w:rPr>
                <w:rFonts w:eastAsia="Times New Roman" w:cs="Times New Roman"/>
              </w:rPr>
              <w:t>140,261,837</w:t>
            </w:r>
          </w:p>
        </w:tc>
      </w:tr>
    </w:tbl>
    <w:p w14:paraId="0CA8B5AA" w14:textId="77777777" w:rsidR="00EB0FE9" w:rsidRPr="00EB0FE9" w:rsidRDefault="00EB0FE9" w:rsidP="00EB0FE9">
      <w:pPr>
        <w:spacing w:after="120"/>
        <w:ind w:firstLine="567"/>
        <w:rPr>
          <w:rFonts w:eastAsia="Times New Roman" w:cs="Sylfaen"/>
        </w:rPr>
      </w:pPr>
      <w:r w:rsidRPr="00EB0FE9">
        <w:rPr>
          <w:rFonts w:eastAsia="Times New Roman" w:cs="Sylfaen"/>
        </w:rPr>
        <w:t>*Հարկերի միասնական հաշվի մուտքերում հաշվի են առնվել վերահաշվարկները և ճշտումները</w:t>
      </w:r>
    </w:p>
    <w:p w14:paraId="2EB02354" w14:textId="77777777" w:rsidR="00EB0FE9" w:rsidRPr="00EB0FE9" w:rsidRDefault="00EB0FE9" w:rsidP="00EB0FE9">
      <w:pPr>
        <w:spacing w:after="0"/>
        <w:ind w:left="7920" w:firstLine="567"/>
        <w:jc w:val="right"/>
        <w:rPr>
          <w:rFonts w:eastAsia="Times New Roman" w:cs="Sylfaen"/>
        </w:rPr>
      </w:pPr>
      <w:r w:rsidRPr="00EB0FE9">
        <w:rPr>
          <w:rFonts w:eastAsia="Times New Roman" w:cs="Times New Roman"/>
        </w:rPr>
        <w:t>(Աղյուսակ 5</w:t>
      </w:r>
      <w:r w:rsidRPr="00EB0FE9">
        <w:rPr>
          <w:rFonts w:ascii="Cambria Math" w:eastAsia="Times New Roman" w:hAnsi="Cambria Math" w:cs="Cambria Math"/>
        </w:rPr>
        <w:t>․</w:t>
      </w:r>
      <w:r w:rsidRPr="00EB0FE9">
        <w:rPr>
          <w:rFonts w:eastAsia="Times New Roman" w:cs="Times New Roman"/>
        </w:rPr>
        <w:t>1)</w:t>
      </w:r>
    </w:p>
    <w:p w14:paraId="3648191F" w14:textId="4ABA9013" w:rsidR="00EB0FE9" w:rsidRPr="00EB0FE9" w:rsidRDefault="00EB0FE9" w:rsidP="00EB0FE9">
      <w:pPr>
        <w:spacing w:after="120"/>
        <w:ind w:firstLine="567"/>
        <w:rPr>
          <w:rFonts w:eastAsia="Times New Roman" w:cs="Sylfaen"/>
        </w:rPr>
      </w:pPr>
      <w:r w:rsidRPr="00EB0FE9">
        <w:rPr>
          <w:rFonts w:eastAsia="Times New Roman" w:cs="Sylfaen"/>
        </w:rPr>
        <w:t>Բյուջեի եկամուտներից կատարված վերադարձները.</w:t>
      </w:r>
      <w:r w:rsidR="00B53E6C">
        <w:rPr>
          <w:rFonts w:eastAsia="Times New Roman" w:cs="Sylfaen"/>
        </w:rPr>
        <w:tab/>
      </w:r>
      <w:r w:rsidR="00B53E6C">
        <w:rPr>
          <w:rFonts w:eastAsia="Times New Roman" w:cs="Sylfaen"/>
        </w:rPr>
        <w:tab/>
      </w:r>
      <w:r w:rsidR="00B53E6C">
        <w:rPr>
          <w:rFonts w:eastAsia="Times New Roman" w:cs="Sylfaen"/>
        </w:rPr>
        <w:tab/>
      </w:r>
      <w:r w:rsidR="00B53E6C">
        <w:rPr>
          <w:rFonts w:eastAsia="Times New Roman" w:cs="Sylfaen"/>
        </w:rPr>
        <w:tab/>
      </w:r>
      <w:r w:rsidRPr="00EB0FE9">
        <w:rPr>
          <w:rFonts w:eastAsia="Times New Roman" w:cs="Sylfaen"/>
        </w:rPr>
        <w:t>հազ. դրամ</w:t>
      </w:r>
    </w:p>
    <w:tbl>
      <w:tblPr>
        <w:tblW w:w="10485" w:type="dxa"/>
        <w:tblInd w:w="-147" w:type="dxa"/>
        <w:tblLayout w:type="fixed"/>
        <w:tblLook w:val="04A0" w:firstRow="1" w:lastRow="0" w:firstColumn="1" w:lastColumn="0" w:noHBand="0" w:noVBand="1"/>
      </w:tblPr>
      <w:tblGrid>
        <w:gridCol w:w="1582"/>
        <w:gridCol w:w="1573"/>
        <w:gridCol w:w="1558"/>
        <w:gridCol w:w="1559"/>
        <w:gridCol w:w="1274"/>
        <w:gridCol w:w="1239"/>
        <w:gridCol w:w="1700"/>
      </w:tblGrid>
      <w:tr w:rsidR="00EB0FE9" w:rsidRPr="00EB0FE9" w14:paraId="1150BF12" w14:textId="77777777" w:rsidTr="00B53E6C">
        <w:trPr>
          <w:trHeight w:val="70"/>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784E" w14:textId="77777777" w:rsidR="00EB0FE9" w:rsidRPr="00EB0FE9" w:rsidRDefault="00EB0FE9" w:rsidP="00EB0FE9">
            <w:pPr>
              <w:spacing w:after="0" w:line="240" w:lineRule="auto"/>
              <w:ind w:firstLine="12"/>
              <w:jc w:val="center"/>
              <w:rPr>
                <w:rFonts w:eastAsia="Times New Roman" w:cs="Times New Roman"/>
                <w:b/>
                <w:lang w:val="ru-RU" w:eastAsia="ru-RU"/>
              </w:rPr>
            </w:pPr>
            <w:r w:rsidRPr="00EB0FE9">
              <w:rPr>
                <w:rFonts w:eastAsia="Times New Roman" w:cs="Times New Roman"/>
                <w:b/>
                <w:lang w:val="ru-RU" w:eastAsia="ru-RU"/>
              </w:rPr>
              <w:t>Ամիս</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14:paraId="052C0B1A" w14:textId="77777777" w:rsidR="00EB0FE9" w:rsidRPr="00EB0FE9" w:rsidRDefault="00EB0FE9" w:rsidP="00EB0FE9">
            <w:pPr>
              <w:spacing w:after="0" w:line="240" w:lineRule="auto"/>
              <w:ind w:left="-70" w:right="-57" w:firstLine="11"/>
              <w:jc w:val="center"/>
              <w:rPr>
                <w:rFonts w:eastAsia="Times New Roman" w:cs="Times New Roman"/>
                <w:b/>
                <w:lang w:val="ru-RU" w:eastAsia="ru-RU"/>
              </w:rPr>
            </w:pPr>
            <w:r w:rsidRPr="00EB0FE9">
              <w:rPr>
                <w:rFonts w:eastAsia="Times New Roman" w:cs="Times New Roman"/>
                <w:b/>
                <w:lang w:val="ru-RU" w:eastAsia="ru-RU"/>
              </w:rPr>
              <w:t xml:space="preserve"> Անցումային գերավճարից վերադարձ հարկատուներին</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B291DB" w14:textId="77777777" w:rsidR="00EB0FE9" w:rsidRPr="00EB0FE9" w:rsidRDefault="00EB0FE9" w:rsidP="00EB0FE9">
            <w:pPr>
              <w:spacing w:after="0" w:line="240" w:lineRule="auto"/>
              <w:ind w:left="-89" w:right="-66" w:firstLine="57"/>
              <w:jc w:val="center"/>
              <w:rPr>
                <w:rFonts w:eastAsia="Times New Roman" w:cs="Times New Roman"/>
                <w:b/>
                <w:lang w:eastAsia="ru-RU"/>
              </w:rPr>
            </w:pPr>
            <w:r w:rsidRPr="00EB0FE9">
              <w:rPr>
                <w:rFonts w:eastAsia="Times New Roman" w:cs="Times New Roman"/>
                <w:b/>
                <w:lang w:val="ru-RU" w:eastAsia="ru-RU"/>
              </w:rPr>
              <w:t xml:space="preserve"> Դեբետային գերավճարից վերադարձ հարկատուներին, </w:t>
            </w:r>
            <w:r w:rsidRPr="00EB0FE9">
              <w:rPr>
                <w:rFonts w:eastAsia="Times New Roman" w:cs="Times New Roman"/>
                <w:b/>
                <w:sz w:val="20"/>
                <w:szCs w:val="20"/>
                <w:lang w:eastAsia="ru-RU"/>
              </w:rPr>
              <w:t>այդ թվում՝ ՊԵԿ եզրակացությունների համաձայն</w:t>
            </w:r>
            <w:r w:rsidRPr="00EB0FE9">
              <w:rPr>
                <w:rFonts w:eastAsia="Times New Roman" w:cs="Times New Roman"/>
                <w:b/>
                <w:sz w:val="20"/>
                <w:szCs w:val="20"/>
                <w:lang w:val="ru-RU" w:eastAsia="ru-RU"/>
              </w:rPr>
              <w:t xml:space="preserve"> </w:t>
            </w:r>
            <w:r w:rsidRPr="00EB0FE9">
              <w:rPr>
                <w:rFonts w:eastAsia="Times New Roman" w:cs="Times New Roman"/>
                <w:b/>
                <w:sz w:val="20"/>
                <w:szCs w:val="20"/>
                <w:lang w:eastAsia="ru-RU"/>
              </w:rPr>
              <w:t>վերադարձված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9234E2" w14:textId="77777777" w:rsidR="00EB0FE9" w:rsidRPr="00EB0FE9" w:rsidRDefault="00EB0FE9" w:rsidP="00EB0FE9">
            <w:pPr>
              <w:spacing w:after="0" w:line="240" w:lineRule="auto"/>
              <w:ind w:left="-66" w:right="-58" w:firstLine="4"/>
              <w:jc w:val="center"/>
              <w:rPr>
                <w:rFonts w:eastAsia="Times New Roman" w:cs="Times New Roman"/>
                <w:b/>
                <w:lang w:eastAsia="ru-RU"/>
              </w:rPr>
            </w:pPr>
            <w:r w:rsidRPr="00EB0FE9">
              <w:rPr>
                <w:rFonts w:eastAsia="Times New Roman" w:cs="Times New Roman"/>
                <w:b/>
                <w:lang w:eastAsia="ru-RU"/>
              </w:rPr>
              <w:t xml:space="preserve">Վարկառուներին հիպոտեկային վարկի սպասարկման համար վճարված տոկոսներ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039007" w14:textId="77777777" w:rsidR="00EB0FE9" w:rsidRPr="00EB0FE9" w:rsidRDefault="00EB0FE9" w:rsidP="00EB0FE9">
            <w:pPr>
              <w:spacing w:after="0" w:line="240" w:lineRule="auto"/>
              <w:ind w:left="-74" w:right="-78" w:firstLine="45"/>
              <w:jc w:val="center"/>
              <w:rPr>
                <w:rFonts w:eastAsia="Times New Roman" w:cs="Times New Roman"/>
                <w:b/>
                <w:lang w:eastAsia="ru-RU"/>
              </w:rPr>
            </w:pPr>
            <w:r w:rsidRPr="00EB0FE9">
              <w:rPr>
                <w:rFonts w:eastAsia="Times New Roman" w:cs="Times New Roman"/>
                <w:b/>
                <w:lang w:eastAsia="ru-RU"/>
              </w:rPr>
              <w:t xml:space="preserve"> ԱԱՀ-ի վերադարձ (Tax free)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5B932C9" w14:textId="77777777" w:rsidR="00EB0FE9" w:rsidRPr="00EB0FE9" w:rsidRDefault="00EB0FE9" w:rsidP="00EB0FE9">
            <w:pPr>
              <w:spacing w:after="0" w:line="240" w:lineRule="auto"/>
              <w:ind w:left="-26" w:right="-75"/>
              <w:jc w:val="center"/>
              <w:rPr>
                <w:rFonts w:eastAsia="Times New Roman" w:cs="Times New Roman"/>
                <w:b/>
                <w:lang w:val="ru-RU" w:eastAsia="ru-RU"/>
              </w:rPr>
            </w:pPr>
            <w:r w:rsidRPr="00EB0FE9">
              <w:rPr>
                <w:rFonts w:eastAsia="Times New Roman" w:cs="Times New Roman"/>
                <w:b/>
                <w:lang w:eastAsia="ru-RU"/>
              </w:rPr>
              <w:t xml:space="preserve"> </w:t>
            </w:r>
            <w:r w:rsidRPr="00EB0FE9">
              <w:rPr>
                <w:rFonts w:eastAsia="Times New Roman" w:cs="Times New Roman"/>
                <w:b/>
                <w:lang w:val="ru-RU" w:eastAsia="ru-RU"/>
              </w:rPr>
              <w:t>Այլ ելքեր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DE257C" w14:textId="77777777" w:rsidR="00EB0FE9" w:rsidRPr="00EB0FE9" w:rsidRDefault="00EB0FE9" w:rsidP="00EB0FE9">
            <w:pPr>
              <w:spacing w:after="0" w:line="240" w:lineRule="auto"/>
              <w:jc w:val="center"/>
              <w:rPr>
                <w:rFonts w:eastAsia="Times New Roman" w:cs="Times New Roman"/>
                <w:b/>
                <w:lang w:val="ru-RU" w:eastAsia="ru-RU"/>
              </w:rPr>
            </w:pPr>
            <w:r w:rsidRPr="00EB0FE9">
              <w:rPr>
                <w:rFonts w:eastAsia="Times New Roman" w:cs="Times New Roman"/>
                <w:b/>
                <w:lang w:val="ru-RU" w:eastAsia="ru-RU"/>
              </w:rPr>
              <w:t>Ընդամենը հարկերից վերադարձների գումար</w:t>
            </w:r>
            <w:r w:rsidRPr="00EB0FE9">
              <w:rPr>
                <w:rFonts w:eastAsia="Times New Roman" w:cs="Arial"/>
                <w:b/>
                <w:lang w:val="ru-RU" w:eastAsia="ru-RU"/>
              </w:rPr>
              <w:t>ը</w:t>
            </w:r>
          </w:p>
        </w:tc>
      </w:tr>
      <w:tr w:rsidR="00EB0FE9" w:rsidRPr="00EB0FE9" w14:paraId="400A9D7A"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61BED1C8"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val="ru-RU" w:eastAsia="ru-RU"/>
              </w:rPr>
              <w:t>Հունվար</w:t>
            </w:r>
          </w:p>
        </w:tc>
        <w:tc>
          <w:tcPr>
            <w:tcW w:w="1573" w:type="dxa"/>
            <w:tcBorders>
              <w:top w:val="nil"/>
              <w:left w:val="nil"/>
              <w:bottom w:val="single" w:sz="4" w:space="0" w:color="auto"/>
              <w:right w:val="single" w:sz="4" w:space="0" w:color="auto"/>
            </w:tcBorders>
            <w:shd w:val="clear" w:color="auto" w:fill="auto"/>
            <w:noWrap/>
            <w:vAlign w:val="bottom"/>
            <w:hideMark/>
          </w:tcPr>
          <w:p w14:paraId="7082C0FE" w14:textId="77777777" w:rsidR="00EB0FE9" w:rsidRPr="00EB0FE9" w:rsidRDefault="00EB0FE9" w:rsidP="00EB0FE9">
            <w:pPr>
              <w:spacing w:after="0"/>
              <w:ind w:firstLine="567"/>
              <w:jc w:val="center"/>
              <w:rPr>
                <w:rFonts w:eastAsia="Times New Roman" w:cs="Times New Roman"/>
                <w:lang w:val="ru-RU" w:eastAsia="ru-RU"/>
              </w:rPr>
            </w:pPr>
            <w:r w:rsidRPr="00EB0FE9">
              <w:rPr>
                <w:rFonts w:eastAsia="Times New Roman" w:cs="Times New Roman"/>
                <w:lang w:val="ru-RU" w:eastAsia="ru-RU"/>
              </w:rPr>
              <w:t>56,203</w:t>
            </w:r>
          </w:p>
        </w:tc>
        <w:tc>
          <w:tcPr>
            <w:tcW w:w="1559" w:type="dxa"/>
            <w:tcBorders>
              <w:top w:val="nil"/>
              <w:left w:val="nil"/>
              <w:bottom w:val="single" w:sz="4" w:space="0" w:color="auto"/>
              <w:right w:val="single" w:sz="4" w:space="0" w:color="auto"/>
            </w:tcBorders>
            <w:shd w:val="clear" w:color="auto" w:fill="auto"/>
            <w:noWrap/>
            <w:vAlign w:val="bottom"/>
            <w:hideMark/>
          </w:tcPr>
          <w:p w14:paraId="6332BA38"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13,420,945</w:t>
            </w:r>
          </w:p>
        </w:tc>
        <w:tc>
          <w:tcPr>
            <w:tcW w:w="1560" w:type="dxa"/>
            <w:tcBorders>
              <w:top w:val="nil"/>
              <w:left w:val="nil"/>
              <w:bottom w:val="single" w:sz="4" w:space="0" w:color="auto"/>
              <w:right w:val="single" w:sz="4" w:space="0" w:color="auto"/>
            </w:tcBorders>
            <w:shd w:val="clear" w:color="auto" w:fill="auto"/>
            <w:noWrap/>
            <w:vAlign w:val="bottom"/>
            <w:hideMark/>
          </w:tcPr>
          <w:p w14:paraId="2C1EF08E"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358,516</w:t>
            </w:r>
          </w:p>
        </w:tc>
        <w:tc>
          <w:tcPr>
            <w:tcW w:w="1275" w:type="dxa"/>
            <w:tcBorders>
              <w:top w:val="nil"/>
              <w:left w:val="nil"/>
              <w:bottom w:val="single" w:sz="4" w:space="0" w:color="auto"/>
              <w:right w:val="single" w:sz="4" w:space="0" w:color="auto"/>
            </w:tcBorders>
            <w:shd w:val="clear" w:color="auto" w:fill="auto"/>
            <w:noWrap/>
            <w:vAlign w:val="bottom"/>
            <w:hideMark/>
          </w:tcPr>
          <w:p w14:paraId="39FF34E1" w14:textId="77777777" w:rsidR="00EB0FE9" w:rsidRPr="00EB0FE9" w:rsidRDefault="00EB0FE9" w:rsidP="00EB0FE9">
            <w:pPr>
              <w:spacing w:after="0"/>
              <w:ind w:hanging="29"/>
              <w:jc w:val="center"/>
              <w:rPr>
                <w:rFonts w:eastAsia="Times New Roman" w:cs="Times New Roman"/>
                <w:lang w:val="ru-RU" w:eastAsia="ru-RU"/>
              </w:rPr>
            </w:pPr>
            <w:r w:rsidRPr="00EB0FE9">
              <w:rPr>
                <w:rFonts w:eastAsia="Times New Roman" w:cs="Times New Roman"/>
                <w:lang w:val="ru-RU" w:eastAsia="ru-RU"/>
              </w:rPr>
              <w:t>25,973</w:t>
            </w:r>
          </w:p>
        </w:tc>
        <w:tc>
          <w:tcPr>
            <w:tcW w:w="1240" w:type="dxa"/>
            <w:tcBorders>
              <w:top w:val="nil"/>
              <w:left w:val="nil"/>
              <w:bottom w:val="single" w:sz="4" w:space="0" w:color="auto"/>
              <w:right w:val="single" w:sz="4" w:space="0" w:color="auto"/>
            </w:tcBorders>
            <w:shd w:val="clear" w:color="auto" w:fill="auto"/>
            <w:noWrap/>
            <w:vAlign w:val="bottom"/>
            <w:hideMark/>
          </w:tcPr>
          <w:p w14:paraId="0E9C658C" w14:textId="77777777" w:rsidR="00EB0FE9" w:rsidRPr="00EB0FE9" w:rsidRDefault="00EB0FE9" w:rsidP="00EB0FE9">
            <w:pPr>
              <w:spacing w:after="0"/>
              <w:ind w:hanging="62"/>
              <w:jc w:val="center"/>
              <w:rPr>
                <w:rFonts w:eastAsia="Times New Roman" w:cs="Times New Roman"/>
                <w:lang w:val="ru-RU" w:eastAsia="ru-RU"/>
              </w:rPr>
            </w:pPr>
            <w:r w:rsidRPr="00EB0FE9">
              <w:rPr>
                <w:rFonts w:eastAsia="Times New Roman" w:cs="Times New Roman"/>
                <w:lang w:val="ru-RU" w:eastAsia="ru-RU"/>
              </w:rPr>
              <w:t>65,463</w:t>
            </w:r>
          </w:p>
        </w:tc>
        <w:tc>
          <w:tcPr>
            <w:tcW w:w="1701" w:type="dxa"/>
            <w:tcBorders>
              <w:top w:val="nil"/>
              <w:left w:val="nil"/>
              <w:bottom w:val="single" w:sz="4" w:space="0" w:color="auto"/>
              <w:right w:val="single" w:sz="4" w:space="0" w:color="auto"/>
            </w:tcBorders>
            <w:shd w:val="clear" w:color="auto" w:fill="auto"/>
            <w:noWrap/>
            <w:vAlign w:val="center"/>
            <w:hideMark/>
          </w:tcPr>
          <w:p w14:paraId="20F05C1E"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val="ru-RU" w:eastAsia="ru-RU"/>
              </w:rPr>
              <w:t>13,927,</w:t>
            </w:r>
            <w:r w:rsidRPr="00EB0FE9">
              <w:rPr>
                <w:rFonts w:eastAsia="Times New Roman" w:cs="Times New Roman"/>
                <w:lang w:eastAsia="ru-RU"/>
              </w:rPr>
              <w:t>100</w:t>
            </w:r>
          </w:p>
        </w:tc>
      </w:tr>
      <w:tr w:rsidR="00EB0FE9" w:rsidRPr="00EB0FE9" w14:paraId="7DC4F322"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72481C19"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val="ru-RU" w:eastAsia="ru-RU"/>
              </w:rPr>
              <w:t>Փետրվար</w:t>
            </w:r>
          </w:p>
        </w:tc>
        <w:tc>
          <w:tcPr>
            <w:tcW w:w="1573" w:type="dxa"/>
            <w:tcBorders>
              <w:top w:val="nil"/>
              <w:left w:val="nil"/>
              <w:bottom w:val="single" w:sz="4" w:space="0" w:color="auto"/>
              <w:right w:val="single" w:sz="4" w:space="0" w:color="auto"/>
            </w:tcBorders>
            <w:shd w:val="clear" w:color="auto" w:fill="auto"/>
            <w:noWrap/>
            <w:vAlign w:val="bottom"/>
            <w:hideMark/>
          </w:tcPr>
          <w:p w14:paraId="536ACF8F" w14:textId="77777777" w:rsidR="00EB0FE9" w:rsidRPr="00EB0FE9" w:rsidRDefault="00EB0FE9" w:rsidP="00EB0FE9">
            <w:pPr>
              <w:spacing w:after="0"/>
              <w:ind w:firstLine="567"/>
              <w:jc w:val="center"/>
              <w:rPr>
                <w:rFonts w:eastAsia="Times New Roman" w:cs="Times New Roman"/>
                <w:lang w:val="ru-RU" w:eastAsia="ru-RU"/>
              </w:rPr>
            </w:pPr>
            <w:r w:rsidRPr="00EB0FE9">
              <w:rPr>
                <w:rFonts w:eastAsia="Times New Roman" w:cs="Times New Roman"/>
                <w:lang w:val="ru-RU" w:eastAsia="ru-RU"/>
              </w:rPr>
              <w:t>27,404</w:t>
            </w:r>
          </w:p>
        </w:tc>
        <w:tc>
          <w:tcPr>
            <w:tcW w:w="1559" w:type="dxa"/>
            <w:tcBorders>
              <w:top w:val="nil"/>
              <w:left w:val="nil"/>
              <w:bottom w:val="single" w:sz="4" w:space="0" w:color="auto"/>
              <w:right w:val="single" w:sz="4" w:space="0" w:color="auto"/>
            </w:tcBorders>
            <w:shd w:val="clear" w:color="auto" w:fill="auto"/>
            <w:noWrap/>
            <w:vAlign w:val="bottom"/>
            <w:hideMark/>
          </w:tcPr>
          <w:p w14:paraId="43A9911E"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5,155,686</w:t>
            </w:r>
          </w:p>
        </w:tc>
        <w:tc>
          <w:tcPr>
            <w:tcW w:w="1560" w:type="dxa"/>
            <w:tcBorders>
              <w:top w:val="nil"/>
              <w:left w:val="nil"/>
              <w:bottom w:val="single" w:sz="4" w:space="0" w:color="auto"/>
              <w:right w:val="single" w:sz="4" w:space="0" w:color="auto"/>
            </w:tcBorders>
            <w:shd w:val="clear" w:color="auto" w:fill="auto"/>
            <w:noWrap/>
            <w:vAlign w:val="bottom"/>
            <w:hideMark/>
          </w:tcPr>
          <w:p w14:paraId="5B310284"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2,009,365</w:t>
            </w:r>
          </w:p>
        </w:tc>
        <w:tc>
          <w:tcPr>
            <w:tcW w:w="1275" w:type="dxa"/>
            <w:tcBorders>
              <w:top w:val="nil"/>
              <w:left w:val="nil"/>
              <w:bottom w:val="single" w:sz="4" w:space="0" w:color="auto"/>
              <w:right w:val="single" w:sz="4" w:space="0" w:color="auto"/>
            </w:tcBorders>
            <w:shd w:val="clear" w:color="auto" w:fill="auto"/>
            <w:noWrap/>
            <w:vAlign w:val="bottom"/>
            <w:hideMark/>
          </w:tcPr>
          <w:p w14:paraId="023A5AE6" w14:textId="77777777" w:rsidR="00EB0FE9" w:rsidRPr="00EB0FE9" w:rsidRDefault="00EB0FE9" w:rsidP="00EB0FE9">
            <w:pPr>
              <w:spacing w:after="0"/>
              <w:ind w:hanging="29"/>
              <w:jc w:val="center"/>
              <w:rPr>
                <w:rFonts w:eastAsia="Times New Roman" w:cs="Times New Roman"/>
                <w:lang w:val="ru-RU" w:eastAsia="ru-RU"/>
              </w:rPr>
            </w:pPr>
            <w:r w:rsidRPr="00EB0FE9">
              <w:rPr>
                <w:rFonts w:eastAsia="Times New Roman" w:cs="Times New Roman"/>
                <w:lang w:val="ru-RU" w:eastAsia="ru-RU"/>
              </w:rPr>
              <w:t>15,212</w:t>
            </w:r>
          </w:p>
        </w:tc>
        <w:tc>
          <w:tcPr>
            <w:tcW w:w="1240" w:type="dxa"/>
            <w:tcBorders>
              <w:top w:val="nil"/>
              <w:left w:val="nil"/>
              <w:bottom w:val="single" w:sz="4" w:space="0" w:color="auto"/>
              <w:right w:val="single" w:sz="4" w:space="0" w:color="auto"/>
            </w:tcBorders>
            <w:shd w:val="clear" w:color="auto" w:fill="auto"/>
            <w:noWrap/>
            <w:vAlign w:val="bottom"/>
            <w:hideMark/>
          </w:tcPr>
          <w:p w14:paraId="13BDCDF9" w14:textId="77777777" w:rsidR="00EB0FE9" w:rsidRPr="00EB0FE9" w:rsidRDefault="00EB0FE9" w:rsidP="00EB0FE9">
            <w:pPr>
              <w:spacing w:after="0"/>
              <w:ind w:hanging="62"/>
              <w:jc w:val="center"/>
              <w:rPr>
                <w:rFonts w:eastAsia="Times New Roman" w:cs="Times New Roman"/>
                <w:lang w:val="ru-RU" w:eastAsia="ru-RU"/>
              </w:rPr>
            </w:pPr>
            <w:r w:rsidRPr="00EB0FE9">
              <w:rPr>
                <w:rFonts w:eastAsia="Times New Roman" w:cs="Times New Roman"/>
                <w:lang w:val="ru-RU" w:eastAsia="ru-RU"/>
              </w:rPr>
              <w:t>73,812</w:t>
            </w:r>
          </w:p>
        </w:tc>
        <w:tc>
          <w:tcPr>
            <w:tcW w:w="1701" w:type="dxa"/>
            <w:tcBorders>
              <w:top w:val="nil"/>
              <w:left w:val="nil"/>
              <w:bottom w:val="single" w:sz="4" w:space="0" w:color="auto"/>
              <w:right w:val="single" w:sz="4" w:space="0" w:color="auto"/>
            </w:tcBorders>
            <w:shd w:val="clear" w:color="auto" w:fill="auto"/>
            <w:noWrap/>
            <w:vAlign w:val="center"/>
            <w:hideMark/>
          </w:tcPr>
          <w:p w14:paraId="73938792" w14:textId="77777777" w:rsidR="00EB0FE9" w:rsidRPr="00EB0FE9" w:rsidRDefault="00EB0FE9" w:rsidP="00EB0FE9">
            <w:pPr>
              <w:spacing w:after="0"/>
              <w:ind w:hanging="86"/>
              <w:jc w:val="center"/>
              <w:rPr>
                <w:rFonts w:eastAsia="Times New Roman" w:cs="Times New Roman"/>
                <w:lang w:val="ru-RU" w:eastAsia="ru-RU"/>
              </w:rPr>
            </w:pPr>
            <w:r w:rsidRPr="00EB0FE9">
              <w:rPr>
                <w:rFonts w:eastAsia="Times New Roman" w:cs="Times New Roman"/>
                <w:lang w:val="ru-RU" w:eastAsia="ru-RU"/>
              </w:rPr>
              <w:t>7,281,479</w:t>
            </w:r>
          </w:p>
        </w:tc>
      </w:tr>
      <w:tr w:rsidR="00EB0FE9" w:rsidRPr="00EB0FE9" w14:paraId="594CA9E5" w14:textId="77777777" w:rsidTr="004C02CC">
        <w:trPr>
          <w:trHeight w:val="312"/>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04C60"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val="ru-RU" w:eastAsia="ru-RU"/>
              </w:rPr>
              <w:lastRenderedPageBreak/>
              <w:t>Մարտ</w:t>
            </w:r>
          </w:p>
        </w:tc>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BD71" w14:textId="77777777" w:rsidR="00EB0FE9" w:rsidRPr="00EB0FE9" w:rsidRDefault="00EB0FE9" w:rsidP="00EB0FE9">
            <w:pPr>
              <w:spacing w:after="0"/>
              <w:ind w:firstLine="567"/>
              <w:jc w:val="center"/>
              <w:rPr>
                <w:rFonts w:eastAsia="Times New Roman" w:cs="Times New Roman"/>
                <w:lang w:val="ru-RU" w:eastAsia="ru-RU"/>
              </w:rPr>
            </w:pPr>
            <w:r w:rsidRPr="00EB0FE9">
              <w:rPr>
                <w:rFonts w:eastAsia="Times New Roman" w:cs="Times New Roman"/>
                <w:lang w:val="ru-RU" w:eastAsia="ru-RU"/>
              </w:rPr>
              <w:t>51,140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653A"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13,429,330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3F5B" w14:textId="77777777" w:rsidR="00EB0FE9" w:rsidRPr="00EB0FE9" w:rsidRDefault="00EB0FE9" w:rsidP="00EB0FE9">
            <w:pPr>
              <w:spacing w:after="0"/>
              <w:jc w:val="center"/>
              <w:rPr>
                <w:rFonts w:eastAsia="Times New Roman" w:cs="Times New Roman"/>
                <w:lang w:val="ru-RU" w:eastAsia="ru-RU"/>
              </w:rPr>
            </w:pPr>
            <w:r w:rsidRPr="00EB0FE9">
              <w:rPr>
                <w:rFonts w:eastAsia="Times New Roman" w:cs="Times New Roman"/>
                <w:lang w:val="ru-RU" w:eastAsia="ru-RU"/>
              </w:rPr>
              <w:t>416,063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9655E" w14:textId="77777777" w:rsidR="00EB0FE9" w:rsidRPr="00EB0FE9" w:rsidRDefault="00EB0FE9" w:rsidP="00EB0FE9">
            <w:pPr>
              <w:spacing w:after="0"/>
              <w:ind w:hanging="29"/>
              <w:jc w:val="center"/>
              <w:rPr>
                <w:rFonts w:eastAsia="Times New Roman" w:cs="Times New Roman"/>
                <w:lang w:val="ru-RU" w:eastAsia="ru-RU"/>
              </w:rPr>
            </w:pPr>
            <w:r w:rsidRPr="00EB0FE9">
              <w:rPr>
                <w:rFonts w:eastAsia="Times New Roman" w:cs="Times New Roman"/>
                <w:lang w:val="ru-RU" w:eastAsia="ru-RU"/>
              </w:rPr>
              <w:t>45,022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2A2CA" w14:textId="77777777" w:rsidR="00EB0FE9" w:rsidRPr="00EB0FE9" w:rsidRDefault="00EB0FE9" w:rsidP="00EB0FE9">
            <w:pPr>
              <w:spacing w:after="0"/>
              <w:ind w:hanging="62"/>
              <w:jc w:val="center"/>
              <w:rPr>
                <w:rFonts w:eastAsia="Times New Roman" w:cs="Times New Roman"/>
                <w:lang w:val="ru-RU" w:eastAsia="ru-RU"/>
              </w:rPr>
            </w:pPr>
            <w:r w:rsidRPr="00EB0FE9">
              <w:rPr>
                <w:rFonts w:eastAsia="Times New Roman" w:cs="Times New Roman"/>
                <w:lang w:val="ru-RU" w:eastAsia="ru-RU"/>
              </w:rPr>
              <w:t>39,254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BD87B" w14:textId="77777777" w:rsidR="00EB0FE9" w:rsidRPr="00EB0FE9" w:rsidRDefault="00EB0FE9" w:rsidP="00EB0FE9">
            <w:pPr>
              <w:spacing w:after="0"/>
              <w:ind w:hanging="86"/>
              <w:jc w:val="center"/>
              <w:rPr>
                <w:rFonts w:eastAsia="Times New Roman" w:cs="Times New Roman"/>
                <w:lang w:val="ru-RU" w:eastAsia="ru-RU"/>
              </w:rPr>
            </w:pPr>
            <w:r w:rsidRPr="00EB0FE9">
              <w:rPr>
                <w:rFonts w:eastAsia="Times New Roman" w:cs="Times New Roman"/>
                <w:lang w:val="ru-RU" w:eastAsia="ru-RU"/>
              </w:rPr>
              <w:t>13,980,809</w:t>
            </w:r>
          </w:p>
        </w:tc>
      </w:tr>
      <w:tr w:rsidR="00EB0FE9" w:rsidRPr="00EB0FE9" w14:paraId="7B6C7E8C" w14:textId="77777777" w:rsidTr="004C02CC">
        <w:trPr>
          <w:trHeight w:val="312"/>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E8D68"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eastAsia="ru-RU"/>
              </w:rPr>
              <w:t>Ապրիլ</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14:paraId="4823B91B"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31,643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D81110F"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10,172,212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B783487"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593,086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841534"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39,883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F2E56F6"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41,634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FCB0ADD"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10,878,458</w:t>
            </w:r>
          </w:p>
        </w:tc>
      </w:tr>
      <w:tr w:rsidR="00EB0FE9" w:rsidRPr="00EB0FE9" w14:paraId="1521DD43"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0C3FBEE4"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eastAsia="ru-RU"/>
              </w:rPr>
              <w:t>Մայիս</w:t>
            </w:r>
          </w:p>
        </w:tc>
        <w:tc>
          <w:tcPr>
            <w:tcW w:w="1573" w:type="dxa"/>
            <w:tcBorders>
              <w:top w:val="nil"/>
              <w:left w:val="nil"/>
              <w:bottom w:val="single" w:sz="4" w:space="0" w:color="auto"/>
              <w:right w:val="single" w:sz="4" w:space="0" w:color="auto"/>
            </w:tcBorders>
            <w:shd w:val="clear" w:color="auto" w:fill="auto"/>
            <w:noWrap/>
            <w:vAlign w:val="bottom"/>
            <w:hideMark/>
          </w:tcPr>
          <w:p w14:paraId="048AF863"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11,721</w:t>
            </w:r>
          </w:p>
        </w:tc>
        <w:tc>
          <w:tcPr>
            <w:tcW w:w="1559" w:type="dxa"/>
            <w:tcBorders>
              <w:top w:val="nil"/>
              <w:left w:val="nil"/>
              <w:bottom w:val="single" w:sz="4" w:space="0" w:color="auto"/>
              <w:right w:val="single" w:sz="4" w:space="0" w:color="auto"/>
            </w:tcBorders>
            <w:shd w:val="clear" w:color="auto" w:fill="auto"/>
            <w:noWrap/>
            <w:vAlign w:val="bottom"/>
            <w:hideMark/>
          </w:tcPr>
          <w:p w14:paraId="6267B359"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5,403,687</w:t>
            </w:r>
          </w:p>
        </w:tc>
        <w:tc>
          <w:tcPr>
            <w:tcW w:w="1560" w:type="dxa"/>
            <w:tcBorders>
              <w:top w:val="nil"/>
              <w:left w:val="nil"/>
              <w:bottom w:val="single" w:sz="4" w:space="0" w:color="auto"/>
              <w:right w:val="single" w:sz="4" w:space="0" w:color="auto"/>
            </w:tcBorders>
            <w:shd w:val="clear" w:color="auto" w:fill="auto"/>
            <w:noWrap/>
            <w:vAlign w:val="bottom"/>
            <w:hideMark/>
          </w:tcPr>
          <w:p w14:paraId="3F583ED0"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1,824,020</w:t>
            </w:r>
          </w:p>
        </w:tc>
        <w:tc>
          <w:tcPr>
            <w:tcW w:w="1275" w:type="dxa"/>
            <w:tcBorders>
              <w:top w:val="nil"/>
              <w:left w:val="nil"/>
              <w:bottom w:val="single" w:sz="4" w:space="0" w:color="auto"/>
              <w:right w:val="single" w:sz="4" w:space="0" w:color="auto"/>
            </w:tcBorders>
            <w:shd w:val="clear" w:color="auto" w:fill="auto"/>
            <w:noWrap/>
            <w:vAlign w:val="bottom"/>
            <w:hideMark/>
          </w:tcPr>
          <w:p w14:paraId="376E9777"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23,650</w:t>
            </w:r>
          </w:p>
        </w:tc>
        <w:tc>
          <w:tcPr>
            <w:tcW w:w="1240" w:type="dxa"/>
            <w:tcBorders>
              <w:top w:val="nil"/>
              <w:left w:val="nil"/>
              <w:bottom w:val="single" w:sz="4" w:space="0" w:color="auto"/>
              <w:right w:val="single" w:sz="4" w:space="0" w:color="auto"/>
            </w:tcBorders>
            <w:shd w:val="clear" w:color="auto" w:fill="auto"/>
            <w:noWrap/>
            <w:vAlign w:val="bottom"/>
            <w:hideMark/>
          </w:tcPr>
          <w:p w14:paraId="28B58B45"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34,200</w:t>
            </w:r>
          </w:p>
        </w:tc>
        <w:tc>
          <w:tcPr>
            <w:tcW w:w="1701" w:type="dxa"/>
            <w:tcBorders>
              <w:top w:val="nil"/>
              <w:left w:val="nil"/>
              <w:bottom w:val="single" w:sz="4" w:space="0" w:color="auto"/>
              <w:right w:val="single" w:sz="4" w:space="0" w:color="auto"/>
            </w:tcBorders>
            <w:shd w:val="clear" w:color="auto" w:fill="auto"/>
            <w:noWrap/>
            <w:vAlign w:val="center"/>
            <w:hideMark/>
          </w:tcPr>
          <w:p w14:paraId="57ACA424"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7,297,278</w:t>
            </w:r>
          </w:p>
        </w:tc>
      </w:tr>
      <w:tr w:rsidR="00EB0FE9" w:rsidRPr="00EB0FE9" w14:paraId="2D0D9252"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4F320132" w14:textId="77777777" w:rsidR="00EB0FE9" w:rsidRPr="00EB0FE9" w:rsidRDefault="00EB0FE9" w:rsidP="00EB0FE9">
            <w:pPr>
              <w:spacing w:after="0"/>
              <w:ind w:firstLine="30"/>
              <w:rPr>
                <w:rFonts w:eastAsia="Times New Roman" w:cs="Times New Roman"/>
                <w:bCs/>
                <w:lang w:val="ru-RU" w:eastAsia="ru-RU"/>
              </w:rPr>
            </w:pPr>
            <w:r w:rsidRPr="00EB0FE9">
              <w:rPr>
                <w:rFonts w:eastAsia="Times New Roman" w:cs="Times New Roman"/>
                <w:bCs/>
                <w:lang w:eastAsia="ru-RU"/>
              </w:rPr>
              <w:t>Հունիս</w:t>
            </w:r>
          </w:p>
        </w:tc>
        <w:tc>
          <w:tcPr>
            <w:tcW w:w="1573" w:type="dxa"/>
            <w:tcBorders>
              <w:top w:val="nil"/>
              <w:left w:val="nil"/>
              <w:bottom w:val="single" w:sz="4" w:space="0" w:color="auto"/>
              <w:right w:val="single" w:sz="4" w:space="0" w:color="auto"/>
            </w:tcBorders>
            <w:shd w:val="clear" w:color="auto" w:fill="auto"/>
            <w:noWrap/>
            <w:vAlign w:val="bottom"/>
            <w:hideMark/>
          </w:tcPr>
          <w:p w14:paraId="4C64BB4C"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15,535</w:t>
            </w:r>
          </w:p>
        </w:tc>
        <w:tc>
          <w:tcPr>
            <w:tcW w:w="1559" w:type="dxa"/>
            <w:tcBorders>
              <w:top w:val="nil"/>
              <w:left w:val="nil"/>
              <w:bottom w:val="single" w:sz="4" w:space="0" w:color="auto"/>
              <w:right w:val="single" w:sz="4" w:space="0" w:color="auto"/>
            </w:tcBorders>
            <w:shd w:val="clear" w:color="auto" w:fill="auto"/>
            <w:noWrap/>
            <w:vAlign w:val="bottom"/>
            <w:hideMark/>
          </w:tcPr>
          <w:p w14:paraId="4F722E2C"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11,815,858</w:t>
            </w:r>
          </w:p>
        </w:tc>
        <w:tc>
          <w:tcPr>
            <w:tcW w:w="1560" w:type="dxa"/>
            <w:tcBorders>
              <w:top w:val="nil"/>
              <w:left w:val="nil"/>
              <w:bottom w:val="single" w:sz="4" w:space="0" w:color="auto"/>
              <w:right w:val="single" w:sz="4" w:space="0" w:color="auto"/>
            </w:tcBorders>
            <w:shd w:val="clear" w:color="auto" w:fill="auto"/>
            <w:noWrap/>
            <w:vAlign w:val="bottom"/>
            <w:hideMark/>
          </w:tcPr>
          <w:p w14:paraId="6A622679"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642,884</w:t>
            </w:r>
          </w:p>
        </w:tc>
        <w:tc>
          <w:tcPr>
            <w:tcW w:w="1275" w:type="dxa"/>
            <w:tcBorders>
              <w:top w:val="nil"/>
              <w:left w:val="nil"/>
              <w:bottom w:val="single" w:sz="4" w:space="0" w:color="auto"/>
              <w:right w:val="single" w:sz="4" w:space="0" w:color="auto"/>
            </w:tcBorders>
            <w:shd w:val="clear" w:color="auto" w:fill="auto"/>
            <w:noWrap/>
            <w:vAlign w:val="bottom"/>
            <w:hideMark/>
          </w:tcPr>
          <w:p w14:paraId="526ADDA7"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16,648</w:t>
            </w:r>
          </w:p>
        </w:tc>
        <w:tc>
          <w:tcPr>
            <w:tcW w:w="1240" w:type="dxa"/>
            <w:tcBorders>
              <w:top w:val="nil"/>
              <w:left w:val="nil"/>
              <w:bottom w:val="single" w:sz="4" w:space="0" w:color="auto"/>
              <w:right w:val="single" w:sz="4" w:space="0" w:color="auto"/>
            </w:tcBorders>
            <w:shd w:val="clear" w:color="auto" w:fill="auto"/>
            <w:noWrap/>
            <w:vAlign w:val="bottom"/>
            <w:hideMark/>
          </w:tcPr>
          <w:p w14:paraId="68C62682"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46,514</w:t>
            </w:r>
          </w:p>
        </w:tc>
        <w:tc>
          <w:tcPr>
            <w:tcW w:w="1701" w:type="dxa"/>
            <w:tcBorders>
              <w:top w:val="nil"/>
              <w:left w:val="nil"/>
              <w:bottom w:val="single" w:sz="4" w:space="0" w:color="auto"/>
              <w:right w:val="single" w:sz="4" w:space="0" w:color="auto"/>
            </w:tcBorders>
            <w:shd w:val="clear" w:color="auto" w:fill="auto"/>
            <w:noWrap/>
            <w:vAlign w:val="center"/>
            <w:hideMark/>
          </w:tcPr>
          <w:p w14:paraId="14C03713"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12,537,439</w:t>
            </w:r>
          </w:p>
        </w:tc>
      </w:tr>
      <w:tr w:rsidR="00EB0FE9" w:rsidRPr="00EB0FE9" w14:paraId="3181E930"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7CB31306" w14:textId="77777777" w:rsidR="00EB0FE9" w:rsidRPr="00EB0FE9" w:rsidRDefault="00EB0FE9" w:rsidP="00EB0FE9">
            <w:pPr>
              <w:spacing w:after="0"/>
              <w:ind w:firstLine="30"/>
              <w:rPr>
                <w:rFonts w:eastAsia="Times New Roman" w:cs="Times New Roman"/>
                <w:bCs/>
                <w:lang w:eastAsia="ru-RU"/>
              </w:rPr>
            </w:pPr>
            <w:r w:rsidRPr="00EB0FE9">
              <w:rPr>
                <w:rFonts w:eastAsia="Times New Roman" w:cs="Times New Roman"/>
                <w:bCs/>
                <w:lang w:eastAsia="ru-RU"/>
              </w:rPr>
              <w:t>Հուլիս</w:t>
            </w:r>
          </w:p>
        </w:tc>
        <w:tc>
          <w:tcPr>
            <w:tcW w:w="1573" w:type="dxa"/>
            <w:tcBorders>
              <w:top w:val="nil"/>
              <w:left w:val="nil"/>
              <w:bottom w:val="single" w:sz="4" w:space="0" w:color="auto"/>
              <w:right w:val="single" w:sz="4" w:space="0" w:color="auto"/>
            </w:tcBorders>
            <w:shd w:val="clear" w:color="auto" w:fill="auto"/>
            <w:noWrap/>
            <w:vAlign w:val="bottom"/>
            <w:hideMark/>
          </w:tcPr>
          <w:p w14:paraId="7CEDD911"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28,880</w:t>
            </w:r>
          </w:p>
        </w:tc>
        <w:tc>
          <w:tcPr>
            <w:tcW w:w="1559" w:type="dxa"/>
            <w:tcBorders>
              <w:top w:val="nil"/>
              <w:left w:val="nil"/>
              <w:bottom w:val="single" w:sz="4" w:space="0" w:color="auto"/>
              <w:right w:val="single" w:sz="4" w:space="0" w:color="auto"/>
            </w:tcBorders>
            <w:shd w:val="clear" w:color="auto" w:fill="auto"/>
            <w:noWrap/>
            <w:vAlign w:val="bottom"/>
            <w:hideMark/>
          </w:tcPr>
          <w:p w14:paraId="4BAD662C"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11,124,959</w:t>
            </w:r>
          </w:p>
        </w:tc>
        <w:tc>
          <w:tcPr>
            <w:tcW w:w="1560" w:type="dxa"/>
            <w:tcBorders>
              <w:top w:val="nil"/>
              <w:left w:val="nil"/>
              <w:bottom w:val="single" w:sz="4" w:space="0" w:color="auto"/>
              <w:right w:val="single" w:sz="4" w:space="0" w:color="auto"/>
            </w:tcBorders>
            <w:shd w:val="clear" w:color="auto" w:fill="auto"/>
            <w:noWrap/>
            <w:vAlign w:val="bottom"/>
            <w:hideMark/>
          </w:tcPr>
          <w:p w14:paraId="56358FB5"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932,559</w:t>
            </w:r>
          </w:p>
        </w:tc>
        <w:tc>
          <w:tcPr>
            <w:tcW w:w="1275" w:type="dxa"/>
            <w:tcBorders>
              <w:top w:val="nil"/>
              <w:left w:val="nil"/>
              <w:bottom w:val="single" w:sz="4" w:space="0" w:color="auto"/>
              <w:right w:val="single" w:sz="4" w:space="0" w:color="auto"/>
            </w:tcBorders>
            <w:shd w:val="clear" w:color="auto" w:fill="auto"/>
            <w:noWrap/>
            <w:vAlign w:val="bottom"/>
            <w:hideMark/>
          </w:tcPr>
          <w:p w14:paraId="5FD6F7E8"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4,766</w:t>
            </w:r>
          </w:p>
        </w:tc>
        <w:tc>
          <w:tcPr>
            <w:tcW w:w="1240" w:type="dxa"/>
            <w:tcBorders>
              <w:top w:val="nil"/>
              <w:left w:val="nil"/>
              <w:bottom w:val="single" w:sz="4" w:space="0" w:color="auto"/>
              <w:right w:val="single" w:sz="4" w:space="0" w:color="auto"/>
            </w:tcBorders>
            <w:shd w:val="clear" w:color="auto" w:fill="auto"/>
            <w:noWrap/>
            <w:vAlign w:val="bottom"/>
            <w:hideMark/>
          </w:tcPr>
          <w:p w14:paraId="54F1615D"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305,523</w:t>
            </w:r>
          </w:p>
        </w:tc>
        <w:tc>
          <w:tcPr>
            <w:tcW w:w="1701" w:type="dxa"/>
            <w:tcBorders>
              <w:top w:val="nil"/>
              <w:left w:val="nil"/>
              <w:bottom w:val="single" w:sz="4" w:space="0" w:color="auto"/>
              <w:right w:val="single" w:sz="4" w:space="0" w:color="auto"/>
            </w:tcBorders>
            <w:shd w:val="clear" w:color="auto" w:fill="auto"/>
            <w:noWrap/>
            <w:vAlign w:val="center"/>
            <w:hideMark/>
          </w:tcPr>
          <w:p w14:paraId="4B30FDB5"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12,396,688</w:t>
            </w:r>
          </w:p>
        </w:tc>
      </w:tr>
      <w:tr w:rsidR="00EB0FE9" w:rsidRPr="00EB0FE9" w14:paraId="133E5803"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5FDBA782" w14:textId="77777777" w:rsidR="00EB0FE9" w:rsidRPr="00EB0FE9" w:rsidRDefault="00EB0FE9" w:rsidP="00EB0FE9">
            <w:pPr>
              <w:spacing w:after="0"/>
              <w:ind w:firstLine="30"/>
              <w:rPr>
                <w:rFonts w:eastAsia="Times New Roman" w:cs="Times New Roman"/>
                <w:bCs/>
                <w:lang w:eastAsia="ru-RU"/>
              </w:rPr>
            </w:pPr>
            <w:r w:rsidRPr="00EB0FE9">
              <w:rPr>
                <w:rFonts w:eastAsia="Times New Roman" w:cs="Times New Roman"/>
                <w:bCs/>
                <w:lang w:eastAsia="ru-RU"/>
              </w:rPr>
              <w:t>Օգոստոս</w:t>
            </w:r>
          </w:p>
        </w:tc>
        <w:tc>
          <w:tcPr>
            <w:tcW w:w="1573" w:type="dxa"/>
            <w:tcBorders>
              <w:top w:val="nil"/>
              <w:left w:val="nil"/>
              <w:bottom w:val="single" w:sz="4" w:space="0" w:color="auto"/>
              <w:right w:val="single" w:sz="4" w:space="0" w:color="auto"/>
            </w:tcBorders>
            <w:shd w:val="clear" w:color="auto" w:fill="auto"/>
            <w:noWrap/>
            <w:vAlign w:val="bottom"/>
            <w:hideMark/>
          </w:tcPr>
          <w:p w14:paraId="08B6149A"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12,754</w:t>
            </w:r>
          </w:p>
        </w:tc>
        <w:tc>
          <w:tcPr>
            <w:tcW w:w="1559" w:type="dxa"/>
            <w:tcBorders>
              <w:top w:val="nil"/>
              <w:left w:val="nil"/>
              <w:bottom w:val="single" w:sz="4" w:space="0" w:color="auto"/>
              <w:right w:val="single" w:sz="4" w:space="0" w:color="auto"/>
            </w:tcBorders>
            <w:shd w:val="clear" w:color="auto" w:fill="auto"/>
            <w:noWrap/>
            <w:vAlign w:val="bottom"/>
            <w:hideMark/>
          </w:tcPr>
          <w:p w14:paraId="4C40FA69"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7,924,001</w:t>
            </w:r>
          </w:p>
        </w:tc>
        <w:tc>
          <w:tcPr>
            <w:tcW w:w="1560" w:type="dxa"/>
            <w:tcBorders>
              <w:top w:val="nil"/>
              <w:left w:val="nil"/>
              <w:bottom w:val="single" w:sz="4" w:space="0" w:color="auto"/>
              <w:right w:val="single" w:sz="4" w:space="0" w:color="auto"/>
            </w:tcBorders>
            <w:shd w:val="clear" w:color="auto" w:fill="auto"/>
            <w:noWrap/>
            <w:vAlign w:val="bottom"/>
            <w:hideMark/>
          </w:tcPr>
          <w:p w14:paraId="73D37D43"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2,285,150</w:t>
            </w:r>
          </w:p>
        </w:tc>
        <w:tc>
          <w:tcPr>
            <w:tcW w:w="1275" w:type="dxa"/>
            <w:tcBorders>
              <w:top w:val="nil"/>
              <w:left w:val="nil"/>
              <w:bottom w:val="single" w:sz="4" w:space="0" w:color="auto"/>
              <w:right w:val="single" w:sz="4" w:space="0" w:color="auto"/>
            </w:tcBorders>
            <w:shd w:val="clear" w:color="auto" w:fill="auto"/>
            <w:noWrap/>
            <w:vAlign w:val="bottom"/>
            <w:hideMark/>
          </w:tcPr>
          <w:p w14:paraId="13795B7E"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1,006</w:t>
            </w:r>
          </w:p>
        </w:tc>
        <w:tc>
          <w:tcPr>
            <w:tcW w:w="1240" w:type="dxa"/>
            <w:tcBorders>
              <w:top w:val="nil"/>
              <w:left w:val="nil"/>
              <w:bottom w:val="single" w:sz="4" w:space="0" w:color="auto"/>
              <w:right w:val="single" w:sz="4" w:space="0" w:color="auto"/>
            </w:tcBorders>
            <w:shd w:val="clear" w:color="auto" w:fill="auto"/>
            <w:noWrap/>
            <w:vAlign w:val="bottom"/>
            <w:hideMark/>
          </w:tcPr>
          <w:p w14:paraId="31B7B6D5"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252,782</w:t>
            </w:r>
          </w:p>
        </w:tc>
        <w:tc>
          <w:tcPr>
            <w:tcW w:w="1701" w:type="dxa"/>
            <w:tcBorders>
              <w:top w:val="nil"/>
              <w:left w:val="nil"/>
              <w:bottom w:val="single" w:sz="4" w:space="0" w:color="auto"/>
              <w:right w:val="single" w:sz="4" w:space="0" w:color="auto"/>
            </w:tcBorders>
            <w:shd w:val="clear" w:color="auto" w:fill="auto"/>
            <w:noWrap/>
            <w:vAlign w:val="center"/>
            <w:hideMark/>
          </w:tcPr>
          <w:p w14:paraId="6FEDDCD9"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10,475,693</w:t>
            </w:r>
          </w:p>
        </w:tc>
      </w:tr>
      <w:tr w:rsidR="00EB0FE9" w:rsidRPr="00EB0FE9" w14:paraId="1CAC4F89"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59C32336" w14:textId="77777777" w:rsidR="00EB0FE9" w:rsidRPr="00EB0FE9" w:rsidRDefault="00EB0FE9" w:rsidP="00EB0FE9">
            <w:pPr>
              <w:spacing w:after="0"/>
              <w:ind w:hanging="60"/>
              <w:rPr>
                <w:rFonts w:eastAsia="Times New Roman" w:cs="Times New Roman"/>
                <w:bCs/>
                <w:lang w:eastAsia="ru-RU"/>
              </w:rPr>
            </w:pPr>
            <w:r w:rsidRPr="00EB0FE9">
              <w:rPr>
                <w:rFonts w:eastAsia="Times New Roman" w:cs="Times New Roman"/>
                <w:bCs/>
                <w:lang w:eastAsia="ru-RU"/>
              </w:rPr>
              <w:t>Սեպտեմբեր</w:t>
            </w:r>
          </w:p>
        </w:tc>
        <w:tc>
          <w:tcPr>
            <w:tcW w:w="1573" w:type="dxa"/>
            <w:tcBorders>
              <w:top w:val="nil"/>
              <w:left w:val="nil"/>
              <w:bottom w:val="single" w:sz="4" w:space="0" w:color="auto"/>
              <w:right w:val="single" w:sz="4" w:space="0" w:color="auto"/>
            </w:tcBorders>
            <w:shd w:val="clear" w:color="auto" w:fill="auto"/>
            <w:noWrap/>
            <w:vAlign w:val="bottom"/>
            <w:hideMark/>
          </w:tcPr>
          <w:p w14:paraId="2E2AAA55" w14:textId="77777777" w:rsidR="00EB0FE9" w:rsidRPr="00EB0FE9" w:rsidRDefault="00EB0FE9" w:rsidP="00EB0FE9">
            <w:pPr>
              <w:spacing w:after="0"/>
              <w:ind w:firstLine="567"/>
              <w:jc w:val="center"/>
              <w:rPr>
                <w:rFonts w:eastAsia="Times New Roman" w:cs="Times New Roman"/>
                <w:lang w:eastAsia="ru-RU"/>
              </w:rPr>
            </w:pPr>
            <w:r w:rsidRPr="00EB0FE9">
              <w:rPr>
                <w:rFonts w:eastAsia="Times New Roman" w:cs="Times New Roman"/>
                <w:lang w:eastAsia="ru-RU"/>
              </w:rPr>
              <w:t>72,414</w:t>
            </w:r>
          </w:p>
        </w:tc>
        <w:tc>
          <w:tcPr>
            <w:tcW w:w="1559" w:type="dxa"/>
            <w:tcBorders>
              <w:top w:val="nil"/>
              <w:left w:val="nil"/>
              <w:bottom w:val="single" w:sz="4" w:space="0" w:color="auto"/>
              <w:right w:val="single" w:sz="4" w:space="0" w:color="auto"/>
            </w:tcBorders>
            <w:shd w:val="clear" w:color="auto" w:fill="auto"/>
            <w:noWrap/>
            <w:vAlign w:val="bottom"/>
            <w:hideMark/>
          </w:tcPr>
          <w:p w14:paraId="35D53EF2"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10,240,939</w:t>
            </w:r>
          </w:p>
        </w:tc>
        <w:tc>
          <w:tcPr>
            <w:tcW w:w="1560" w:type="dxa"/>
            <w:tcBorders>
              <w:top w:val="nil"/>
              <w:left w:val="nil"/>
              <w:bottom w:val="single" w:sz="4" w:space="0" w:color="auto"/>
              <w:right w:val="single" w:sz="4" w:space="0" w:color="auto"/>
            </w:tcBorders>
            <w:shd w:val="clear" w:color="auto" w:fill="auto"/>
            <w:noWrap/>
            <w:vAlign w:val="bottom"/>
            <w:hideMark/>
          </w:tcPr>
          <w:p w14:paraId="50DC8901" w14:textId="77777777" w:rsidR="00EB0FE9" w:rsidRPr="00EB0FE9" w:rsidRDefault="00EB0FE9" w:rsidP="00EB0FE9">
            <w:pPr>
              <w:spacing w:after="0"/>
              <w:jc w:val="center"/>
              <w:rPr>
                <w:rFonts w:eastAsia="Times New Roman" w:cs="Times New Roman"/>
                <w:lang w:eastAsia="ru-RU"/>
              </w:rPr>
            </w:pPr>
            <w:r w:rsidRPr="00EB0FE9">
              <w:rPr>
                <w:rFonts w:eastAsia="Times New Roman" w:cs="Times New Roman"/>
                <w:lang w:eastAsia="ru-RU"/>
              </w:rPr>
              <w:t>260,223</w:t>
            </w:r>
          </w:p>
        </w:tc>
        <w:tc>
          <w:tcPr>
            <w:tcW w:w="1275" w:type="dxa"/>
            <w:tcBorders>
              <w:top w:val="nil"/>
              <w:left w:val="nil"/>
              <w:bottom w:val="single" w:sz="4" w:space="0" w:color="auto"/>
              <w:right w:val="single" w:sz="4" w:space="0" w:color="auto"/>
            </w:tcBorders>
            <w:shd w:val="clear" w:color="auto" w:fill="auto"/>
            <w:noWrap/>
            <w:vAlign w:val="bottom"/>
            <w:hideMark/>
          </w:tcPr>
          <w:p w14:paraId="3780C2F5" w14:textId="77777777" w:rsidR="00EB0FE9" w:rsidRPr="00EB0FE9" w:rsidRDefault="00EB0FE9" w:rsidP="00EB0FE9">
            <w:pPr>
              <w:spacing w:after="0"/>
              <w:ind w:hanging="29"/>
              <w:jc w:val="center"/>
              <w:rPr>
                <w:rFonts w:eastAsia="Times New Roman" w:cs="Times New Roman"/>
                <w:lang w:eastAsia="ru-RU"/>
              </w:rPr>
            </w:pPr>
            <w:r w:rsidRPr="00EB0FE9">
              <w:rPr>
                <w:rFonts w:eastAsia="Times New Roman" w:cs="Times New Roman"/>
                <w:lang w:eastAsia="ru-RU"/>
              </w:rPr>
              <w:t>2,698</w:t>
            </w:r>
          </w:p>
        </w:tc>
        <w:tc>
          <w:tcPr>
            <w:tcW w:w="1240" w:type="dxa"/>
            <w:tcBorders>
              <w:top w:val="nil"/>
              <w:left w:val="nil"/>
              <w:bottom w:val="single" w:sz="4" w:space="0" w:color="auto"/>
              <w:right w:val="single" w:sz="4" w:space="0" w:color="auto"/>
            </w:tcBorders>
            <w:shd w:val="clear" w:color="auto" w:fill="auto"/>
            <w:noWrap/>
            <w:vAlign w:val="bottom"/>
            <w:hideMark/>
          </w:tcPr>
          <w:p w14:paraId="61C3F171" w14:textId="77777777" w:rsidR="00EB0FE9" w:rsidRPr="00EB0FE9" w:rsidRDefault="00EB0FE9" w:rsidP="00EB0FE9">
            <w:pPr>
              <w:spacing w:after="0"/>
              <w:ind w:hanging="62"/>
              <w:jc w:val="center"/>
              <w:rPr>
                <w:rFonts w:eastAsia="Times New Roman" w:cs="Times New Roman"/>
                <w:lang w:eastAsia="ru-RU"/>
              </w:rPr>
            </w:pPr>
            <w:r w:rsidRPr="00EB0FE9">
              <w:rPr>
                <w:rFonts w:eastAsia="Times New Roman" w:cs="Times New Roman"/>
                <w:lang w:eastAsia="ru-RU"/>
              </w:rPr>
              <w:t>435,327</w:t>
            </w:r>
          </w:p>
        </w:tc>
        <w:tc>
          <w:tcPr>
            <w:tcW w:w="1701" w:type="dxa"/>
            <w:tcBorders>
              <w:top w:val="nil"/>
              <w:left w:val="nil"/>
              <w:bottom w:val="single" w:sz="4" w:space="0" w:color="auto"/>
              <w:right w:val="single" w:sz="4" w:space="0" w:color="auto"/>
            </w:tcBorders>
            <w:shd w:val="clear" w:color="auto" w:fill="auto"/>
            <w:noWrap/>
            <w:vAlign w:val="center"/>
            <w:hideMark/>
          </w:tcPr>
          <w:p w14:paraId="35125DFC" w14:textId="77777777" w:rsidR="00EB0FE9" w:rsidRPr="00EB0FE9" w:rsidRDefault="00EB0FE9" w:rsidP="00EB0FE9">
            <w:pPr>
              <w:spacing w:after="0"/>
              <w:ind w:hanging="86"/>
              <w:jc w:val="center"/>
              <w:rPr>
                <w:rFonts w:eastAsia="Times New Roman" w:cs="Times New Roman"/>
                <w:lang w:eastAsia="ru-RU"/>
              </w:rPr>
            </w:pPr>
            <w:r w:rsidRPr="00EB0FE9">
              <w:rPr>
                <w:rFonts w:eastAsia="Times New Roman" w:cs="Times New Roman"/>
                <w:lang w:eastAsia="ru-RU"/>
              </w:rPr>
              <w:t>11,011,054</w:t>
            </w:r>
          </w:p>
        </w:tc>
      </w:tr>
      <w:tr w:rsidR="00EB0FE9" w:rsidRPr="00EB0FE9" w14:paraId="7B97E86B" w14:textId="77777777" w:rsidTr="004C02CC">
        <w:trPr>
          <w:trHeight w:val="312"/>
        </w:trPr>
        <w:tc>
          <w:tcPr>
            <w:tcW w:w="1582" w:type="dxa"/>
            <w:tcBorders>
              <w:top w:val="nil"/>
              <w:left w:val="single" w:sz="4" w:space="0" w:color="auto"/>
              <w:bottom w:val="single" w:sz="4" w:space="0" w:color="auto"/>
              <w:right w:val="single" w:sz="4" w:space="0" w:color="auto"/>
            </w:tcBorders>
            <w:shd w:val="clear" w:color="auto" w:fill="auto"/>
            <w:vAlign w:val="center"/>
            <w:hideMark/>
          </w:tcPr>
          <w:p w14:paraId="1973FD15" w14:textId="77777777" w:rsidR="00EB0FE9" w:rsidRPr="00EB0FE9" w:rsidRDefault="00EB0FE9" w:rsidP="00EB0FE9">
            <w:pPr>
              <w:spacing w:after="0"/>
              <w:ind w:firstLine="30"/>
              <w:jc w:val="center"/>
              <w:rPr>
                <w:rFonts w:eastAsia="Times New Roman" w:cs="Times New Roman"/>
                <w:b/>
                <w:lang w:eastAsia="ru-RU"/>
              </w:rPr>
            </w:pPr>
            <w:r w:rsidRPr="00EB0FE9">
              <w:rPr>
                <w:rFonts w:eastAsia="Times New Roman" w:cs="Times New Roman"/>
                <w:b/>
                <w:lang w:eastAsia="ru-RU"/>
              </w:rPr>
              <w:t>Ընդամենը</w:t>
            </w:r>
          </w:p>
        </w:tc>
        <w:tc>
          <w:tcPr>
            <w:tcW w:w="1573" w:type="dxa"/>
            <w:tcBorders>
              <w:top w:val="nil"/>
              <w:left w:val="nil"/>
              <w:bottom w:val="single" w:sz="4" w:space="0" w:color="auto"/>
              <w:right w:val="single" w:sz="4" w:space="0" w:color="auto"/>
            </w:tcBorders>
            <w:shd w:val="clear" w:color="auto" w:fill="auto"/>
            <w:noWrap/>
            <w:vAlign w:val="center"/>
            <w:hideMark/>
          </w:tcPr>
          <w:p w14:paraId="11C0DEF5" w14:textId="77777777" w:rsidR="00EB0FE9" w:rsidRPr="00EB0FE9" w:rsidRDefault="00EB0FE9" w:rsidP="00EB0FE9">
            <w:pPr>
              <w:spacing w:after="0"/>
              <w:ind w:hanging="14"/>
              <w:jc w:val="center"/>
              <w:rPr>
                <w:rFonts w:eastAsia="Times New Roman" w:cs="Times New Roman"/>
                <w:b/>
                <w:lang w:eastAsia="ru-RU"/>
              </w:rPr>
            </w:pPr>
            <w:r w:rsidRPr="00EB0FE9">
              <w:rPr>
                <w:rFonts w:eastAsia="Times New Roman" w:cs="Times New Roman"/>
                <w:b/>
                <w:lang w:eastAsia="ru-RU"/>
              </w:rPr>
              <w:t>307,694</w:t>
            </w:r>
          </w:p>
        </w:tc>
        <w:tc>
          <w:tcPr>
            <w:tcW w:w="1559" w:type="dxa"/>
            <w:tcBorders>
              <w:top w:val="nil"/>
              <w:left w:val="nil"/>
              <w:bottom w:val="single" w:sz="4" w:space="0" w:color="auto"/>
              <w:right w:val="single" w:sz="4" w:space="0" w:color="auto"/>
            </w:tcBorders>
            <w:shd w:val="clear" w:color="auto" w:fill="auto"/>
            <w:noWrap/>
            <w:vAlign w:val="center"/>
            <w:hideMark/>
          </w:tcPr>
          <w:p w14:paraId="2F3605B1" w14:textId="77777777" w:rsidR="00EB0FE9" w:rsidRPr="00EB0FE9" w:rsidRDefault="00EB0FE9" w:rsidP="00EB0FE9">
            <w:pPr>
              <w:spacing w:after="0"/>
              <w:jc w:val="center"/>
              <w:rPr>
                <w:rFonts w:eastAsia="Times New Roman" w:cs="Times New Roman"/>
                <w:b/>
                <w:lang w:eastAsia="ru-RU"/>
              </w:rPr>
            </w:pPr>
            <w:r w:rsidRPr="00EB0FE9">
              <w:rPr>
                <w:rFonts w:eastAsia="Times New Roman" w:cs="Times New Roman"/>
                <w:b/>
                <w:lang w:eastAsia="ru-RU"/>
              </w:rPr>
              <w:t>88,687,071</w:t>
            </w:r>
          </w:p>
        </w:tc>
        <w:tc>
          <w:tcPr>
            <w:tcW w:w="1560" w:type="dxa"/>
            <w:tcBorders>
              <w:top w:val="nil"/>
              <w:left w:val="nil"/>
              <w:bottom w:val="single" w:sz="4" w:space="0" w:color="auto"/>
              <w:right w:val="single" w:sz="4" w:space="0" w:color="auto"/>
            </w:tcBorders>
            <w:shd w:val="clear" w:color="auto" w:fill="auto"/>
            <w:noWrap/>
            <w:vAlign w:val="center"/>
            <w:hideMark/>
          </w:tcPr>
          <w:p w14:paraId="468522FA" w14:textId="77777777" w:rsidR="00EB0FE9" w:rsidRPr="00EB0FE9" w:rsidRDefault="00EB0FE9" w:rsidP="00EB0FE9">
            <w:pPr>
              <w:spacing w:after="0"/>
              <w:ind w:firstLine="1"/>
              <w:jc w:val="center"/>
              <w:rPr>
                <w:rFonts w:eastAsia="Times New Roman" w:cs="Times New Roman"/>
                <w:b/>
                <w:lang w:eastAsia="ru-RU"/>
              </w:rPr>
            </w:pPr>
            <w:r w:rsidRPr="00EB0FE9">
              <w:rPr>
                <w:rFonts w:eastAsia="Times New Roman" w:cs="Times New Roman"/>
                <w:b/>
                <w:lang w:eastAsia="ru-RU"/>
              </w:rPr>
              <w:t>9,321,865</w:t>
            </w:r>
          </w:p>
        </w:tc>
        <w:tc>
          <w:tcPr>
            <w:tcW w:w="1275" w:type="dxa"/>
            <w:tcBorders>
              <w:top w:val="nil"/>
              <w:left w:val="nil"/>
              <w:bottom w:val="single" w:sz="4" w:space="0" w:color="auto"/>
              <w:right w:val="single" w:sz="4" w:space="0" w:color="auto"/>
            </w:tcBorders>
            <w:shd w:val="clear" w:color="auto" w:fill="auto"/>
            <w:noWrap/>
            <w:vAlign w:val="center"/>
            <w:hideMark/>
          </w:tcPr>
          <w:p w14:paraId="7C9BBC30" w14:textId="77777777" w:rsidR="00EB0FE9" w:rsidRPr="00EB0FE9" w:rsidRDefault="00EB0FE9" w:rsidP="00EB0FE9">
            <w:pPr>
              <w:spacing w:after="0"/>
              <w:jc w:val="center"/>
              <w:rPr>
                <w:rFonts w:eastAsia="Times New Roman" w:cs="Times New Roman"/>
                <w:b/>
                <w:lang w:eastAsia="ru-RU"/>
              </w:rPr>
            </w:pPr>
            <w:r w:rsidRPr="00EB0FE9">
              <w:rPr>
                <w:rFonts w:eastAsia="Times New Roman" w:cs="Times New Roman"/>
                <w:b/>
                <w:lang w:eastAsia="ru-RU"/>
              </w:rPr>
              <w:t>174,857</w:t>
            </w:r>
          </w:p>
        </w:tc>
        <w:tc>
          <w:tcPr>
            <w:tcW w:w="1240" w:type="dxa"/>
            <w:tcBorders>
              <w:top w:val="nil"/>
              <w:left w:val="nil"/>
              <w:bottom w:val="single" w:sz="4" w:space="0" w:color="auto"/>
              <w:right w:val="single" w:sz="4" w:space="0" w:color="auto"/>
            </w:tcBorders>
            <w:shd w:val="clear" w:color="auto" w:fill="auto"/>
            <w:noWrap/>
            <w:vAlign w:val="center"/>
            <w:hideMark/>
          </w:tcPr>
          <w:p w14:paraId="7D8F88CD" w14:textId="77777777" w:rsidR="00EB0FE9" w:rsidRPr="00EB0FE9" w:rsidRDefault="00EB0FE9" w:rsidP="00EB0FE9">
            <w:pPr>
              <w:spacing w:after="0"/>
              <w:ind w:left="-112" w:right="-108" w:hanging="62"/>
              <w:jc w:val="center"/>
              <w:rPr>
                <w:rFonts w:eastAsia="Times New Roman" w:cs="Times New Roman"/>
                <w:b/>
                <w:lang w:eastAsia="ru-RU"/>
              </w:rPr>
            </w:pPr>
            <w:r w:rsidRPr="00EB0FE9">
              <w:rPr>
                <w:rFonts w:eastAsia="Times New Roman" w:cs="Times New Roman"/>
                <w:b/>
                <w:lang w:eastAsia="ru-RU"/>
              </w:rPr>
              <w:t>1,294,508</w:t>
            </w:r>
          </w:p>
        </w:tc>
        <w:tc>
          <w:tcPr>
            <w:tcW w:w="1701" w:type="dxa"/>
            <w:tcBorders>
              <w:top w:val="nil"/>
              <w:left w:val="nil"/>
              <w:bottom w:val="single" w:sz="4" w:space="0" w:color="auto"/>
              <w:right w:val="single" w:sz="4" w:space="0" w:color="auto"/>
            </w:tcBorders>
            <w:shd w:val="clear" w:color="auto" w:fill="auto"/>
            <w:noWrap/>
            <w:vAlign w:val="center"/>
            <w:hideMark/>
          </w:tcPr>
          <w:p w14:paraId="06801AFC" w14:textId="77777777" w:rsidR="00EB0FE9" w:rsidRPr="00EB0FE9" w:rsidRDefault="00EB0FE9" w:rsidP="00EB0FE9">
            <w:pPr>
              <w:spacing w:after="0"/>
              <w:ind w:hanging="86"/>
              <w:jc w:val="center"/>
              <w:rPr>
                <w:rFonts w:eastAsia="Times New Roman" w:cs="Times New Roman"/>
                <w:b/>
                <w:lang w:eastAsia="ru-RU"/>
              </w:rPr>
            </w:pPr>
            <w:r w:rsidRPr="00EB0FE9">
              <w:rPr>
                <w:rFonts w:eastAsia="Times New Roman" w:cs="Times New Roman"/>
                <w:b/>
                <w:lang w:eastAsia="ru-RU"/>
              </w:rPr>
              <w:t>99,785,998</w:t>
            </w:r>
          </w:p>
        </w:tc>
      </w:tr>
    </w:tbl>
    <w:p w14:paraId="0DBC5DE4" w14:textId="77777777" w:rsidR="00EB0FE9" w:rsidRPr="00EB0FE9" w:rsidRDefault="00EB0FE9" w:rsidP="00EB0FE9">
      <w:pPr>
        <w:spacing w:after="0"/>
        <w:ind w:firstLine="567"/>
        <w:rPr>
          <w:rFonts w:eastAsia="Times New Roman" w:cs="Sylfaen"/>
        </w:rPr>
      </w:pPr>
    </w:p>
    <w:p w14:paraId="0E6AA19D" w14:textId="77777777" w:rsidR="00EB0FE9" w:rsidRPr="00EB0FE9" w:rsidRDefault="00EB0FE9" w:rsidP="00EB0FE9">
      <w:pPr>
        <w:spacing w:after="0"/>
        <w:ind w:firstLine="567"/>
        <w:rPr>
          <w:rFonts w:eastAsia="Times New Roman" w:cs="Sylfaen"/>
        </w:rPr>
      </w:pPr>
    </w:p>
    <w:p w14:paraId="2BC6B6D7" w14:textId="77777777" w:rsidR="00EB0FE9" w:rsidRPr="00EB0FE9" w:rsidRDefault="00EB0FE9" w:rsidP="00EB0FE9">
      <w:pPr>
        <w:spacing w:after="0"/>
        <w:ind w:firstLine="567"/>
        <w:rPr>
          <w:rFonts w:eastAsia="Times New Roman" w:cs="Sylfaen"/>
        </w:rPr>
      </w:pPr>
    </w:p>
    <w:p w14:paraId="01610F6E" w14:textId="77777777" w:rsidR="00EB0FE9" w:rsidRPr="00EB0FE9" w:rsidRDefault="00EB0FE9" w:rsidP="00EB0FE9">
      <w:pPr>
        <w:spacing w:after="0"/>
        <w:ind w:firstLine="567"/>
        <w:rPr>
          <w:rFonts w:eastAsia="Times New Roman" w:cs="Sylfaen"/>
        </w:rPr>
      </w:pPr>
      <w:r w:rsidRPr="00EB0FE9">
        <w:rPr>
          <w:rFonts w:eastAsia="Times New Roman" w:cs="Sylfaen"/>
        </w:rPr>
        <w:t>2020թ</w:t>
      </w:r>
      <w:r w:rsidRPr="00EB0FE9">
        <w:rPr>
          <w:rFonts w:ascii="Cambria Math" w:eastAsia="Times New Roman" w:hAnsi="Cambria Math" w:cs="Cambria Math"/>
        </w:rPr>
        <w:t>․</w:t>
      </w:r>
      <w:r w:rsidRPr="00EB0FE9">
        <w:rPr>
          <w:rFonts w:eastAsia="Times New Roman" w:cs="Sylfaen"/>
        </w:rPr>
        <w:t xml:space="preserve"> 9 ամիսների արդյունքներով պետական բյուջե զուտ մուտքերը՝</w:t>
      </w:r>
    </w:p>
    <w:p w14:paraId="0399A0B8" w14:textId="77777777" w:rsidR="00EB0FE9" w:rsidRPr="00EB0FE9" w:rsidRDefault="00EB0FE9" w:rsidP="00EB0FE9">
      <w:pPr>
        <w:spacing w:after="0"/>
        <w:ind w:firstLine="567"/>
        <w:rPr>
          <w:rFonts w:eastAsia="Times New Roman" w:cs="Sylfaen"/>
        </w:rPr>
      </w:pPr>
    </w:p>
    <w:p w14:paraId="37B75756" w14:textId="77777777" w:rsidR="00EB0FE9" w:rsidRPr="00EB0FE9" w:rsidRDefault="00EB0FE9" w:rsidP="00EB0FE9">
      <w:pPr>
        <w:spacing w:after="0"/>
        <w:ind w:left="5529" w:firstLine="567"/>
        <w:rPr>
          <w:rFonts w:eastAsia="Times New Roman" w:cs="Sylfaen"/>
        </w:rPr>
      </w:pPr>
      <w:r w:rsidRPr="00EB0FE9">
        <w:rPr>
          <w:rFonts w:eastAsia="Times New Roman" w:cs="Times New Roman"/>
        </w:rPr>
        <w:tab/>
      </w:r>
      <w:r w:rsidRPr="00EB0FE9">
        <w:rPr>
          <w:rFonts w:eastAsia="Times New Roman" w:cs="Times New Roman"/>
        </w:rPr>
        <w:tab/>
      </w:r>
      <w:r w:rsidRPr="00EB0FE9">
        <w:rPr>
          <w:rFonts w:eastAsia="Times New Roman" w:cs="Times New Roman"/>
        </w:rPr>
        <w:tab/>
        <w:t>(Աղյուսակ 5</w:t>
      </w:r>
      <w:r w:rsidRPr="00EB0FE9">
        <w:rPr>
          <w:rFonts w:ascii="Cambria Math" w:eastAsia="Times New Roman" w:hAnsi="Cambria Math" w:cs="Cambria Math"/>
        </w:rPr>
        <w:t>․</w:t>
      </w:r>
      <w:r w:rsidRPr="00EB0FE9">
        <w:rPr>
          <w:rFonts w:eastAsia="Times New Roman" w:cs="Times New Roman"/>
        </w:rPr>
        <w:t>2)</w:t>
      </w:r>
    </w:p>
    <w:p w14:paraId="0F9E4ED3" w14:textId="77777777" w:rsidR="00EB0FE9" w:rsidRPr="00EB0FE9" w:rsidRDefault="00EB0FE9" w:rsidP="00EB0FE9">
      <w:pPr>
        <w:spacing w:after="120"/>
        <w:ind w:left="5529" w:firstLine="567"/>
        <w:rPr>
          <w:rFonts w:eastAsia="Times New Roman" w:cs="Sylfaen"/>
        </w:rPr>
      </w:pPr>
      <w:r w:rsidRPr="00EB0FE9">
        <w:rPr>
          <w:rFonts w:eastAsia="Times New Roman" w:cs="Sylfaen"/>
        </w:rPr>
        <w:tab/>
      </w:r>
      <w:r w:rsidRPr="00EB0FE9">
        <w:rPr>
          <w:rFonts w:eastAsia="Times New Roman" w:cs="Sylfaen"/>
        </w:rPr>
        <w:tab/>
      </w:r>
      <w:r w:rsidRPr="00EB0FE9">
        <w:rPr>
          <w:rFonts w:eastAsia="Times New Roman" w:cs="Sylfaen"/>
        </w:rPr>
        <w:tab/>
        <w:t xml:space="preserve">    հազ. դրամ</w:t>
      </w:r>
    </w:p>
    <w:tbl>
      <w:tblPr>
        <w:tblStyle w:val="TableGrid111"/>
        <w:tblpPr w:leftFromText="180" w:rightFromText="180" w:vertAnchor="text" w:horzAnchor="page" w:tblpX="1141" w:tblpY="-23"/>
        <w:tblW w:w="10484" w:type="dxa"/>
        <w:tblInd w:w="0" w:type="dxa"/>
        <w:tblLook w:val="04A0" w:firstRow="1" w:lastRow="0" w:firstColumn="1" w:lastColumn="0" w:noHBand="0" w:noVBand="1"/>
      </w:tblPr>
      <w:tblGrid>
        <w:gridCol w:w="4106"/>
        <w:gridCol w:w="6378"/>
      </w:tblGrid>
      <w:tr w:rsidR="00EB0FE9" w:rsidRPr="00EB0FE9" w14:paraId="5154E70C"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C14E" w14:textId="77777777" w:rsidR="00EB0FE9" w:rsidRPr="00EB0FE9" w:rsidRDefault="00EB0FE9" w:rsidP="00EB0FE9">
            <w:pPr>
              <w:spacing w:after="120" w:line="240" w:lineRule="auto"/>
              <w:ind w:firstLine="22"/>
              <w:jc w:val="center"/>
              <w:rPr>
                <w:rFonts w:cs="Sylfaen"/>
                <w:b/>
                <w:noProof/>
              </w:rPr>
            </w:pPr>
            <w:r w:rsidRPr="00EB0FE9">
              <w:rPr>
                <w:rFonts w:cs="Sylfaen"/>
                <w:b/>
                <w:noProof/>
              </w:rPr>
              <w:t>Ամիս</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A034" w14:textId="77777777" w:rsidR="00EB0FE9" w:rsidRPr="00EB0FE9" w:rsidRDefault="00EB0FE9" w:rsidP="00EB0FE9">
            <w:pPr>
              <w:spacing w:after="120" w:line="240" w:lineRule="auto"/>
              <w:ind w:firstLine="567"/>
              <w:jc w:val="center"/>
              <w:rPr>
                <w:rFonts w:cs="Sylfaen"/>
                <w:b/>
                <w:noProof/>
              </w:rPr>
            </w:pPr>
            <w:r w:rsidRPr="00EB0FE9">
              <w:rPr>
                <w:b/>
                <w:bCs/>
              </w:rPr>
              <w:t>Հարկային եկամուտներ և պետական տուրքերի գումարը</w:t>
            </w:r>
          </w:p>
        </w:tc>
      </w:tr>
      <w:tr w:rsidR="00EB0FE9" w:rsidRPr="00EB0FE9" w14:paraId="772FA81E"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09060" w14:textId="77777777" w:rsidR="00EB0FE9" w:rsidRPr="00EB0FE9" w:rsidRDefault="00EB0FE9" w:rsidP="00EB0FE9">
            <w:pPr>
              <w:spacing w:after="120" w:line="240" w:lineRule="auto"/>
              <w:ind w:firstLine="22"/>
              <w:jc w:val="left"/>
              <w:rPr>
                <w:rFonts w:cs="Sylfaen"/>
                <w:b/>
                <w:noProof/>
              </w:rPr>
            </w:pPr>
            <w:r w:rsidRPr="00EB0FE9">
              <w:rPr>
                <w:bCs/>
                <w:lang w:val="ru-RU" w:eastAsia="ru-RU"/>
              </w:rPr>
              <w:t>Հունվար</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F849E" w14:textId="77777777" w:rsidR="00EB0FE9" w:rsidRPr="00EB0FE9" w:rsidRDefault="00EB0FE9" w:rsidP="00EB0FE9">
            <w:pPr>
              <w:spacing w:after="120" w:line="240" w:lineRule="auto"/>
              <w:ind w:firstLine="567"/>
              <w:jc w:val="right"/>
              <w:rPr>
                <w:rFonts w:cs="Sylfaen"/>
                <w:noProof/>
              </w:rPr>
            </w:pPr>
            <w:r w:rsidRPr="00EB0FE9">
              <w:t>146,698,714</w:t>
            </w:r>
          </w:p>
        </w:tc>
      </w:tr>
      <w:tr w:rsidR="00EB0FE9" w:rsidRPr="00EB0FE9" w14:paraId="45C8A8FA"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17783" w14:textId="77777777" w:rsidR="00EB0FE9" w:rsidRPr="00EB0FE9" w:rsidRDefault="00EB0FE9" w:rsidP="00EB0FE9">
            <w:pPr>
              <w:spacing w:after="120" w:line="240" w:lineRule="auto"/>
              <w:ind w:firstLine="22"/>
              <w:jc w:val="left"/>
              <w:rPr>
                <w:rFonts w:cs="Sylfaen"/>
                <w:b/>
                <w:noProof/>
              </w:rPr>
            </w:pPr>
            <w:r w:rsidRPr="00EB0FE9">
              <w:rPr>
                <w:bCs/>
                <w:lang w:val="ru-RU" w:eastAsia="ru-RU"/>
              </w:rPr>
              <w:t>Փետրվար</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2DD18" w14:textId="77777777" w:rsidR="00EB0FE9" w:rsidRPr="00EB0FE9" w:rsidRDefault="00EB0FE9" w:rsidP="00EB0FE9">
            <w:pPr>
              <w:spacing w:after="120" w:line="240" w:lineRule="auto"/>
              <w:ind w:firstLine="567"/>
              <w:jc w:val="right"/>
              <w:rPr>
                <w:rFonts w:cs="Sylfaen"/>
                <w:noProof/>
              </w:rPr>
            </w:pPr>
            <w:r w:rsidRPr="00EB0FE9">
              <w:t>85,303,981</w:t>
            </w:r>
          </w:p>
        </w:tc>
      </w:tr>
      <w:tr w:rsidR="00EB0FE9" w:rsidRPr="00EB0FE9" w14:paraId="1E8FEB1C" w14:textId="77777777" w:rsidTr="004C02CC">
        <w:trPr>
          <w:trHeight w:val="7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74EB2" w14:textId="77777777" w:rsidR="00EB0FE9" w:rsidRPr="00EB0FE9" w:rsidRDefault="00EB0FE9" w:rsidP="00EB0FE9">
            <w:pPr>
              <w:spacing w:after="120" w:line="240" w:lineRule="auto"/>
              <w:ind w:firstLine="22"/>
              <w:jc w:val="left"/>
              <w:rPr>
                <w:rFonts w:cs="Sylfaen"/>
                <w:b/>
                <w:noProof/>
              </w:rPr>
            </w:pPr>
            <w:r w:rsidRPr="00EB0FE9">
              <w:rPr>
                <w:bCs/>
                <w:lang w:val="ru-RU" w:eastAsia="ru-RU"/>
              </w:rPr>
              <w:t>Մարտ</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2CE44" w14:textId="77777777" w:rsidR="00EB0FE9" w:rsidRPr="00EB0FE9" w:rsidRDefault="00EB0FE9" w:rsidP="00EB0FE9">
            <w:pPr>
              <w:spacing w:after="120" w:line="240" w:lineRule="auto"/>
              <w:ind w:firstLine="567"/>
              <w:jc w:val="right"/>
              <w:rPr>
                <w:rFonts w:cs="Sylfaen"/>
                <w:noProof/>
              </w:rPr>
            </w:pPr>
            <w:r w:rsidRPr="00EB0FE9">
              <w:t>117,031,733</w:t>
            </w:r>
          </w:p>
        </w:tc>
      </w:tr>
      <w:tr w:rsidR="00EB0FE9" w:rsidRPr="00EB0FE9" w14:paraId="3E0262E8"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B53F0" w14:textId="77777777" w:rsidR="00EB0FE9" w:rsidRPr="00EB0FE9" w:rsidRDefault="00EB0FE9" w:rsidP="00EB0FE9">
            <w:pPr>
              <w:spacing w:after="120" w:line="240" w:lineRule="auto"/>
              <w:ind w:firstLine="22"/>
              <w:jc w:val="left"/>
              <w:rPr>
                <w:rFonts w:cs="Sylfaen"/>
                <w:b/>
                <w:noProof/>
              </w:rPr>
            </w:pPr>
            <w:r w:rsidRPr="00EB0FE9">
              <w:rPr>
                <w:bCs/>
                <w:lang w:eastAsia="ru-RU"/>
              </w:rPr>
              <w:t>Ապրիլ</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CB99" w14:textId="77777777" w:rsidR="00EB0FE9" w:rsidRPr="00EB0FE9" w:rsidRDefault="00EB0FE9" w:rsidP="00EB0FE9">
            <w:pPr>
              <w:spacing w:after="120" w:line="240" w:lineRule="auto"/>
              <w:ind w:firstLine="567"/>
              <w:jc w:val="right"/>
              <w:rPr>
                <w:rFonts w:cs="Sylfaen"/>
                <w:noProof/>
              </w:rPr>
            </w:pPr>
            <w:r w:rsidRPr="00EB0FE9">
              <w:t>151,672,496</w:t>
            </w:r>
          </w:p>
        </w:tc>
      </w:tr>
      <w:tr w:rsidR="00EB0FE9" w:rsidRPr="00EB0FE9" w14:paraId="44F5BBAC"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92C34" w14:textId="77777777" w:rsidR="00EB0FE9" w:rsidRPr="00EB0FE9" w:rsidRDefault="00EB0FE9" w:rsidP="00EB0FE9">
            <w:pPr>
              <w:spacing w:after="120" w:line="240" w:lineRule="auto"/>
              <w:ind w:firstLine="22"/>
              <w:jc w:val="left"/>
              <w:rPr>
                <w:rFonts w:cs="Sylfaen"/>
                <w:b/>
                <w:noProof/>
              </w:rPr>
            </w:pPr>
            <w:r w:rsidRPr="00EB0FE9">
              <w:rPr>
                <w:bCs/>
                <w:lang w:eastAsia="ru-RU"/>
              </w:rPr>
              <w:t>Մայիս</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C380" w14:textId="77777777" w:rsidR="00EB0FE9" w:rsidRPr="00EB0FE9" w:rsidRDefault="00EB0FE9" w:rsidP="00EB0FE9">
            <w:pPr>
              <w:spacing w:after="120" w:line="240" w:lineRule="auto"/>
              <w:ind w:firstLine="567"/>
              <w:jc w:val="right"/>
              <w:rPr>
                <w:rFonts w:cs="Sylfaen"/>
                <w:noProof/>
              </w:rPr>
            </w:pPr>
            <w:r w:rsidRPr="00EB0FE9">
              <w:t>82,942,724</w:t>
            </w:r>
          </w:p>
        </w:tc>
      </w:tr>
      <w:tr w:rsidR="00EB0FE9" w:rsidRPr="00EB0FE9" w14:paraId="4C466FC8"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D9BD7" w14:textId="77777777" w:rsidR="00EB0FE9" w:rsidRPr="00EB0FE9" w:rsidRDefault="00EB0FE9" w:rsidP="00EB0FE9">
            <w:pPr>
              <w:spacing w:after="120" w:line="240" w:lineRule="auto"/>
              <w:ind w:firstLine="22"/>
              <w:jc w:val="left"/>
              <w:rPr>
                <w:rFonts w:cs="Sylfaen"/>
                <w:b/>
                <w:noProof/>
              </w:rPr>
            </w:pPr>
            <w:r w:rsidRPr="00EB0FE9">
              <w:rPr>
                <w:bCs/>
                <w:lang w:eastAsia="ru-RU"/>
              </w:rPr>
              <w:t>Հունիս</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3F3A" w14:textId="77777777" w:rsidR="00EB0FE9" w:rsidRPr="00EB0FE9" w:rsidRDefault="00EB0FE9" w:rsidP="00EB0FE9">
            <w:pPr>
              <w:spacing w:after="120" w:line="240" w:lineRule="auto"/>
              <w:ind w:firstLine="567"/>
              <w:jc w:val="right"/>
              <w:rPr>
                <w:rFonts w:cs="Sylfaen"/>
                <w:noProof/>
              </w:rPr>
            </w:pPr>
            <w:r w:rsidRPr="00EB0FE9">
              <w:t>96,639,670</w:t>
            </w:r>
          </w:p>
        </w:tc>
      </w:tr>
      <w:tr w:rsidR="00EB0FE9" w:rsidRPr="00EB0FE9" w14:paraId="2EEA3E39"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B3215" w14:textId="77777777" w:rsidR="00EB0FE9" w:rsidRPr="00EB0FE9" w:rsidRDefault="00EB0FE9" w:rsidP="00EB0FE9">
            <w:pPr>
              <w:spacing w:after="120" w:line="240" w:lineRule="auto"/>
              <w:ind w:firstLine="22"/>
              <w:jc w:val="left"/>
              <w:rPr>
                <w:bCs/>
                <w:lang w:eastAsia="ru-RU"/>
              </w:rPr>
            </w:pPr>
            <w:r w:rsidRPr="00EB0FE9">
              <w:rPr>
                <w:bCs/>
                <w:lang w:eastAsia="ru-RU"/>
              </w:rPr>
              <w:t>Հուլիս</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3516" w14:textId="77777777" w:rsidR="00EB0FE9" w:rsidRPr="00EB0FE9" w:rsidRDefault="00EB0FE9" w:rsidP="00EB0FE9">
            <w:pPr>
              <w:spacing w:after="120" w:line="240" w:lineRule="auto"/>
              <w:ind w:firstLine="567"/>
              <w:jc w:val="right"/>
            </w:pPr>
            <w:r w:rsidRPr="00EB0FE9">
              <w:t>109,460,577</w:t>
            </w:r>
          </w:p>
        </w:tc>
      </w:tr>
      <w:tr w:rsidR="00EB0FE9" w:rsidRPr="00EB0FE9" w14:paraId="2314D7F0"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1D125" w14:textId="77777777" w:rsidR="00EB0FE9" w:rsidRPr="00EB0FE9" w:rsidRDefault="00EB0FE9" w:rsidP="00EB0FE9">
            <w:pPr>
              <w:spacing w:after="120" w:line="240" w:lineRule="auto"/>
              <w:ind w:firstLine="22"/>
              <w:jc w:val="left"/>
              <w:rPr>
                <w:bCs/>
                <w:lang w:eastAsia="ru-RU"/>
              </w:rPr>
            </w:pPr>
            <w:r w:rsidRPr="00EB0FE9">
              <w:rPr>
                <w:bCs/>
                <w:lang w:eastAsia="ru-RU"/>
              </w:rPr>
              <w:t>Օգոստոս</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15A60" w14:textId="77777777" w:rsidR="00EB0FE9" w:rsidRPr="00EB0FE9" w:rsidRDefault="00EB0FE9" w:rsidP="00EB0FE9">
            <w:pPr>
              <w:spacing w:after="120" w:line="240" w:lineRule="auto"/>
              <w:ind w:firstLine="567"/>
              <w:jc w:val="right"/>
            </w:pPr>
            <w:r w:rsidRPr="00EB0FE9">
              <w:t>97,760,763</w:t>
            </w:r>
          </w:p>
        </w:tc>
      </w:tr>
      <w:tr w:rsidR="00EB0FE9" w:rsidRPr="00EB0FE9" w14:paraId="4A4A9F9C"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DB77" w14:textId="77777777" w:rsidR="00EB0FE9" w:rsidRPr="00EB0FE9" w:rsidRDefault="00EB0FE9" w:rsidP="00EB0FE9">
            <w:pPr>
              <w:spacing w:after="120" w:line="240" w:lineRule="auto"/>
              <w:ind w:firstLine="22"/>
              <w:jc w:val="left"/>
              <w:rPr>
                <w:bCs/>
                <w:lang w:eastAsia="ru-RU"/>
              </w:rPr>
            </w:pPr>
            <w:r w:rsidRPr="00EB0FE9">
              <w:rPr>
                <w:bCs/>
                <w:lang w:eastAsia="ru-RU"/>
              </w:rPr>
              <w:t>Սեպտեմբեր</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C56CD" w14:textId="77777777" w:rsidR="00EB0FE9" w:rsidRPr="00EB0FE9" w:rsidRDefault="00EB0FE9" w:rsidP="00EB0FE9">
            <w:pPr>
              <w:spacing w:after="120" w:line="240" w:lineRule="auto"/>
              <w:ind w:firstLine="567"/>
              <w:jc w:val="right"/>
            </w:pPr>
            <w:r w:rsidRPr="00EB0FE9">
              <w:t>129,250,783</w:t>
            </w:r>
          </w:p>
        </w:tc>
      </w:tr>
      <w:tr w:rsidR="00EB0FE9" w:rsidRPr="00EB0FE9" w14:paraId="4E8E295D" w14:textId="77777777" w:rsidTr="004C02CC">
        <w:tc>
          <w:tcPr>
            <w:tcW w:w="4106" w:type="dxa"/>
            <w:tcBorders>
              <w:top w:val="single" w:sz="4" w:space="0" w:color="auto"/>
              <w:left w:val="single" w:sz="4" w:space="0" w:color="auto"/>
              <w:bottom w:val="single" w:sz="4" w:space="0" w:color="auto"/>
              <w:right w:val="single" w:sz="4" w:space="0" w:color="auto"/>
            </w:tcBorders>
            <w:shd w:val="clear" w:color="auto" w:fill="auto"/>
            <w:hideMark/>
          </w:tcPr>
          <w:p w14:paraId="2BD9F2CC" w14:textId="77777777" w:rsidR="00EB0FE9" w:rsidRPr="00EB0FE9" w:rsidRDefault="00EB0FE9" w:rsidP="00EB0FE9">
            <w:pPr>
              <w:spacing w:after="120" w:line="240" w:lineRule="auto"/>
              <w:ind w:firstLine="60"/>
              <w:jc w:val="left"/>
              <w:rPr>
                <w:rFonts w:cs="Sylfaen"/>
                <w:b/>
                <w:noProof/>
              </w:rPr>
            </w:pPr>
            <w:r w:rsidRPr="00EB0FE9">
              <w:rPr>
                <w:rFonts w:cs="Sylfaen"/>
                <w:b/>
                <w:noProof/>
              </w:rPr>
              <w:t>Ընդամենը 2020թ. 9 ամիսներ</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63444EC1" w14:textId="77777777" w:rsidR="00EB0FE9" w:rsidRPr="00EB0FE9" w:rsidRDefault="00EB0FE9" w:rsidP="00EB0FE9">
            <w:pPr>
              <w:spacing w:after="120" w:line="240" w:lineRule="auto"/>
              <w:ind w:firstLine="567"/>
              <w:jc w:val="right"/>
              <w:rPr>
                <w:rFonts w:cs="Sylfaen"/>
                <w:b/>
                <w:noProof/>
              </w:rPr>
            </w:pPr>
            <w:r w:rsidRPr="00EB0FE9">
              <w:rPr>
                <w:rFonts w:cs="Sylfaen"/>
                <w:b/>
                <w:noProof/>
              </w:rPr>
              <w:t>1,016,761,441</w:t>
            </w:r>
          </w:p>
        </w:tc>
      </w:tr>
    </w:tbl>
    <w:p w14:paraId="3ED5BA2A" w14:textId="77777777" w:rsidR="00EB0FE9" w:rsidRPr="00EB0FE9" w:rsidRDefault="00EB0FE9" w:rsidP="00EB0FE9">
      <w:pPr>
        <w:spacing w:after="120"/>
        <w:ind w:firstLine="567"/>
        <w:rPr>
          <w:rFonts w:eastAsia="Times New Roman" w:cs="Times New Roman"/>
          <w:highlight w:val="red"/>
        </w:rPr>
      </w:pPr>
    </w:p>
    <w:p w14:paraId="2853ADE2" w14:textId="77777777" w:rsidR="00EB0FE9" w:rsidRPr="00EB0FE9" w:rsidRDefault="00EB0FE9" w:rsidP="00EB0FE9">
      <w:pPr>
        <w:spacing w:after="200"/>
        <w:rPr>
          <w:rFonts w:eastAsia="Times New Roman" w:cs="Times New Roman"/>
          <w:b/>
          <w:smallCaps/>
          <w:noProof/>
          <w:color w:val="244061"/>
          <w:spacing w:val="5"/>
          <w:szCs w:val="28"/>
          <w:highlight w:val="red"/>
        </w:rPr>
      </w:pPr>
      <w:r w:rsidRPr="00EB0FE9">
        <w:rPr>
          <w:rFonts w:eastAsia="Times New Roman" w:cs="Times New Roman"/>
          <w:noProof/>
          <w:color w:val="244061"/>
          <w:highlight w:val="red"/>
        </w:rPr>
        <w:br w:type="page"/>
      </w:r>
    </w:p>
    <w:p w14:paraId="2D427BAA" w14:textId="77777777" w:rsidR="00EB0FE9" w:rsidRPr="00EB0FE9" w:rsidRDefault="00EB0FE9" w:rsidP="0091527C">
      <w:pPr>
        <w:pStyle w:val="Heading2"/>
      </w:pPr>
      <w:bookmarkStart w:id="10" w:name="_Toc64560569"/>
      <w:r w:rsidRPr="00EB0FE9">
        <w:lastRenderedPageBreak/>
        <w:t>ՊԱՇՏՈՆԱԿԱՆ ԴՐԱՄԱՇՆՈՐՀՆԵՐԻ ՎԵՐԱԲԵՐՅԱԼ</w:t>
      </w:r>
      <w:bookmarkEnd w:id="10"/>
    </w:p>
    <w:p w14:paraId="6A8EE3F3" w14:textId="77777777" w:rsidR="00EB0FE9" w:rsidRPr="00EB0FE9" w:rsidRDefault="00EB0FE9" w:rsidP="00EB0FE9">
      <w:pPr>
        <w:spacing w:after="120"/>
        <w:ind w:firstLine="567"/>
        <w:rPr>
          <w:rFonts w:eastAsia="Times New Roman" w:cs="Times New Roman"/>
          <w:highlight w:val="red"/>
        </w:rPr>
      </w:pPr>
    </w:p>
    <w:p w14:paraId="06CBCE27"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2020 թվականի ինն ամիսներում արտաքին աղբյուրներից ստացվել են ավելի քան 4</w:t>
      </w:r>
      <w:r w:rsidRPr="00EB0FE9">
        <w:rPr>
          <w:rFonts w:ascii="Cambria Math" w:eastAsia="Times New Roman" w:hAnsi="Cambria Math" w:cs="Cambria Math"/>
        </w:rPr>
        <w:t>․</w:t>
      </w:r>
      <w:r w:rsidRPr="00EB0FE9">
        <w:rPr>
          <w:rFonts w:eastAsia="Times New Roman" w:cs="Times New Roman"/>
        </w:rPr>
        <w:t>6</w:t>
      </w:r>
      <w:r w:rsidRPr="00EB0FE9">
        <w:rPr>
          <w:rFonts w:ascii="Calibri" w:eastAsia="Times New Roman" w:hAnsi="Calibri" w:cs="Calibri"/>
        </w:rPr>
        <w:t> </w:t>
      </w:r>
      <w:r w:rsidRPr="00EB0FE9">
        <w:rPr>
          <w:rFonts w:eastAsia="Times New Roman" w:cs="Times New Roman"/>
        </w:rPr>
        <w:t>մլրդ դրամ պաշտոնական դրամաշնորհներ՝ կազմելով հաշվետու ժամանակաշրջանի  ճշտված պլանի 22 %-ը և տարեկան ճշտված պլանի 11</w:t>
      </w:r>
      <w:r w:rsidRPr="00EB0FE9">
        <w:rPr>
          <w:rFonts w:ascii="Cambria Math" w:eastAsia="Times New Roman" w:hAnsi="Cambria Math" w:cs="Cambria Math"/>
        </w:rPr>
        <w:t>․</w:t>
      </w:r>
      <w:r w:rsidRPr="00EB0FE9">
        <w:rPr>
          <w:rFonts w:eastAsia="Times New Roman" w:cs="Times New Roman"/>
        </w:rPr>
        <w:t>9%-ը:</w:t>
      </w:r>
    </w:p>
    <w:p w14:paraId="53B05EB8"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Մասնավորապես՝ ստացվել են հետևյալ պաշտոնական դրամաշնորհները</w:t>
      </w:r>
      <w:r w:rsidRPr="00EB0FE9">
        <w:rPr>
          <w:rFonts w:ascii="Cambria Math" w:eastAsia="Times New Roman" w:hAnsi="Cambria Math" w:cs="Cambria Math"/>
        </w:rPr>
        <w:t>․</w:t>
      </w:r>
    </w:p>
    <w:p w14:paraId="302EADA9" w14:textId="77777777" w:rsidR="00EB0FE9" w:rsidRPr="00EB0FE9" w:rsidRDefault="00EB0FE9" w:rsidP="00EB0FE9">
      <w:pPr>
        <w:numPr>
          <w:ilvl w:val="0"/>
          <w:numId w:val="5"/>
        </w:numPr>
        <w:spacing w:after="120"/>
        <w:contextualSpacing/>
        <w:rPr>
          <w:rFonts w:eastAsia="Times New Roman" w:cs="Times New Roman"/>
        </w:rPr>
      </w:pPr>
      <w:r w:rsidRPr="00EB0FE9">
        <w:rPr>
          <w:rFonts w:eastAsia="Times New Roman" w:cs="Times New Roman"/>
        </w:rPr>
        <w:t>Եվրամիության կողմից բյուջետային աջակցության ծրագիր՝ Հայաստանում պետական ֆինանսների քաղաքականության բարեփոխումներ՝ 929</w:t>
      </w:r>
      <w:r w:rsidRPr="00EB0FE9">
        <w:rPr>
          <w:rFonts w:ascii="Cambria Math" w:eastAsia="Times New Roman" w:hAnsi="Cambria Math" w:cs="Cambria Math"/>
        </w:rPr>
        <w:t>․</w:t>
      </w:r>
      <w:r w:rsidRPr="00EB0FE9">
        <w:rPr>
          <w:rFonts w:eastAsia="Times New Roman" w:cs="Times New Roman"/>
        </w:rPr>
        <w:t>5 մլն</w:t>
      </w:r>
      <w:r w:rsidRPr="00EB0FE9">
        <w:rPr>
          <w:rFonts w:ascii="Cambria Math" w:eastAsia="Times New Roman" w:hAnsi="Cambria Math" w:cs="Cambria Math"/>
        </w:rPr>
        <w:t>․</w:t>
      </w:r>
      <w:r w:rsidRPr="00EB0FE9">
        <w:rPr>
          <w:rFonts w:eastAsia="Times New Roman" w:cs="Times New Roman"/>
        </w:rPr>
        <w:t xml:space="preserve"> դրամ,</w:t>
      </w:r>
    </w:p>
    <w:p w14:paraId="09C8E6B1" w14:textId="77777777" w:rsidR="00EB0FE9" w:rsidRPr="00EB0FE9" w:rsidRDefault="00EB0FE9" w:rsidP="00EB0FE9">
      <w:pPr>
        <w:numPr>
          <w:ilvl w:val="0"/>
          <w:numId w:val="5"/>
        </w:numPr>
        <w:spacing w:after="120"/>
        <w:contextualSpacing/>
        <w:rPr>
          <w:rFonts w:eastAsia="Times New Roman" w:cs="Times New Roman"/>
        </w:rPr>
      </w:pPr>
      <w:r w:rsidRPr="00EB0FE9">
        <w:rPr>
          <w:rFonts w:eastAsia="Times New Roman" w:cs="Times New Roman"/>
        </w:rPr>
        <w:t>Կովկասի բնության հիմնադրամի կողմից՝ «COVID-19 Արտակարգ դրամաշնորհի պայմանագրի» շրջանակներում՝ 267.2 մլն. դրամ,</w:t>
      </w:r>
    </w:p>
    <w:p w14:paraId="7B46D3E9" w14:textId="77777777" w:rsidR="00EB0FE9" w:rsidRPr="00EB0FE9" w:rsidRDefault="00EB0FE9" w:rsidP="00EB0FE9">
      <w:pPr>
        <w:numPr>
          <w:ilvl w:val="0"/>
          <w:numId w:val="5"/>
        </w:numPr>
        <w:spacing w:after="120"/>
        <w:contextualSpacing/>
        <w:rPr>
          <w:rFonts w:eastAsia="Times New Roman" w:cs="Times New Roman"/>
        </w:rPr>
      </w:pPr>
      <w:r w:rsidRPr="00EB0FE9">
        <w:rPr>
          <w:rFonts w:eastAsia="Times New Roman" w:cs="Times New Roman"/>
        </w:rPr>
        <w:t>Նպատակային դրամաշնորհներ՝ 3</w:t>
      </w:r>
      <w:r w:rsidRPr="00EB0FE9">
        <w:rPr>
          <w:rFonts w:eastAsia="Times New Roman" w:cs="Times New Roman"/>
          <w:lang w:val="ru-RU"/>
        </w:rPr>
        <w:t>,</w:t>
      </w:r>
      <w:r w:rsidRPr="00EB0FE9">
        <w:rPr>
          <w:rFonts w:eastAsia="Times New Roman" w:cs="Times New Roman"/>
        </w:rPr>
        <w:t>424</w:t>
      </w:r>
      <w:r w:rsidRPr="00EB0FE9">
        <w:rPr>
          <w:rFonts w:ascii="Cambria Math" w:eastAsia="Times New Roman" w:hAnsi="Cambria Math" w:cs="Cambria Math"/>
        </w:rPr>
        <w:t>․</w:t>
      </w:r>
      <w:r w:rsidRPr="00EB0FE9">
        <w:rPr>
          <w:rFonts w:eastAsia="Times New Roman" w:cs="Times New Roman"/>
        </w:rPr>
        <w:t>1 մլն. դրամ,</w:t>
      </w:r>
    </w:p>
    <w:p w14:paraId="673C9A03" w14:textId="77777777" w:rsidR="00EB0FE9" w:rsidRPr="00EB0FE9" w:rsidRDefault="00EB0FE9" w:rsidP="00EB0FE9">
      <w:pPr>
        <w:spacing w:after="120"/>
        <w:ind w:left="720" w:firstLine="567"/>
        <w:contextualSpacing/>
        <w:rPr>
          <w:rFonts w:eastAsia="Times New Roman" w:cs="Times New Roman"/>
        </w:rPr>
      </w:pPr>
      <w:r w:rsidRPr="00EB0FE9">
        <w:rPr>
          <w:rFonts w:eastAsia="Times New Roman" w:cs="Times New Roman"/>
        </w:rPr>
        <w:t>այդ թվում՝</w:t>
      </w:r>
    </w:p>
    <w:p w14:paraId="1AED5569" w14:textId="77777777" w:rsidR="00EB0FE9" w:rsidRPr="00EB0FE9" w:rsidRDefault="00EB0FE9" w:rsidP="00EB0FE9">
      <w:pPr>
        <w:spacing w:after="120"/>
        <w:ind w:left="720" w:firstLine="567"/>
        <w:contextualSpacing/>
        <w:rPr>
          <w:rFonts w:eastAsia="Times New Roman" w:cs="Times New Roman"/>
        </w:rPr>
      </w:pPr>
    </w:p>
    <w:tbl>
      <w:tblPr>
        <w:tblStyle w:val="TableGrid11"/>
        <w:tblW w:w="10216" w:type="dxa"/>
        <w:tblInd w:w="-5" w:type="dxa"/>
        <w:tblLook w:val="04A0" w:firstRow="1" w:lastRow="0" w:firstColumn="1" w:lastColumn="0" w:noHBand="0" w:noVBand="1"/>
      </w:tblPr>
      <w:tblGrid>
        <w:gridCol w:w="7290"/>
        <w:gridCol w:w="1439"/>
        <w:gridCol w:w="1487"/>
      </w:tblGrid>
      <w:tr w:rsidR="00EB0FE9" w:rsidRPr="00EB0FE9" w14:paraId="7992D3B3" w14:textId="77777777" w:rsidTr="004C02CC">
        <w:tc>
          <w:tcPr>
            <w:tcW w:w="7290" w:type="dxa"/>
            <w:vAlign w:val="center"/>
          </w:tcPr>
          <w:p w14:paraId="1DF25B56" w14:textId="77777777" w:rsidR="00EB0FE9" w:rsidRPr="00EB0FE9" w:rsidRDefault="00EB0FE9" w:rsidP="00EB0FE9">
            <w:pPr>
              <w:spacing w:after="120"/>
              <w:contextualSpacing/>
              <w:jc w:val="center"/>
              <w:rPr>
                <w:rFonts w:cs="Times New Roman"/>
              </w:rPr>
            </w:pPr>
            <w:r w:rsidRPr="00EB0FE9">
              <w:rPr>
                <w:rFonts w:cs="Times New Roman"/>
              </w:rPr>
              <w:t>Նպատակային դրամաշնորհներ</w:t>
            </w:r>
          </w:p>
        </w:tc>
        <w:tc>
          <w:tcPr>
            <w:tcW w:w="1439" w:type="dxa"/>
            <w:vAlign w:val="center"/>
          </w:tcPr>
          <w:p w14:paraId="75A6C2F0" w14:textId="77777777" w:rsidR="00EB0FE9" w:rsidRPr="00EB0FE9" w:rsidRDefault="00EB0FE9" w:rsidP="00EB0FE9">
            <w:pPr>
              <w:spacing w:after="120"/>
              <w:contextualSpacing/>
              <w:jc w:val="center"/>
              <w:rPr>
                <w:rFonts w:cs="Times New Roman"/>
              </w:rPr>
            </w:pPr>
            <w:r w:rsidRPr="00EB0FE9">
              <w:rPr>
                <w:rFonts w:cs="Times New Roman"/>
              </w:rPr>
              <w:t>Գումար</w:t>
            </w:r>
            <w:r w:rsidRPr="00EB0FE9">
              <w:rPr>
                <w:rFonts w:cs="Times New Roman"/>
              </w:rPr>
              <w:br/>
              <w:t>/մլն</w:t>
            </w:r>
            <w:r w:rsidRPr="00EB0FE9">
              <w:rPr>
                <w:rFonts w:ascii="Cambria Math" w:hAnsi="Cambria Math" w:cs="Cambria Math"/>
              </w:rPr>
              <w:t>․</w:t>
            </w:r>
            <w:r w:rsidRPr="00EB0FE9">
              <w:rPr>
                <w:rFonts w:cs="Times New Roman"/>
              </w:rPr>
              <w:t>դրամ/</w:t>
            </w:r>
          </w:p>
        </w:tc>
        <w:tc>
          <w:tcPr>
            <w:tcW w:w="1487" w:type="dxa"/>
            <w:vAlign w:val="center"/>
          </w:tcPr>
          <w:p w14:paraId="19916315" w14:textId="77777777" w:rsidR="00EB0FE9" w:rsidRPr="00EB0FE9" w:rsidRDefault="00EB0FE9" w:rsidP="00EB0FE9">
            <w:pPr>
              <w:spacing w:after="120"/>
              <w:ind w:left="-86" w:right="-41"/>
              <w:contextualSpacing/>
              <w:jc w:val="center"/>
              <w:rPr>
                <w:rFonts w:cs="Times New Roman"/>
              </w:rPr>
            </w:pPr>
            <w:r w:rsidRPr="00EB0FE9">
              <w:rPr>
                <w:rFonts w:cs="Times New Roman"/>
              </w:rPr>
              <w:t>Կատարման %-ը պլանի նկատմամբ</w:t>
            </w:r>
          </w:p>
        </w:tc>
      </w:tr>
      <w:tr w:rsidR="00EB0FE9" w:rsidRPr="00EB0FE9" w14:paraId="2680473C" w14:textId="77777777" w:rsidTr="004C02CC">
        <w:tc>
          <w:tcPr>
            <w:tcW w:w="7290" w:type="dxa"/>
            <w:vAlign w:val="center"/>
          </w:tcPr>
          <w:p w14:paraId="10D06747" w14:textId="77777777" w:rsidR="00EB0FE9" w:rsidRPr="00EB0FE9" w:rsidRDefault="00EB0FE9" w:rsidP="00EB0FE9">
            <w:pPr>
              <w:spacing w:after="120"/>
              <w:contextualSpacing/>
              <w:rPr>
                <w:rFonts w:cs="Times New Roman"/>
              </w:rPr>
            </w:pPr>
            <w:r w:rsidRPr="00EB0FE9">
              <w:rPr>
                <w:rFonts w:cs="Times New Roman"/>
              </w:rPr>
              <w:t>- Եվրոպական միության հարևանության ներդրումային բանկից</w:t>
            </w:r>
          </w:p>
        </w:tc>
        <w:tc>
          <w:tcPr>
            <w:tcW w:w="1439" w:type="dxa"/>
            <w:vAlign w:val="center"/>
          </w:tcPr>
          <w:p w14:paraId="2616BBFA" w14:textId="77777777" w:rsidR="00EB0FE9" w:rsidRPr="00EB0FE9" w:rsidRDefault="00EB0FE9" w:rsidP="00EB0FE9">
            <w:pPr>
              <w:spacing w:after="120"/>
              <w:contextualSpacing/>
              <w:jc w:val="center"/>
              <w:rPr>
                <w:rFonts w:cs="Times New Roman"/>
              </w:rPr>
            </w:pPr>
            <w:r w:rsidRPr="00EB0FE9">
              <w:rPr>
                <w:rFonts w:cs="Times New Roman"/>
              </w:rPr>
              <w:t>322.4</w:t>
            </w:r>
          </w:p>
        </w:tc>
        <w:tc>
          <w:tcPr>
            <w:tcW w:w="1487" w:type="dxa"/>
            <w:vAlign w:val="center"/>
          </w:tcPr>
          <w:p w14:paraId="51362D9A" w14:textId="77777777" w:rsidR="00EB0FE9" w:rsidRPr="00EB0FE9" w:rsidRDefault="00EB0FE9" w:rsidP="00EB0FE9">
            <w:pPr>
              <w:spacing w:after="120"/>
              <w:contextualSpacing/>
              <w:jc w:val="center"/>
              <w:rPr>
                <w:rFonts w:cs="Times New Roman"/>
              </w:rPr>
            </w:pPr>
            <w:r w:rsidRPr="00EB0FE9">
              <w:rPr>
                <w:rFonts w:cs="Times New Roman"/>
              </w:rPr>
              <w:t>14.9%</w:t>
            </w:r>
          </w:p>
        </w:tc>
      </w:tr>
      <w:tr w:rsidR="00EB0FE9" w:rsidRPr="00EB0FE9" w14:paraId="68EE0402" w14:textId="77777777" w:rsidTr="004C02CC">
        <w:tc>
          <w:tcPr>
            <w:tcW w:w="7290" w:type="dxa"/>
            <w:vAlign w:val="center"/>
          </w:tcPr>
          <w:p w14:paraId="22399DEB" w14:textId="77777777" w:rsidR="00EB0FE9" w:rsidRPr="00EB0FE9" w:rsidRDefault="00EB0FE9" w:rsidP="00EB0FE9">
            <w:pPr>
              <w:spacing w:after="120"/>
              <w:contextualSpacing/>
              <w:rPr>
                <w:rFonts w:cs="Times New Roman"/>
              </w:rPr>
            </w:pPr>
            <w:r w:rsidRPr="00EB0FE9">
              <w:rPr>
                <w:rFonts w:cs="Times New Roman"/>
              </w:rPr>
              <w:t>- Վերակառուցման և զարգացման եվրոպական բանկից</w:t>
            </w:r>
          </w:p>
        </w:tc>
        <w:tc>
          <w:tcPr>
            <w:tcW w:w="1439" w:type="dxa"/>
            <w:vAlign w:val="center"/>
          </w:tcPr>
          <w:p w14:paraId="176C0109" w14:textId="77777777" w:rsidR="00EB0FE9" w:rsidRPr="00EB0FE9" w:rsidRDefault="00EB0FE9" w:rsidP="00EB0FE9">
            <w:pPr>
              <w:spacing w:after="120"/>
              <w:contextualSpacing/>
              <w:jc w:val="center"/>
              <w:rPr>
                <w:rFonts w:cs="Times New Roman"/>
              </w:rPr>
            </w:pPr>
            <w:r w:rsidRPr="00EB0FE9">
              <w:rPr>
                <w:rFonts w:cs="Times New Roman"/>
              </w:rPr>
              <w:t>609</w:t>
            </w:r>
            <w:r w:rsidRPr="00EB0FE9">
              <w:rPr>
                <w:rFonts w:ascii="Cambria Math" w:hAnsi="Cambria Math" w:cs="Cambria Math"/>
              </w:rPr>
              <w:t>․</w:t>
            </w:r>
            <w:r w:rsidRPr="00EB0FE9">
              <w:rPr>
                <w:rFonts w:cs="Times New Roman"/>
              </w:rPr>
              <w:t>4</w:t>
            </w:r>
          </w:p>
        </w:tc>
        <w:tc>
          <w:tcPr>
            <w:tcW w:w="1487" w:type="dxa"/>
            <w:vAlign w:val="center"/>
          </w:tcPr>
          <w:p w14:paraId="257086BF" w14:textId="77777777" w:rsidR="00EB0FE9" w:rsidRPr="00EB0FE9" w:rsidRDefault="00EB0FE9" w:rsidP="00EB0FE9">
            <w:pPr>
              <w:spacing w:after="120"/>
              <w:contextualSpacing/>
              <w:jc w:val="center"/>
              <w:rPr>
                <w:rFonts w:cs="Times New Roman"/>
              </w:rPr>
            </w:pPr>
            <w:r w:rsidRPr="00EB0FE9">
              <w:rPr>
                <w:rFonts w:cs="Times New Roman"/>
              </w:rPr>
              <w:t>15%</w:t>
            </w:r>
          </w:p>
        </w:tc>
      </w:tr>
      <w:tr w:rsidR="00EB0FE9" w:rsidRPr="00EB0FE9" w14:paraId="657F43C5" w14:textId="77777777" w:rsidTr="004C02CC">
        <w:tc>
          <w:tcPr>
            <w:tcW w:w="7290" w:type="dxa"/>
            <w:vAlign w:val="center"/>
          </w:tcPr>
          <w:p w14:paraId="0E1CAA87" w14:textId="77777777" w:rsidR="00EB0FE9" w:rsidRPr="00EB0FE9" w:rsidRDefault="00EB0FE9" w:rsidP="00EB0FE9">
            <w:pPr>
              <w:spacing w:after="120"/>
              <w:contextualSpacing/>
              <w:rPr>
                <w:rFonts w:cs="Times New Roman"/>
              </w:rPr>
            </w:pPr>
            <w:r w:rsidRPr="00EB0FE9">
              <w:rPr>
                <w:rFonts w:cs="Times New Roman"/>
              </w:rPr>
              <w:t>- Գլոբալ հիմնադրամի կողմից տրամադրված</w:t>
            </w:r>
          </w:p>
        </w:tc>
        <w:tc>
          <w:tcPr>
            <w:tcW w:w="1439" w:type="dxa"/>
            <w:vAlign w:val="center"/>
          </w:tcPr>
          <w:p w14:paraId="7CC6C2CC" w14:textId="77777777" w:rsidR="00EB0FE9" w:rsidRPr="00EB0FE9" w:rsidRDefault="00EB0FE9" w:rsidP="00EB0FE9">
            <w:pPr>
              <w:spacing w:after="120"/>
              <w:contextualSpacing/>
              <w:jc w:val="center"/>
              <w:rPr>
                <w:rFonts w:cs="Times New Roman"/>
              </w:rPr>
            </w:pPr>
            <w:r w:rsidRPr="00EB0FE9">
              <w:rPr>
                <w:rFonts w:cs="Times New Roman"/>
              </w:rPr>
              <w:t>733.9</w:t>
            </w:r>
          </w:p>
        </w:tc>
        <w:tc>
          <w:tcPr>
            <w:tcW w:w="1487" w:type="dxa"/>
            <w:vAlign w:val="center"/>
          </w:tcPr>
          <w:p w14:paraId="702C106E" w14:textId="77777777" w:rsidR="00EB0FE9" w:rsidRPr="00EB0FE9" w:rsidRDefault="00EB0FE9" w:rsidP="00EB0FE9">
            <w:pPr>
              <w:spacing w:after="120"/>
              <w:contextualSpacing/>
              <w:jc w:val="center"/>
              <w:rPr>
                <w:rFonts w:cs="Times New Roman"/>
              </w:rPr>
            </w:pPr>
            <w:r w:rsidRPr="00EB0FE9">
              <w:rPr>
                <w:rFonts w:cs="Times New Roman"/>
              </w:rPr>
              <w:t>93.3%</w:t>
            </w:r>
          </w:p>
        </w:tc>
      </w:tr>
      <w:tr w:rsidR="00EB0FE9" w:rsidRPr="00EB0FE9" w14:paraId="5C1479DC" w14:textId="77777777" w:rsidTr="004C02CC">
        <w:tc>
          <w:tcPr>
            <w:tcW w:w="7290" w:type="dxa"/>
            <w:vAlign w:val="center"/>
          </w:tcPr>
          <w:p w14:paraId="5E57C77D" w14:textId="77777777" w:rsidR="00EB0FE9" w:rsidRPr="00EB0FE9" w:rsidRDefault="00EB0FE9" w:rsidP="00EB0FE9">
            <w:pPr>
              <w:spacing w:after="120"/>
              <w:contextualSpacing/>
              <w:rPr>
                <w:rFonts w:cs="Times New Roman"/>
              </w:rPr>
            </w:pPr>
            <w:r w:rsidRPr="00EB0FE9">
              <w:rPr>
                <w:rFonts w:cs="Times New Roman"/>
              </w:rPr>
              <w:t>- Գերմանիայի զարգացման վարկերի բանկից (KFW)</w:t>
            </w:r>
          </w:p>
        </w:tc>
        <w:tc>
          <w:tcPr>
            <w:tcW w:w="1439" w:type="dxa"/>
            <w:vAlign w:val="center"/>
          </w:tcPr>
          <w:p w14:paraId="688CE7F7" w14:textId="77777777" w:rsidR="00EB0FE9" w:rsidRPr="00EB0FE9" w:rsidRDefault="00EB0FE9" w:rsidP="00EB0FE9">
            <w:pPr>
              <w:spacing w:after="120"/>
              <w:contextualSpacing/>
              <w:jc w:val="center"/>
              <w:rPr>
                <w:rFonts w:cs="Times New Roman"/>
              </w:rPr>
            </w:pPr>
            <w:r w:rsidRPr="00EB0FE9">
              <w:rPr>
                <w:rFonts w:cs="Times New Roman"/>
              </w:rPr>
              <w:t>602.3</w:t>
            </w:r>
          </w:p>
        </w:tc>
        <w:tc>
          <w:tcPr>
            <w:tcW w:w="1487" w:type="dxa"/>
            <w:vAlign w:val="center"/>
          </w:tcPr>
          <w:p w14:paraId="00ABDB9B" w14:textId="77777777" w:rsidR="00EB0FE9" w:rsidRPr="00EB0FE9" w:rsidRDefault="00EB0FE9" w:rsidP="00EB0FE9">
            <w:pPr>
              <w:spacing w:after="120"/>
              <w:contextualSpacing/>
              <w:jc w:val="center"/>
              <w:rPr>
                <w:rFonts w:cs="Times New Roman"/>
              </w:rPr>
            </w:pPr>
            <w:r w:rsidRPr="00EB0FE9">
              <w:rPr>
                <w:rFonts w:cs="Times New Roman"/>
              </w:rPr>
              <w:t>37.6%</w:t>
            </w:r>
          </w:p>
        </w:tc>
      </w:tr>
      <w:tr w:rsidR="00EB0FE9" w:rsidRPr="00EB0FE9" w14:paraId="467787D3" w14:textId="77777777" w:rsidTr="004C02CC">
        <w:tc>
          <w:tcPr>
            <w:tcW w:w="7290" w:type="dxa"/>
            <w:vAlign w:val="center"/>
          </w:tcPr>
          <w:p w14:paraId="1893E1BD" w14:textId="77777777" w:rsidR="00EB0FE9" w:rsidRPr="00EB0FE9" w:rsidRDefault="00EB0FE9" w:rsidP="00EB0FE9">
            <w:pPr>
              <w:spacing w:after="120"/>
              <w:contextualSpacing/>
              <w:rPr>
                <w:rFonts w:cs="Times New Roman"/>
              </w:rPr>
            </w:pPr>
            <w:r w:rsidRPr="00EB0FE9">
              <w:rPr>
                <w:rFonts w:cs="Times New Roman"/>
              </w:rPr>
              <w:t>- ԱՄՆ-ի աջակցությամբ իրականացվող ծրագրեր</w:t>
            </w:r>
          </w:p>
        </w:tc>
        <w:tc>
          <w:tcPr>
            <w:tcW w:w="1439" w:type="dxa"/>
            <w:vAlign w:val="center"/>
          </w:tcPr>
          <w:p w14:paraId="7C47D56A" w14:textId="77777777" w:rsidR="00EB0FE9" w:rsidRPr="00EB0FE9" w:rsidRDefault="00EB0FE9" w:rsidP="00EB0FE9">
            <w:pPr>
              <w:spacing w:after="120"/>
              <w:contextualSpacing/>
              <w:jc w:val="center"/>
              <w:rPr>
                <w:rFonts w:cs="Times New Roman"/>
              </w:rPr>
            </w:pPr>
            <w:r w:rsidRPr="00EB0FE9">
              <w:rPr>
                <w:rFonts w:cs="Times New Roman"/>
              </w:rPr>
              <w:t>193.9</w:t>
            </w:r>
          </w:p>
        </w:tc>
        <w:tc>
          <w:tcPr>
            <w:tcW w:w="1487" w:type="dxa"/>
            <w:vAlign w:val="center"/>
          </w:tcPr>
          <w:p w14:paraId="6AD347D4" w14:textId="77777777" w:rsidR="00EB0FE9" w:rsidRPr="00EB0FE9" w:rsidRDefault="00EB0FE9" w:rsidP="00EB0FE9">
            <w:pPr>
              <w:spacing w:after="120"/>
              <w:contextualSpacing/>
              <w:jc w:val="center"/>
              <w:rPr>
                <w:rFonts w:cs="Times New Roman"/>
              </w:rPr>
            </w:pPr>
            <w:r w:rsidRPr="00EB0FE9">
              <w:rPr>
                <w:rFonts w:cs="Times New Roman"/>
              </w:rPr>
              <w:t>23.6%</w:t>
            </w:r>
          </w:p>
        </w:tc>
      </w:tr>
      <w:tr w:rsidR="00EB0FE9" w:rsidRPr="00EB0FE9" w14:paraId="42EB6B09" w14:textId="77777777" w:rsidTr="004C02CC">
        <w:tc>
          <w:tcPr>
            <w:tcW w:w="7290" w:type="dxa"/>
            <w:vAlign w:val="center"/>
          </w:tcPr>
          <w:p w14:paraId="72A29492" w14:textId="77777777" w:rsidR="00EB0FE9" w:rsidRPr="00EB0FE9" w:rsidRDefault="00EB0FE9" w:rsidP="00EB0FE9">
            <w:pPr>
              <w:spacing w:after="120"/>
              <w:contextualSpacing/>
              <w:rPr>
                <w:rFonts w:cs="Times New Roman"/>
              </w:rPr>
            </w:pPr>
            <w:r w:rsidRPr="00EB0FE9">
              <w:rPr>
                <w:rFonts w:cs="Times New Roman"/>
              </w:rPr>
              <w:t>- Համաշխարհային բանկի</w:t>
            </w:r>
            <w:r w:rsidRPr="00EB0FE9">
              <w:rPr>
                <w:rFonts w:cs="Times New Roman"/>
                <w:lang w:val="ru-RU"/>
              </w:rPr>
              <w:t>ց</w:t>
            </w:r>
          </w:p>
        </w:tc>
        <w:tc>
          <w:tcPr>
            <w:tcW w:w="1439" w:type="dxa"/>
            <w:vAlign w:val="center"/>
          </w:tcPr>
          <w:p w14:paraId="622AACF5" w14:textId="77777777" w:rsidR="00EB0FE9" w:rsidRPr="00EB0FE9" w:rsidRDefault="00EB0FE9" w:rsidP="00EB0FE9">
            <w:pPr>
              <w:spacing w:after="120"/>
              <w:contextualSpacing/>
              <w:jc w:val="center"/>
              <w:rPr>
                <w:rFonts w:cs="Times New Roman"/>
              </w:rPr>
            </w:pPr>
            <w:r w:rsidRPr="00EB0FE9">
              <w:rPr>
                <w:rFonts w:cs="Times New Roman"/>
              </w:rPr>
              <w:t>402.6</w:t>
            </w:r>
          </w:p>
        </w:tc>
        <w:tc>
          <w:tcPr>
            <w:tcW w:w="1487" w:type="dxa"/>
            <w:vAlign w:val="center"/>
          </w:tcPr>
          <w:p w14:paraId="1A3A2007" w14:textId="77777777" w:rsidR="00EB0FE9" w:rsidRPr="00EB0FE9" w:rsidRDefault="00EB0FE9" w:rsidP="00EB0FE9">
            <w:pPr>
              <w:spacing w:after="120"/>
              <w:contextualSpacing/>
              <w:jc w:val="center"/>
              <w:rPr>
                <w:rFonts w:cs="Times New Roman"/>
              </w:rPr>
            </w:pPr>
            <w:r w:rsidRPr="00EB0FE9">
              <w:rPr>
                <w:rFonts w:cs="Times New Roman"/>
              </w:rPr>
              <w:t>30.6%</w:t>
            </w:r>
          </w:p>
        </w:tc>
      </w:tr>
      <w:tr w:rsidR="00EB0FE9" w:rsidRPr="00EB0FE9" w14:paraId="3F9B6106" w14:textId="77777777" w:rsidTr="004C02CC">
        <w:tc>
          <w:tcPr>
            <w:tcW w:w="7290" w:type="dxa"/>
            <w:vAlign w:val="center"/>
          </w:tcPr>
          <w:p w14:paraId="5C75FE7A" w14:textId="77777777" w:rsidR="00EB0FE9" w:rsidRPr="00EB0FE9" w:rsidRDefault="00EB0FE9" w:rsidP="00EB0FE9">
            <w:pPr>
              <w:spacing w:after="120"/>
              <w:contextualSpacing/>
              <w:rPr>
                <w:rFonts w:cs="Times New Roman"/>
              </w:rPr>
            </w:pPr>
            <w:r w:rsidRPr="00EB0FE9">
              <w:rPr>
                <w:rFonts w:cs="Times New Roman"/>
              </w:rPr>
              <w:t>- ՄԱԿ-ի աջակցությամբ իրականացվող ծրագրեր</w:t>
            </w:r>
          </w:p>
        </w:tc>
        <w:tc>
          <w:tcPr>
            <w:tcW w:w="1439" w:type="dxa"/>
            <w:vAlign w:val="center"/>
          </w:tcPr>
          <w:p w14:paraId="35B06FBA" w14:textId="77777777" w:rsidR="00EB0FE9" w:rsidRPr="00EB0FE9" w:rsidRDefault="00EB0FE9" w:rsidP="00EB0FE9">
            <w:pPr>
              <w:spacing w:after="120"/>
              <w:contextualSpacing/>
              <w:jc w:val="center"/>
              <w:rPr>
                <w:rFonts w:cs="Times New Roman"/>
              </w:rPr>
            </w:pPr>
            <w:r w:rsidRPr="00EB0FE9">
              <w:rPr>
                <w:rFonts w:cs="Times New Roman"/>
              </w:rPr>
              <w:t>324.8</w:t>
            </w:r>
          </w:p>
        </w:tc>
        <w:tc>
          <w:tcPr>
            <w:tcW w:w="1487" w:type="dxa"/>
            <w:vAlign w:val="center"/>
          </w:tcPr>
          <w:p w14:paraId="4CBB1181" w14:textId="77777777" w:rsidR="00EB0FE9" w:rsidRPr="00EB0FE9" w:rsidRDefault="00EB0FE9" w:rsidP="00EB0FE9">
            <w:pPr>
              <w:spacing w:after="120"/>
              <w:contextualSpacing/>
              <w:jc w:val="center"/>
              <w:rPr>
                <w:rFonts w:cs="Times New Roman"/>
              </w:rPr>
            </w:pPr>
            <w:r w:rsidRPr="00EB0FE9">
              <w:rPr>
                <w:rFonts w:cs="Times New Roman"/>
              </w:rPr>
              <w:t>103.2%</w:t>
            </w:r>
          </w:p>
        </w:tc>
      </w:tr>
      <w:tr w:rsidR="00EB0FE9" w:rsidRPr="00EB0FE9" w14:paraId="172B53ED" w14:textId="77777777" w:rsidTr="004C02CC">
        <w:tc>
          <w:tcPr>
            <w:tcW w:w="7290" w:type="dxa"/>
            <w:vAlign w:val="center"/>
          </w:tcPr>
          <w:p w14:paraId="46E5F0E1" w14:textId="77777777" w:rsidR="00EB0FE9" w:rsidRPr="00EB0FE9" w:rsidRDefault="00EB0FE9" w:rsidP="00EB0FE9">
            <w:pPr>
              <w:spacing w:after="120"/>
              <w:contextualSpacing/>
              <w:jc w:val="left"/>
              <w:rPr>
                <w:rFonts w:cs="Times New Roman"/>
              </w:rPr>
            </w:pPr>
            <w:r w:rsidRPr="00EB0FE9">
              <w:rPr>
                <w:rFonts w:cs="Times New Roman"/>
              </w:rPr>
              <w:t>- Կայունացման և զարգացման եվրասիական հիմնադրամ</w:t>
            </w:r>
          </w:p>
        </w:tc>
        <w:tc>
          <w:tcPr>
            <w:tcW w:w="1439" w:type="dxa"/>
            <w:vAlign w:val="center"/>
          </w:tcPr>
          <w:p w14:paraId="7E56CF70" w14:textId="77777777" w:rsidR="00EB0FE9" w:rsidRPr="00EB0FE9" w:rsidRDefault="00EB0FE9" w:rsidP="00EB0FE9">
            <w:pPr>
              <w:spacing w:after="120"/>
              <w:contextualSpacing/>
              <w:jc w:val="center"/>
              <w:rPr>
                <w:rFonts w:cs="Times New Roman"/>
              </w:rPr>
            </w:pPr>
            <w:r w:rsidRPr="00EB0FE9">
              <w:rPr>
                <w:rFonts w:cs="Times New Roman"/>
              </w:rPr>
              <w:t>234.8</w:t>
            </w:r>
          </w:p>
        </w:tc>
        <w:tc>
          <w:tcPr>
            <w:tcW w:w="1487" w:type="dxa"/>
            <w:vAlign w:val="center"/>
          </w:tcPr>
          <w:p w14:paraId="6360E483" w14:textId="77777777" w:rsidR="00EB0FE9" w:rsidRPr="00EB0FE9" w:rsidRDefault="00EB0FE9" w:rsidP="00EB0FE9">
            <w:pPr>
              <w:spacing w:after="120"/>
              <w:contextualSpacing/>
              <w:jc w:val="center"/>
              <w:rPr>
                <w:rFonts w:cs="Times New Roman"/>
              </w:rPr>
            </w:pPr>
            <w:r w:rsidRPr="00EB0FE9">
              <w:rPr>
                <w:rFonts w:cs="Times New Roman"/>
              </w:rPr>
              <w:t>71.1%</w:t>
            </w:r>
          </w:p>
        </w:tc>
      </w:tr>
      <w:tr w:rsidR="00EB0FE9" w:rsidRPr="00EB0FE9" w14:paraId="7A1AC382" w14:textId="77777777" w:rsidTr="004C02CC">
        <w:tc>
          <w:tcPr>
            <w:tcW w:w="7290" w:type="dxa"/>
            <w:vAlign w:val="center"/>
          </w:tcPr>
          <w:p w14:paraId="743F78DF" w14:textId="77777777" w:rsidR="00EB0FE9" w:rsidRPr="00EB0FE9" w:rsidRDefault="00EB0FE9" w:rsidP="00EB0FE9">
            <w:pPr>
              <w:tabs>
                <w:tab w:val="left" w:pos="240"/>
              </w:tabs>
              <w:spacing w:after="120"/>
              <w:contextualSpacing/>
              <w:rPr>
                <w:rFonts w:cs="Times New Roman"/>
                <w:b/>
                <w:bCs/>
              </w:rPr>
            </w:pPr>
            <w:r w:rsidRPr="00EB0FE9">
              <w:rPr>
                <w:rFonts w:cs="Times New Roman"/>
                <w:b/>
                <w:bCs/>
              </w:rPr>
              <w:t xml:space="preserve">    Ընդամենը</w:t>
            </w:r>
          </w:p>
        </w:tc>
        <w:tc>
          <w:tcPr>
            <w:tcW w:w="1439" w:type="dxa"/>
            <w:vAlign w:val="center"/>
          </w:tcPr>
          <w:p w14:paraId="420CF1AE" w14:textId="77777777" w:rsidR="00EB0FE9" w:rsidRPr="00EB0FE9" w:rsidRDefault="00EB0FE9" w:rsidP="00EB0FE9">
            <w:pPr>
              <w:spacing w:after="120"/>
              <w:contextualSpacing/>
              <w:jc w:val="center"/>
              <w:rPr>
                <w:rFonts w:cs="Times New Roman"/>
                <w:b/>
                <w:bCs/>
              </w:rPr>
            </w:pPr>
            <w:r w:rsidRPr="00EB0FE9">
              <w:rPr>
                <w:rFonts w:cs="Times New Roman"/>
                <w:b/>
                <w:bCs/>
              </w:rPr>
              <w:t>3,421</w:t>
            </w:r>
            <w:r w:rsidRPr="00EB0FE9">
              <w:rPr>
                <w:rFonts w:ascii="Cambria Math" w:hAnsi="Cambria Math" w:cs="Cambria Math"/>
                <w:b/>
                <w:bCs/>
              </w:rPr>
              <w:t>․</w:t>
            </w:r>
            <w:r w:rsidRPr="00EB0FE9">
              <w:rPr>
                <w:rFonts w:cs="Times New Roman"/>
                <w:b/>
                <w:bCs/>
              </w:rPr>
              <w:t>1</w:t>
            </w:r>
          </w:p>
        </w:tc>
        <w:tc>
          <w:tcPr>
            <w:tcW w:w="1487" w:type="dxa"/>
            <w:vAlign w:val="center"/>
          </w:tcPr>
          <w:p w14:paraId="05A084FE" w14:textId="77777777" w:rsidR="00EB0FE9" w:rsidRPr="00EB0FE9" w:rsidRDefault="00EB0FE9" w:rsidP="00EB0FE9">
            <w:pPr>
              <w:spacing w:after="120"/>
              <w:contextualSpacing/>
              <w:jc w:val="center"/>
              <w:rPr>
                <w:rFonts w:cs="Times New Roman"/>
                <w:b/>
                <w:bCs/>
              </w:rPr>
            </w:pPr>
            <w:r w:rsidRPr="00EB0FE9">
              <w:rPr>
                <w:rFonts w:cs="Times New Roman"/>
                <w:b/>
                <w:bCs/>
              </w:rPr>
              <w:t>16</w:t>
            </w:r>
            <w:r w:rsidRPr="00EB0FE9">
              <w:rPr>
                <w:rFonts w:ascii="Cambria Math" w:hAnsi="Cambria Math" w:cs="Cambria Math"/>
                <w:b/>
                <w:bCs/>
              </w:rPr>
              <w:t>․</w:t>
            </w:r>
            <w:r w:rsidRPr="00EB0FE9">
              <w:rPr>
                <w:rFonts w:cs="Times New Roman"/>
                <w:b/>
                <w:bCs/>
              </w:rPr>
              <w:t>3%</w:t>
            </w:r>
          </w:p>
        </w:tc>
      </w:tr>
    </w:tbl>
    <w:p w14:paraId="6FCB5E1D" w14:textId="77777777" w:rsidR="00EB0FE9" w:rsidRPr="00EB0FE9" w:rsidRDefault="00EB0FE9" w:rsidP="00EB0FE9">
      <w:pPr>
        <w:spacing w:after="120"/>
        <w:ind w:left="720" w:firstLine="567"/>
        <w:contextualSpacing/>
        <w:rPr>
          <w:rFonts w:eastAsia="Times New Roman" w:cs="Times New Roman"/>
          <w:highlight w:val="red"/>
        </w:rPr>
      </w:pPr>
    </w:p>
    <w:p w14:paraId="67E68388" w14:textId="77777777" w:rsidR="00EB0FE9" w:rsidRPr="00EB0FE9" w:rsidRDefault="00EB0FE9" w:rsidP="00EB0FE9">
      <w:pPr>
        <w:spacing w:after="120"/>
        <w:ind w:firstLine="567"/>
        <w:rPr>
          <w:rFonts w:eastAsia="Times New Roman" w:cs="Times New Roman"/>
        </w:rPr>
      </w:pPr>
      <w:r w:rsidRPr="00EB0FE9">
        <w:rPr>
          <w:rFonts w:eastAsia="Times New Roman" w:cs="Times New Roman"/>
        </w:rPr>
        <w:t>Դրամաշնորհների կատարողականի ցածր ցուցանիշը պայմանավորված է նպատակային ծրագրերի կատարողականով, որը կազմել է նախատեսված ցուցանիշի 16</w:t>
      </w:r>
      <w:r w:rsidRPr="00EB0FE9">
        <w:rPr>
          <w:rFonts w:ascii="Cambria Math" w:eastAsia="Times New Roman" w:hAnsi="Cambria Math" w:cs="Cambria Math"/>
        </w:rPr>
        <w:t>․</w:t>
      </w:r>
      <w:r w:rsidRPr="00EB0FE9">
        <w:rPr>
          <w:rFonts w:eastAsia="Times New Roman" w:cs="Times New Roman"/>
        </w:rPr>
        <w:t>3%-ը: Մասնավորապես, չեն ստացվել 5 ծրագրերով նախատեսված 3.4 մլրդ. դրամ դրամաշնորհները, իսկ 13 ծրագրերի շրջանակներում նախատեսված միջոցները ստացվել են ոչ ամբողջությամբ՝ 18 %-ով, որոնք կազմել են 3.1 մլրդ դրամ:</w:t>
      </w:r>
    </w:p>
    <w:p w14:paraId="1150E222" w14:textId="2F87A8A8" w:rsidR="00EB0FE9" w:rsidRDefault="00EB0FE9" w:rsidP="00EB0FE9">
      <w:pPr>
        <w:spacing w:after="120"/>
        <w:ind w:firstLine="567"/>
        <w:rPr>
          <w:rFonts w:eastAsia="Times New Roman" w:cs="Times New Roman"/>
        </w:rPr>
      </w:pPr>
      <w:r w:rsidRPr="00EB0FE9">
        <w:rPr>
          <w:rFonts w:eastAsia="Times New Roman" w:cs="Times New Roman"/>
        </w:rPr>
        <w:lastRenderedPageBreak/>
        <w:t>2020 թվականի ինն ամիսների ընթացքում պետական բյուջե մուտքագրված պաշտոնական դրամաշնորհները 50.4%-ով կամ 4.7 մլրդ դրամով զիջել են նախորդ տարվա նույն ժամանակահատվածի ցուցանիշը:</w:t>
      </w:r>
    </w:p>
    <w:p w14:paraId="025E0AE7" w14:textId="77777777" w:rsidR="003E57EF" w:rsidRPr="00EB0FE9" w:rsidRDefault="003E57EF" w:rsidP="00EB0FE9">
      <w:pPr>
        <w:spacing w:after="120"/>
        <w:ind w:firstLine="567"/>
        <w:rPr>
          <w:rFonts w:eastAsia="Times New Roman" w:cs="Times New Roman"/>
        </w:rPr>
      </w:pPr>
    </w:p>
    <w:p w14:paraId="66FFF124" w14:textId="77777777" w:rsidR="00EB0FE9" w:rsidRPr="00EB0FE9" w:rsidRDefault="00EB0FE9" w:rsidP="0091527C">
      <w:pPr>
        <w:pStyle w:val="Heading2"/>
        <w:rPr>
          <w:color w:val="000000"/>
        </w:rPr>
      </w:pPr>
      <w:bookmarkStart w:id="11" w:name="_Toc64560570"/>
      <w:r w:rsidRPr="00EB0FE9">
        <w:t>ԱՅԼ ԵԿԱՄՈՒՏՆԵՐԻ ՎԵՐԱԲԵՐՅԱԼ</w:t>
      </w:r>
      <w:bookmarkEnd w:id="11"/>
    </w:p>
    <w:p w14:paraId="03D2D42A" w14:textId="77777777" w:rsidR="00EB0FE9" w:rsidRPr="00EB0FE9" w:rsidRDefault="00EB0FE9" w:rsidP="00EB0FE9">
      <w:pPr>
        <w:spacing w:after="120"/>
        <w:ind w:firstLine="567"/>
        <w:rPr>
          <w:rFonts w:eastAsia="Times New Roman" w:cs="Times New Roman"/>
          <w:color w:val="000000"/>
        </w:rPr>
      </w:pPr>
    </w:p>
    <w:p w14:paraId="4A21F9D1" w14:textId="77777777" w:rsidR="00EB0FE9" w:rsidRPr="00EB0FE9" w:rsidRDefault="00EB0FE9" w:rsidP="00EB0FE9">
      <w:pPr>
        <w:autoSpaceDE w:val="0"/>
        <w:autoSpaceDN w:val="0"/>
        <w:adjustRightInd w:val="0"/>
        <w:spacing w:after="120"/>
        <w:ind w:firstLine="540"/>
        <w:rPr>
          <w:rFonts w:eastAsia="Times New Roman" w:cs="Times New Roman"/>
          <w:color w:val="000000"/>
        </w:rPr>
      </w:pPr>
      <w:r w:rsidRPr="00EB0FE9">
        <w:rPr>
          <w:rFonts w:eastAsia="Times New Roman" w:cs="Times New Roman"/>
          <w:color w:val="000000"/>
        </w:rPr>
        <w:t>ՀՀ պետական բյուջեի այլ եկամուտները 2020 թվականի ինն ամիսներում կազմել են 53,740</w:t>
      </w:r>
      <w:r w:rsidRPr="00EB0FE9">
        <w:rPr>
          <w:rFonts w:ascii="Cambria Math" w:eastAsia="Times New Roman" w:hAnsi="Cambria Math" w:cs="Cambria Math"/>
          <w:color w:val="000000"/>
        </w:rPr>
        <w:t>․</w:t>
      </w:r>
      <w:r w:rsidRPr="00EB0FE9">
        <w:rPr>
          <w:rFonts w:eastAsia="Times New Roman" w:cs="Times New Roman"/>
          <w:color w:val="000000"/>
        </w:rPr>
        <w:t>5 մլն դրամ,որը 4,4%-ով կամ 2.464</w:t>
      </w:r>
      <w:r w:rsidRPr="00EB0FE9">
        <w:rPr>
          <w:rFonts w:ascii="Cambria Math" w:eastAsia="Times New Roman" w:hAnsi="Cambria Math" w:cs="Cambria Math"/>
          <w:color w:val="000000"/>
        </w:rPr>
        <w:t>․</w:t>
      </w:r>
      <w:r w:rsidRPr="00EB0FE9">
        <w:rPr>
          <w:rFonts w:eastAsia="Times New Roman" w:cs="Times New Roman"/>
          <w:color w:val="000000"/>
        </w:rPr>
        <w:t>8 մլն դրամով պակաս է կազմել հաշվետու ժամանակաշրջանի ծրագրային ցուցանիշից, ինչը հիմնականում պայմանավորված է օրենքով և իրավական այլ ակտերով սահմանված՝ պետական բյուջե մուտքագրվող այլ եկամուտների կատարողականով: 2020 թվականի ինն ամիսների այլ եկամուտները նախորդ տարվա նույն հաշվետու ժամանակաշրջանի նկատմամբ պակաս են կազմել շուրջ 10%-ով կամ 5.9 մլրդ դրամով, ինչը հիմնականում պայմանավորված է ապրանքների մատակարարումից և ծառայությունների մատուցումից մուտքերի նվազմամբ: Միաժամանակ՝ աճել են բանկերում և այլ ֆինանսավարկային հաստատություններում բյուջեի ժամանակավոր ազատ միջոցների օգտագործումից ստացված և ռեզիդենտներին տրամադրված վարկերի օգտագործման տոկոսավճարների գծով եկամուտները:</w:t>
      </w:r>
    </w:p>
    <w:p w14:paraId="1479A75D" w14:textId="77777777" w:rsidR="00EB0FE9" w:rsidRPr="00EB0FE9" w:rsidRDefault="00EB0FE9" w:rsidP="00EB0FE9">
      <w:pPr>
        <w:spacing w:after="120"/>
        <w:ind w:firstLine="567"/>
        <w:rPr>
          <w:rFonts w:eastAsia="Times New Roman" w:cs="Times New Roman"/>
          <w:color w:val="000000"/>
        </w:rPr>
      </w:pPr>
    </w:p>
    <w:p w14:paraId="1A16457F" w14:textId="77777777" w:rsidR="00EB0FE9" w:rsidRPr="00EB0FE9" w:rsidRDefault="00EB0FE9" w:rsidP="00EB0FE9">
      <w:pPr>
        <w:spacing w:after="120"/>
        <w:ind w:firstLine="567"/>
        <w:rPr>
          <w:rFonts w:eastAsia="Times New Roman" w:cs="Times New Roman"/>
          <w:color w:val="000000"/>
        </w:rPr>
      </w:pPr>
      <w:r w:rsidRPr="00EB0FE9">
        <w:rPr>
          <w:rFonts w:eastAsia="Times New Roman" w:cs="Times New Roman"/>
          <w:color w:val="000000"/>
        </w:rPr>
        <w:t>Մասնավորապես այլ եկամուտներից՝</w:t>
      </w:r>
    </w:p>
    <w:p w14:paraId="6374E124" w14:textId="77777777" w:rsidR="00EB0FE9" w:rsidRPr="00EB0FE9" w:rsidRDefault="00EB0FE9" w:rsidP="00EB0FE9">
      <w:pPr>
        <w:numPr>
          <w:ilvl w:val="0"/>
          <w:numId w:val="32"/>
        </w:numPr>
        <w:autoSpaceDE w:val="0"/>
        <w:autoSpaceDN w:val="0"/>
        <w:adjustRightInd w:val="0"/>
        <w:spacing w:after="120"/>
        <w:ind w:left="540"/>
        <w:contextualSpacing/>
        <w:rPr>
          <w:rFonts w:eastAsia="Times New Roman" w:cs="Times New Roman"/>
          <w:color w:val="000000"/>
        </w:rPr>
      </w:pPr>
      <w:r w:rsidRPr="00EB0FE9">
        <w:rPr>
          <w:rFonts w:eastAsia="Times New Roman" w:cs="Times New Roman"/>
          <w:color w:val="000000"/>
        </w:rPr>
        <w:t>12</w:t>
      </w:r>
      <w:r w:rsidRPr="00EB0FE9">
        <w:rPr>
          <w:rFonts w:ascii="Cambria Math" w:eastAsia="Times New Roman" w:hAnsi="Cambria Math" w:cs="Cambria Math"/>
          <w:color w:val="000000"/>
        </w:rPr>
        <w:t>․</w:t>
      </w:r>
      <w:r w:rsidRPr="00EB0FE9">
        <w:rPr>
          <w:rFonts w:eastAsia="Times New Roman" w:cs="Times New Roman"/>
          <w:color w:val="000000"/>
        </w:rPr>
        <w:t>2 մլրդ դրամը ստացվել է ապրանքների մատակարարումից և ծառայությունների մատուցումից` 85.1%</w:t>
      </w:r>
      <w:r w:rsidRPr="00EB0FE9">
        <w:rPr>
          <w:rFonts w:eastAsia="Times New Roman" w:cs="Times New Roman"/>
          <w:color w:val="000000"/>
        </w:rPr>
        <w:noBreakHyphen/>
        <w:t>ով ապահովելով իննամսյա ծրագրային ցուցանիշը, իսկ նախորդ տարվա նույն ժամանակահատվածի համեմատ նշված եկամուտները նվազել են 50</w:t>
      </w:r>
      <w:r w:rsidRPr="00EB0FE9">
        <w:rPr>
          <w:rFonts w:ascii="Cambria Math" w:eastAsia="Times New Roman" w:hAnsi="Cambria Math" w:cs="Cambria Math"/>
          <w:color w:val="000000"/>
        </w:rPr>
        <w:t>․</w:t>
      </w:r>
      <w:r w:rsidRPr="00EB0FE9">
        <w:rPr>
          <w:rFonts w:eastAsia="Times New Roman" w:cs="Times New Roman"/>
          <w:color w:val="000000"/>
        </w:rPr>
        <w:t>1%-ով կամ 12</w:t>
      </w:r>
      <w:r w:rsidRPr="00EB0FE9">
        <w:rPr>
          <w:rFonts w:ascii="Cambria Math" w:eastAsia="Times New Roman" w:hAnsi="Cambria Math" w:cs="Cambria Math"/>
          <w:color w:val="000000"/>
        </w:rPr>
        <w:t>․</w:t>
      </w:r>
      <w:r w:rsidRPr="00EB0FE9">
        <w:rPr>
          <w:rFonts w:eastAsia="Times New Roman" w:cs="Times New Roman"/>
          <w:color w:val="000000"/>
        </w:rPr>
        <w:t>3 մլրդ դրամով, ինչը հիմնականում պայմանավորված է ՀՀ ոստիկանության կողմից մատուցվող ծառայությունների դիմաց ստացված մուտքերի նվազմամբ,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w:t>
      </w:r>
    </w:p>
    <w:p w14:paraId="15EE1146" w14:textId="77777777" w:rsidR="00EB0FE9" w:rsidRPr="00EB0FE9" w:rsidRDefault="00EB0FE9" w:rsidP="00EB0FE9">
      <w:pPr>
        <w:autoSpaceDE w:val="0"/>
        <w:autoSpaceDN w:val="0"/>
        <w:adjustRightInd w:val="0"/>
        <w:spacing w:after="120"/>
        <w:ind w:left="540"/>
        <w:contextualSpacing/>
        <w:rPr>
          <w:rFonts w:eastAsia="Times New Roman" w:cs="Times New Roman"/>
          <w:color w:val="000000"/>
        </w:rPr>
      </w:pPr>
    </w:p>
    <w:p w14:paraId="6919732F" w14:textId="77777777" w:rsidR="00EB0FE9" w:rsidRPr="00EB0FE9" w:rsidRDefault="00EB0FE9" w:rsidP="00EB0FE9">
      <w:pPr>
        <w:numPr>
          <w:ilvl w:val="0"/>
          <w:numId w:val="20"/>
        </w:numPr>
        <w:autoSpaceDE w:val="0"/>
        <w:autoSpaceDN w:val="0"/>
        <w:adjustRightInd w:val="0"/>
        <w:spacing w:after="120"/>
        <w:ind w:left="540"/>
        <w:contextualSpacing/>
        <w:rPr>
          <w:rFonts w:eastAsia="Times New Roman" w:cs="Times New Roman"/>
          <w:color w:val="000000"/>
        </w:rPr>
      </w:pPr>
      <w:r w:rsidRPr="00EB0FE9">
        <w:rPr>
          <w:rFonts w:eastAsia="Times New Roman" w:cs="Times New Roman"/>
          <w:color w:val="000000"/>
        </w:rPr>
        <w:t xml:space="preserve">13.1 մլրդ դրամը կազմել է հաշվետու ժամանակահատվածում բանկերում և այլ ֆինանսավարկային հաստատություններում բյուջեի ժամանակավոր ազատ միջոցների օգտագործումից ստացված տոկոսավճարները՝ 123.7%-ով (7.3 մլրդ դրամով) </w:t>
      </w:r>
      <w:r w:rsidRPr="00EB0FE9">
        <w:rPr>
          <w:rFonts w:eastAsia="Times New Roman" w:cs="Times New Roman"/>
          <w:color w:val="000000"/>
        </w:rPr>
        <w:lastRenderedPageBreak/>
        <w:t>գերազանցելով ինն ամսվա ծրագրված մուտքերը և 51.7%-ով (4.5 մլրդ դրամով)՝ նախորդ տարվա նույն ժամանակահատվածի ցուցանիշը։ 2020 թվականի ինն ամիսների ընթացքում ՀՀ կենտրոնական բանկի և ՀՀ ֆինանսների նախարարության միջև կնքվել է թվով 133 ավանդային պայմանագիր` 1,045 մլրդ դրամ ընդհանուր գումարով (նախորդ տարվա նույն ժամանակահատվածում կնքվել էր 95 ավանդային պայմանագիր` 736 մլրդ դրամ ընդհանուր գումարով): Հաշվետու ժամանակահատվածում ներդրված ավանդների միջին մեծությունը կազմել է 8,101 մլն դրամ, որը մոտ 0.4 մլրդ դրամով գերազանցում է նախորդ տարվա նույն ժամանակահատվածի համանուն ցուցանիշը: Ծրագրված ցուցանիշի գերազանցումը պայմանավորված է 2020 թվականի ինն ամիսների ընթացքում պետական բյուջեի եկամուտների համեմատ ծախսերի համեմատաբար ցածր կատարողականով, որի պայմաններում առաջացել են լրացուցիչ ժամանակավոր ազատ դրամական միջոցներ, ինչպես նաև ֆինանսական կարիքի ապահովման նպատակով պետական գանձապետական պարտատոմսերի լրացուցիչ թողարկումներով, որոնց տեղաբաշխումից մուտքագրված միջոցները ևս ներդրվել են՝ ապահովելով լրացուցիչ եկամուտ: Վերոհիշյալ հանգամանքներով, ինչպես նաև 2019 թվականի ինն ամիսների համեմատ 2020 թվականի նույն ժամանակահատվածում 149 մլրդ դրամով ավելի շատ ավանդների փոխանցմամբ է պայմանավորված նախորդ տարվա նույն ժամանակահատվածի համեմատ զուտ տոկոսագումարների աճը:</w:t>
      </w:r>
    </w:p>
    <w:p w14:paraId="1064BA3A" w14:textId="77777777" w:rsidR="00EB0FE9" w:rsidRPr="00EB0FE9" w:rsidRDefault="00EB0FE9" w:rsidP="00EB0FE9">
      <w:pPr>
        <w:autoSpaceDE w:val="0"/>
        <w:autoSpaceDN w:val="0"/>
        <w:adjustRightInd w:val="0"/>
        <w:spacing w:after="120"/>
        <w:ind w:left="540"/>
        <w:contextualSpacing/>
        <w:rPr>
          <w:rFonts w:eastAsia="Times New Roman" w:cs="Times New Roman"/>
          <w:color w:val="000000"/>
        </w:rPr>
      </w:pPr>
    </w:p>
    <w:p w14:paraId="034908FC" w14:textId="77777777" w:rsidR="00EB0FE9" w:rsidRPr="00EB0FE9" w:rsidRDefault="00EB0FE9" w:rsidP="00EB0FE9">
      <w:pPr>
        <w:numPr>
          <w:ilvl w:val="0"/>
          <w:numId w:val="20"/>
        </w:numPr>
        <w:autoSpaceDE w:val="0"/>
        <w:autoSpaceDN w:val="0"/>
        <w:adjustRightInd w:val="0"/>
        <w:spacing w:after="120"/>
        <w:ind w:left="540"/>
        <w:contextualSpacing/>
        <w:rPr>
          <w:rFonts w:eastAsia="Times New Roman" w:cs="Times New Roman"/>
          <w:color w:val="000000"/>
        </w:rPr>
      </w:pPr>
      <w:r w:rsidRPr="00EB0FE9">
        <w:rPr>
          <w:rFonts w:eastAsia="Times New Roman" w:cs="Times New Roman"/>
          <w:color w:val="000000"/>
        </w:rPr>
        <w:t>10</w:t>
      </w:r>
      <w:r w:rsidRPr="00EB0FE9">
        <w:rPr>
          <w:rFonts w:ascii="Cambria Math" w:eastAsia="Times New Roman" w:hAnsi="Cambria Math" w:cs="Cambria Math"/>
          <w:color w:val="000000"/>
        </w:rPr>
        <w:t>․</w:t>
      </w:r>
      <w:r w:rsidRPr="00EB0FE9">
        <w:rPr>
          <w:rFonts w:eastAsia="Times New Roman" w:cs="Times New Roman"/>
          <w:color w:val="000000"/>
        </w:rPr>
        <w:t>8 մլրդ դրամը կազմել է պետության կողմից տրված վարկերի օգտագործման դիմաց հաշվետու ժամանակահատվածում ստացված տոկոսավճարները, որոնք 44.2%</w:t>
      </w:r>
      <w:r w:rsidRPr="00EB0FE9">
        <w:rPr>
          <w:rFonts w:eastAsia="Times New Roman" w:cs="Times New Roman"/>
          <w:color w:val="000000"/>
        </w:rPr>
        <w:noBreakHyphen/>
        <w:t>ով (3.3 մլրդ դրամով) գերազանցելով ինն ամիսների համար ծրագրված մուտքերը և 60.1%-ով (4.1 մլրդ դրամով)՝ նախորդ տարվա նույն ժամանակահատվածի ցուցանիշը: Մասնավորապես` 10.7</w:t>
      </w:r>
      <w:r w:rsidRPr="00EB0FE9">
        <w:rPr>
          <w:rFonts w:ascii="Calibri" w:eastAsia="Times New Roman" w:hAnsi="Calibri" w:cs="Calibri"/>
          <w:color w:val="000000"/>
        </w:rPr>
        <w:t> </w:t>
      </w:r>
      <w:r w:rsidRPr="00EB0FE9">
        <w:rPr>
          <w:rFonts w:eastAsia="Times New Roman" w:cs="Times New Roman"/>
          <w:color w:val="000000"/>
        </w:rPr>
        <w:t>մլրդ դրամ են կազմել ռեզիդենտներին տրամադրված վարկերի օգտագործման տոկոսավճարները, 87</w:t>
      </w:r>
      <w:r w:rsidRPr="00EB0FE9">
        <w:rPr>
          <w:rFonts w:ascii="Calibri" w:eastAsia="Times New Roman" w:hAnsi="Calibri" w:cs="Calibri"/>
          <w:color w:val="000000"/>
        </w:rPr>
        <w:t> </w:t>
      </w:r>
      <w:r w:rsidRPr="00EB0FE9">
        <w:rPr>
          <w:rFonts w:eastAsia="Times New Roman" w:cs="Times New Roman"/>
          <w:color w:val="000000"/>
        </w:rPr>
        <w:t>մլն դրամ՝ ոչ ռեզիդենտներին տրամադրված վարկերի օգտագործման տոկոսավճարները, որոնք կազմել են իննամսյա ծրագրային ցուցանիշների համապատասխանաբար 144.7%-ը և 100%-ը: Նախորդ տարվա նախորդ տարվա նույն ժամանակահատվածի համեմատ աճը նույնպես պայմանավորված է ռեզիդենտներին տրամադրված վարկերի օգտագործման տոկոսավճարների աճով, որը կազմել է 61.3%:</w:t>
      </w:r>
    </w:p>
    <w:p w14:paraId="23EA4AB8" w14:textId="77777777" w:rsidR="00EB0FE9" w:rsidRPr="00EB0FE9" w:rsidRDefault="00EB0FE9" w:rsidP="00EB0FE9">
      <w:pPr>
        <w:autoSpaceDE w:val="0"/>
        <w:autoSpaceDN w:val="0"/>
        <w:adjustRightInd w:val="0"/>
        <w:spacing w:after="120"/>
        <w:ind w:left="540"/>
        <w:contextualSpacing/>
        <w:rPr>
          <w:rFonts w:eastAsia="Times New Roman" w:cs="Times New Roman"/>
          <w:color w:val="000000"/>
        </w:rPr>
      </w:pPr>
    </w:p>
    <w:p w14:paraId="6E413DE6" w14:textId="77777777" w:rsidR="00EB0FE9" w:rsidRPr="00EB0FE9" w:rsidRDefault="00EB0FE9" w:rsidP="00EB0FE9">
      <w:pPr>
        <w:numPr>
          <w:ilvl w:val="0"/>
          <w:numId w:val="20"/>
        </w:numPr>
        <w:spacing w:after="120"/>
        <w:ind w:left="567"/>
        <w:contextualSpacing/>
        <w:rPr>
          <w:rFonts w:eastAsia="Times New Roman" w:cs="Times New Roman"/>
          <w:color w:val="000000"/>
        </w:rPr>
      </w:pPr>
      <w:r w:rsidRPr="00EB0FE9">
        <w:rPr>
          <w:rFonts w:eastAsia="Times New Roman" w:cs="Times New Roman"/>
          <w:color w:val="000000"/>
        </w:rPr>
        <w:t>8</w:t>
      </w:r>
      <w:r w:rsidRPr="00EB0FE9">
        <w:rPr>
          <w:rFonts w:ascii="Cambria Math" w:eastAsia="Times New Roman" w:hAnsi="Cambria Math" w:cs="Cambria Math"/>
          <w:color w:val="000000"/>
        </w:rPr>
        <w:t>․</w:t>
      </w:r>
      <w:r w:rsidRPr="00EB0FE9">
        <w:rPr>
          <w:rFonts w:eastAsia="Times New Roman" w:cs="Times New Roman"/>
          <w:color w:val="000000"/>
        </w:rPr>
        <w:t xml:space="preserve">5 մլրդ դրամը կազմել է 2020 թվականի ինն ամիսների ընթացքում իրավախախտումների համար գործադիր, դատական մարմինների կողմից կիրառվող </w:t>
      </w:r>
      <w:r w:rsidRPr="00EB0FE9">
        <w:rPr>
          <w:rFonts w:eastAsia="Times New Roman" w:cs="Times New Roman"/>
          <w:color w:val="000000"/>
        </w:rPr>
        <w:lastRenderedPageBreak/>
        <w:t>պատժամիջոցներից մուտքերը՝ 87.5%-ով ապահովելով առաջին կիսամյակի ծրագրված մուտքերը և 19</w:t>
      </w:r>
      <w:r w:rsidRPr="00EB0FE9">
        <w:rPr>
          <w:rFonts w:ascii="Cambria Math" w:eastAsia="Times New Roman" w:hAnsi="Cambria Math" w:cs="Cambria Math"/>
          <w:color w:val="000000"/>
        </w:rPr>
        <w:t>․</w:t>
      </w:r>
      <w:r w:rsidRPr="00EB0FE9">
        <w:rPr>
          <w:rFonts w:eastAsia="Times New Roman" w:cs="Times New Roman"/>
          <w:color w:val="000000"/>
        </w:rPr>
        <w:t>7%-ով կամ 2.1 մլրդ դրամով պակաս կազվելով նախորդ տարվա նույն ժամանակահատվածի ցուցանիշը, ինչը հիմնականում պայմանավորված ՀՀ ոստիկանության, ՀՀ վարչապետի աշխատակազմի Բնապահպանության և ընդերքի տեսչական մարմնի և ՀՀ պաշտպանության նախարարության կողմից կիրառված պատժամիջոցների արդյունքում գանձված գումարների նվազմամբ:</w:t>
      </w:r>
    </w:p>
    <w:p w14:paraId="57F09538" w14:textId="77777777" w:rsidR="00EB0FE9" w:rsidRPr="00EB0FE9" w:rsidRDefault="00EB0FE9" w:rsidP="00EB0FE9">
      <w:pPr>
        <w:spacing w:after="120"/>
        <w:ind w:left="720" w:firstLine="567"/>
        <w:contextualSpacing/>
        <w:rPr>
          <w:rFonts w:eastAsia="Times New Roman" w:cs="Times New Roman"/>
          <w:color w:val="000000"/>
        </w:rPr>
      </w:pPr>
    </w:p>
    <w:p w14:paraId="43995824" w14:textId="77777777" w:rsidR="00EB0FE9" w:rsidRPr="00EB0FE9" w:rsidRDefault="00EB0FE9" w:rsidP="00EB0FE9">
      <w:pPr>
        <w:spacing w:after="120"/>
        <w:ind w:left="567"/>
        <w:contextualSpacing/>
        <w:rPr>
          <w:rFonts w:eastAsia="Times New Roman" w:cs="Times New Roman"/>
          <w:color w:val="000000"/>
        </w:rPr>
      </w:pPr>
    </w:p>
    <w:p w14:paraId="6CD72BE6" w14:textId="77777777" w:rsidR="00EB0FE9" w:rsidRPr="00EB0FE9" w:rsidRDefault="00EB0FE9" w:rsidP="00EB0FE9">
      <w:pPr>
        <w:numPr>
          <w:ilvl w:val="0"/>
          <w:numId w:val="20"/>
        </w:numPr>
        <w:autoSpaceDE w:val="0"/>
        <w:autoSpaceDN w:val="0"/>
        <w:adjustRightInd w:val="0"/>
        <w:spacing w:after="120"/>
        <w:ind w:left="538" w:hanging="357"/>
        <w:contextualSpacing/>
        <w:rPr>
          <w:rFonts w:eastAsia="Times New Roman" w:cs="Times New Roman"/>
          <w:color w:val="000000"/>
        </w:rPr>
      </w:pPr>
      <w:r w:rsidRPr="00EB0FE9">
        <w:rPr>
          <w:rFonts w:eastAsia="Times New Roman" w:cs="Times New Roman"/>
          <w:color w:val="000000"/>
        </w:rPr>
        <w:t>3,480.7 մլն դրամը կազմել են իրավաբանական անձանց կապիտալում կատարված ներդրումներից ստացված շահութաբաժինները՝ 338%-ով գերազանցելով ինն ամսվա ծրագրված մուտքերը և 2.4 անգամ (2.024 մլրդ դրամով) գերազանցելով նախորդ տարվա նույն ժամանակահատվածի ցուցանիշը: Աճը պայմանավորված է հիմնականում ՀՀ տարածքային կառավարման և ենթակառուցվածքների նախարարության (ՀՀ ՏԿԵՆ) քաղաքացիական ավիացիայի կոմիտեի համակարգի Հայաէրոնավիգացիա ՓԲԸ կողմից տարեկան կտրվածքով 315.6 մլն դրամ ծրագրավորված (կանխատեսված) ցուցանիշի դիմաց 1,987.6 մլն դրամ (որից` 1,202.0 մլն դրամը լրացուցիչ) շահութաբաժնի վճարմամբ:</w:t>
      </w:r>
    </w:p>
    <w:p w14:paraId="15BC1A0F" w14:textId="77777777" w:rsidR="00EB0FE9" w:rsidRPr="00EB0FE9" w:rsidRDefault="00EB0FE9" w:rsidP="00EB0FE9">
      <w:pPr>
        <w:autoSpaceDE w:val="0"/>
        <w:autoSpaceDN w:val="0"/>
        <w:adjustRightInd w:val="0"/>
        <w:spacing w:after="120"/>
        <w:ind w:left="538"/>
        <w:contextualSpacing/>
        <w:rPr>
          <w:rFonts w:eastAsia="Times New Roman" w:cs="Times New Roman"/>
          <w:color w:val="000000"/>
        </w:rPr>
      </w:pPr>
    </w:p>
    <w:p w14:paraId="20D8A7C6" w14:textId="60604099" w:rsidR="00EB0FE9" w:rsidRDefault="00EB0FE9" w:rsidP="003E57EF">
      <w:pPr>
        <w:ind w:firstLine="567"/>
      </w:pPr>
      <w:r w:rsidRPr="00EB0FE9">
        <w:rPr>
          <w:rFonts w:eastAsia="Times New Roman" w:cs="Times New Roman"/>
          <w:color w:val="000000"/>
        </w:rPr>
        <w:t>1</w:t>
      </w:r>
      <w:r w:rsidRPr="00EB0FE9">
        <w:rPr>
          <w:rFonts w:ascii="Cambria Math" w:eastAsia="Times New Roman" w:hAnsi="Cambria Math" w:cs="Cambria Math"/>
          <w:color w:val="000000"/>
        </w:rPr>
        <w:t>․</w:t>
      </w:r>
      <w:r w:rsidRPr="00EB0FE9">
        <w:rPr>
          <w:rFonts w:eastAsia="Times New Roman" w:cs="Times New Roman"/>
          <w:color w:val="000000"/>
        </w:rPr>
        <w:t>6 մլրդ դրամը կազմել են այլ կատեգորիաներում չդասակարգված տրանսֆերտները՝  6.2%-ով գերազանցելով ինն ամիսների ծրագիրը և 4.8 անգամ՝ նախորդ տարվա նույն ժամանակահատվածի մուտքերը: Ստացված միջոցներից ավելի քան 1.1 մլրդ դրամը կազմել է ՀՀ կորոնավիրուսային վարակի (COVID-19) կանխարգելման և հաղթահարման ապահովման համար ֆիզիկական անձանց և կազմակերպությունների կողմից պետությանը ֆինանսական աջակցության նպատակով բացված գանձապետական հաշվի մուտքը</w:t>
      </w:r>
      <w:r>
        <w:rPr>
          <w:rFonts w:eastAsia="Times New Roman" w:cs="Times New Roman"/>
          <w:color w:val="000000"/>
        </w:rPr>
        <w:t>։</w:t>
      </w:r>
    </w:p>
    <w:p w14:paraId="6ECAF65A" w14:textId="77777777" w:rsidR="00EB0FE9" w:rsidRDefault="00EB0FE9" w:rsidP="00C60AA9"/>
    <w:p w14:paraId="25DA3908" w14:textId="4A3FD63A" w:rsidR="00187707" w:rsidRDefault="00187707" w:rsidP="00C60AA9"/>
    <w:p w14:paraId="0E0A4B3C" w14:textId="459B5208" w:rsidR="004C02CC" w:rsidRDefault="004C02CC">
      <w:pPr>
        <w:spacing w:line="259" w:lineRule="auto"/>
        <w:jc w:val="left"/>
      </w:pPr>
      <w:r>
        <w:br w:type="page"/>
      </w:r>
    </w:p>
    <w:p w14:paraId="2D4F815D" w14:textId="071B9290" w:rsidR="0052331E" w:rsidRPr="00221E48" w:rsidRDefault="0052331E" w:rsidP="00DC781E">
      <w:pPr>
        <w:pStyle w:val="VP1"/>
        <w:ind w:left="851" w:hanging="567"/>
        <w:rPr>
          <w:lang w:val="hy-AM"/>
        </w:rPr>
      </w:pPr>
      <w:bookmarkStart w:id="12" w:name="_Toc64560571"/>
      <w:r w:rsidRPr="00221E48">
        <w:rPr>
          <w:lang w:val="hy-AM"/>
        </w:rPr>
        <w:lastRenderedPageBreak/>
        <w:t>ՖԻՆԱՆՍՆԵՐԻ ՆԱԽԱՐԱՐՈՒԹՅԱՆ ԿՈՂՄԻՑ ԻՐԱԿԱՆԱՑՎԱԾ ԾԱԽՍԵՐԻ ՎԵՐԱԲԵՐՅԱԼ</w:t>
      </w:r>
      <w:bookmarkEnd w:id="12"/>
    </w:p>
    <w:p w14:paraId="5E2293D1" w14:textId="32D628A8" w:rsidR="0052331E" w:rsidRDefault="0052331E" w:rsidP="00C60AA9">
      <w:pPr>
        <w:rPr>
          <w:b/>
        </w:rPr>
      </w:pPr>
    </w:p>
    <w:p w14:paraId="56B3D3CF"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 xml:space="preserve">ՀՀ 2020 թվականի պետական բյուջեի մասին օրենքով ֆինանսների նախարարության կողմից իրականացվող ծախսերի տարեկան ճշտված պլանը սահմանվել է </w:t>
      </w:r>
      <w:r w:rsidRPr="00170E4B">
        <w:rPr>
          <w:rFonts w:eastAsia="Times New Roman" w:cs="Calibri"/>
          <w:color w:val="000000"/>
        </w:rPr>
        <w:t>227,134,844.87 հազ.</w:t>
      </w:r>
      <w:r w:rsidRPr="00170E4B">
        <w:rPr>
          <w:rFonts w:eastAsia="Times New Roman" w:cs="Times New Roman"/>
        </w:rPr>
        <w:t xml:space="preserve">դրամ։ 2020 թվականի ինն ամիսների ճշտված պլանը՝ </w:t>
      </w:r>
      <w:r w:rsidRPr="00170E4B">
        <w:rPr>
          <w:rFonts w:eastAsia="Times New Roman" w:cs="Calibri"/>
          <w:color w:val="000000"/>
        </w:rPr>
        <w:t>165,678,410.87 հազ.</w:t>
      </w:r>
      <w:r w:rsidRPr="00170E4B">
        <w:rPr>
          <w:rFonts w:eastAsia="Times New Roman" w:cs="Times New Roman"/>
        </w:rPr>
        <w:t>դրամ։</w:t>
      </w:r>
    </w:p>
    <w:p w14:paraId="4BD19CAB"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 xml:space="preserve">Ֆինանսների նախարարության կողմից իրականացված ծախսը կազմել է </w:t>
      </w:r>
      <w:r w:rsidRPr="00170E4B">
        <w:rPr>
          <w:rFonts w:eastAsia="Times New Roman" w:cs="Calibri"/>
          <w:color w:val="000000"/>
        </w:rPr>
        <w:t>161,257,188.80 հազ.</w:t>
      </w:r>
      <w:r w:rsidRPr="00170E4B">
        <w:rPr>
          <w:rFonts w:eastAsia="Times New Roman" w:cs="Times New Roman"/>
        </w:rPr>
        <w:t>դրամ։ Կատարողականը կազմել է 97%։</w:t>
      </w:r>
    </w:p>
    <w:p w14:paraId="43741840" w14:textId="77777777" w:rsidR="00170E4B" w:rsidRPr="00170E4B" w:rsidRDefault="00170E4B" w:rsidP="00170E4B">
      <w:pPr>
        <w:spacing w:after="120"/>
        <w:ind w:firstLine="567"/>
        <w:rPr>
          <w:rFonts w:eastAsia="Times New Roman" w:cs="Times New Roman"/>
        </w:rPr>
      </w:pPr>
    </w:p>
    <w:p w14:paraId="57D317B4"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ՀՀ Ֆինանսների նախարարության 2020 թվականի ինն ամիսների բյուջեի ծախսերի կատարողականը ըստ ծրագրերի (միջոցառումների) հետևյալն է.</w:t>
      </w:r>
    </w:p>
    <w:p w14:paraId="58414708" w14:textId="77777777" w:rsidR="00170E4B" w:rsidRPr="00170E4B" w:rsidRDefault="00170E4B" w:rsidP="00170E4B">
      <w:pPr>
        <w:spacing w:after="0"/>
        <w:ind w:firstLine="567"/>
        <w:jc w:val="right"/>
        <w:rPr>
          <w:rFonts w:eastAsia="Times New Roman" w:cs="Times New Roman"/>
        </w:rPr>
      </w:pPr>
    </w:p>
    <w:p w14:paraId="5B4ED44C" w14:textId="77777777" w:rsidR="00170E4B" w:rsidRPr="00170E4B" w:rsidRDefault="00170E4B" w:rsidP="00170E4B">
      <w:pPr>
        <w:spacing w:after="0"/>
        <w:ind w:firstLine="567"/>
        <w:jc w:val="right"/>
        <w:rPr>
          <w:rFonts w:eastAsia="Times New Roman" w:cs="Times New Roman"/>
          <w:sz w:val="22"/>
          <w:szCs w:val="22"/>
        </w:rPr>
      </w:pPr>
      <w:r w:rsidRPr="00170E4B">
        <w:rPr>
          <w:rFonts w:eastAsia="Times New Roman" w:cs="Times New Roman"/>
          <w:sz w:val="22"/>
          <w:szCs w:val="22"/>
        </w:rPr>
        <w:t>Աղյուսակ 7</w:t>
      </w:r>
    </w:p>
    <w:p w14:paraId="7A335201" w14:textId="77777777" w:rsidR="00170E4B" w:rsidRPr="00170E4B" w:rsidRDefault="00170E4B" w:rsidP="00170E4B">
      <w:pPr>
        <w:spacing w:after="0"/>
        <w:ind w:firstLine="567"/>
        <w:jc w:val="right"/>
        <w:rPr>
          <w:rFonts w:eastAsia="Times New Roman" w:cs="Times New Roman"/>
          <w:sz w:val="22"/>
          <w:szCs w:val="22"/>
        </w:rPr>
      </w:pPr>
      <w:r w:rsidRPr="00170E4B">
        <w:rPr>
          <w:rFonts w:eastAsia="Times New Roman" w:cs="Times New Roman"/>
          <w:sz w:val="22"/>
          <w:szCs w:val="22"/>
        </w:rPr>
        <w:t>Հազ. դրամ</w:t>
      </w:r>
    </w:p>
    <w:tbl>
      <w:tblPr>
        <w:tblW w:w="11056" w:type="dxa"/>
        <w:tblInd w:w="-572" w:type="dxa"/>
        <w:tblLayout w:type="fixed"/>
        <w:tblLook w:val="04A0" w:firstRow="1" w:lastRow="0" w:firstColumn="1" w:lastColumn="0" w:noHBand="0" w:noVBand="1"/>
      </w:tblPr>
      <w:tblGrid>
        <w:gridCol w:w="851"/>
        <w:gridCol w:w="4252"/>
        <w:gridCol w:w="1673"/>
        <w:gridCol w:w="1701"/>
        <w:gridCol w:w="1587"/>
        <w:gridCol w:w="992"/>
      </w:tblGrid>
      <w:tr w:rsidR="00170E4B" w:rsidRPr="00170E4B" w14:paraId="3C0E676D" w14:textId="77777777" w:rsidTr="00D27B96">
        <w:trPr>
          <w:trHeight w:val="14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DEDDF" w14:textId="77777777" w:rsidR="00170E4B" w:rsidRPr="00170E4B" w:rsidRDefault="00170E4B" w:rsidP="00170E4B">
            <w:pPr>
              <w:spacing w:after="0"/>
              <w:ind w:left="-102" w:right="-104" w:firstLine="22"/>
              <w:jc w:val="center"/>
              <w:rPr>
                <w:rFonts w:eastAsia="Times New Roman" w:cs="Times New Roman"/>
                <w:b/>
                <w:bCs/>
                <w:sz w:val="22"/>
                <w:szCs w:val="22"/>
              </w:rPr>
            </w:pPr>
            <w:r w:rsidRPr="00170E4B">
              <w:rPr>
                <w:rFonts w:eastAsia="Times New Roman" w:cs="Times New Roman"/>
                <w:b/>
                <w:bCs/>
                <w:sz w:val="20"/>
                <w:szCs w:val="20"/>
              </w:rPr>
              <w:t>Ծրագրի կոդը</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FB4114" w14:textId="77777777" w:rsidR="00170E4B" w:rsidRPr="00170E4B" w:rsidRDefault="00170E4B" w:rsidP="00170E4B">
            <w:pPr>
              <w:spacing w:after="0"/>
              <w:jc w:val="center"/>
              <w:rPr>
                <w:rFonts w:eastAsia="Times New Roman" w:cs="Times New Roman"/>
                <w:b/>
                <w:bCs/>
                <w:sz w:val="22"/>
                <w:szCs w:val="22"/>
              </w:rPr>
            </w:pPr>
            <w:r w:rsidRPr="00170E4B">
              <w:rPr>
                <w:rFonts w:eastAsia="Times New Roman" w:cs="Times New Roman"/>
                <w:b/>
                <w:bCs/>
                <w:sz w:val="22"/>
                <w:szCs w:val="22"/>
              </w:rPr>
              <w:t>Միջոցառում, հոդված</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72FC7787" w14:textId="77777777" w:rsidR="00170E4B" w:rsidRPr="00170E4B" w:rsidRDefault="00170E4B" w:rsidP="00170E4B">
            <w:pPr>
              <w:spacing w:after="0"/>
              <w:jc w:val="center"/>
              <w:rPr>
                <w:rFonts w:eastAsia="Times New Roman" w:cs="Times New Roman"/>
                <w:b/>
                <w:bCs/>
                <w:sz w:val="22"/>
                <w:szCs w:val="22"/>
              </w:rPr>
            </w:pPr>
            <w:r w:rsidRPr="00170E4B">
              <w:rPr>
                <w:rFonts w:eastAsia="Times New Roman" w:cs="Times New Roman"/>
                <w:b/>
                <w:bCs/>
                <w:sz w:val="22"/>
                <w:szCs w:val="22"/>
              </w:rPr>
              <w:t>Տարեկան ճշտված պլան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A825906" w14:textId="77777777" w:rsidR="00170E4B" w:rsidRPr="00170E4B" w:rsidRDefault="00170E4B" w:rsidP="00170E4B">
            <w:pPr>
              <w:spacing w:after="0"/>
              <w:jc w:val="center"/>
              <w:rPr>
                <w:rFonts w:eastAsia="Times New Roman" w:cs="Times New Roman"/>
                <w:b/>
                <w:bCs/>
                <w:sz w:val="22"/>
                <w:szCs w:val="22"/>
              </w:rPr>
            </w:pPr>
            <w:r w:rsidRPr="00170E4B">
              <w:rPr>
                <w:rFonts w:eastAsia="Times New Roman" w:cs="Times New Roman"/>
                <w:b/>
                <w:bCs/>
                <w:sz w:val="22"/>
                <w:szCs w:val="22"/>
              </w:rPr>
              <w:t>Հաշվետու ժամանակահատվածի ճշտված պլան</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559E1312" w14:textId="77777777" w:rsidR="00170E4B" w:rsidRPr="00170E4B" w:rsidRDefault="00170E4B" w:rsidP="00170E4B">
            <w:pPr>
              <w:spacing w:after="0"/>
              <w:ind w:left="-77"/>
              <w:jc w:val="center"/>
              <w:rPr>
                <w:rFonts w:eastAsia="Times New Roman" w:cs="Times New Roman"/>
                <w:b/>
                <w:bCs/>
                <w:sz w:val="22"/>
                <w:szCs w:val="22"/>
              </w:rPr>
            </w:pPr>
            <w:r w:rsidRPr="00170E4B">
              <w:rPr>
                <w:rFonts w:eastAsia="Times New Roman" w:cs="Times New Roman"/>
                <w:b/>
                <w:bCs/>
                <w:sz w:val="22"/>
                <w:szCs w:val="22"/>
              </w:rPr>
              <w:t>Փաստ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4E75DA" w14:textId="77777777" w:rsidR="00170E4B" w:rsidRPr="00170E4B" w:rsidRDefault="00170E4B" w:rsidP="00170E4B">
            <w:pPr>
              <w:spacing w:after="0"/>
              <w:jc w:val="center"/>
              <w:rPr>
                <w:rFonts w:eastAsia="Times New Roman" w:cs="Times New Roman"/>
                <w:b/>
                <w:bCs/>
                <w:sz w:val="22"/>
                <w:szCs w:val="22"/>
              </w:rPr>
            </w:pPr>
            <w:r w:rsidRPr="00170E4B">
              <w:rPr>
                <w:rFonts w:eastAsia="Times New Roman" w:cs="Times New Roman"/>
                <w:b/>
                <w:bCs/>
                <w:sz w:val="22"/>
                <w:szCs w:val="22"/>
              </w:rPr>
              <w:t>Կատարման</w:t>
            </w:r>
          </w:p>
          <w:p w14:paraId="590BFDA4" w14:textId="77777777" w:rsidR="00170E4B" w:rsidRPr="00170E4B" w:rsidRDefault="00170E4B" w:rsidP="00170E4B">
            <w:pPr>
              <w:spacing w:after="0"/>
              <w:ind w:left="-100"/>
              <w:jc w:val="center"/>
              <w:rPr>
                <w:rFonts w:eastAsia="Times New Roman" w:cs="Times New Roman"/>
                <w:b/>
                <w:bCs/>
                <w:sz w:val="22"/>
                <w:szCs w:val="22"/>
              </w:rPr>
            </w:pPr>
            <w:r w:rsidRPr="00170E4B">
              <w:rPr>
                <w:rFonts w:eastAsia="Times New Roman" w:cs="Times New Roman"/>
                <w:b/>
                <w:bCs/>
                <w:sz w:val="22"/>
                <w:szCs w:val="22"/>
              </w:rPr>
              <w:t>%-ը</w:t>
            </w:r>
          </w:p>
        </w:tc>
      </w:tr>
      <w:tr w:rsidR="00170E4B" w:rsidRPr="00170E4B" w14:paraId="6AB435A5" w14:textId="77777777" w:rsidTr="002F56CA">
        <w:trPr>
          <w:trHeight w:val="550"/>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A29B30" w14:textId="77777777" w:rsidR="00170E4B" w:rsidRPr="00170E4B" w:rsidRDefault="00170E4B" w:rsidP="00170E4B">
            <w:pPr>
              <w:spacing w:after="0"/>
              <w:rPr>
                <w:rFonts w:eastAsia="Times New Roman" w:cs="Times New Roman"/>
                <w:sz w:val="20"/>
                <w:szCs w:val="20"/>
                <w:highlight w:val="red"/>
              </w:rPr>
            </w:pPr>
            <w:r w:rsidRPr="00170E4B">
              <w:rPr>
                <w:rFonts w:eastAsia="Times New Roman" w:cs="Times New Roman"/>
                <w:sz w:val="20"/>
                <w:szCs w:val="20"/>
              </w:rPr>
              <w:t xml:space="preserve">   Ը  Ն  Դ  Ա  Մ  Ե  Ն  Ը  </w:t>
            </w:r>
          </w:p>
        </w:tc>
        <w:tc>
          <w:tcPr>
            <w:tcW w:w="1673" w:type="dxa"/>
            <w:tcBorders>
              <w:top w:val="nil"/>
              <w:left w:val="nil"/>
              <w:bottom w:val="single" w:sz="4" w:space="0" w:color="auto"/>
              <w:right w:val="single" w:sz="4" w:space="0" w:color="auto"/>
            </w:tcBorders>
            <w:shd w:val="clear" w:color="auto" w:fill="auto"/>
            <w:noWrap/>
            <w:vAlign w:val="center"/>
          </w:tcPr>
          <w:p w14:paraId="6C284B10" w14:textId="0096B43E" w:rsidR="00170E4B" w:rsidRPr="00170E4B" w:rsidRDefault="00170E4B" w:rsidP="00170E4B">
            <w:pPr>
              <w:spacing w:after="0"/>
              <w:ind w:left="-104"/>
              <w:jc w:val="right"/>
              <w:rPr>
                <w:rFonts w:eastAsia="Times New Roman" w:cs="Times New Roman"/>
                <w:sz w:val="20"/>
                <w:szCs w:val="20"/>
                <w:highlight w:val="red"/>
              </w:rPr>
            </w:pPr>
            <w:r w:rsidRPr="00170E4B">
              <w:rPr>
                <w:rFonts w:eastAsia="Times New Roman" w:cs="Calibri"/>
                <w:color w:val="000000"/>
                <w:sz w:val="22"/>
                <w:szCs w:val="22"/>
              </w:rPr>
              <w:t>227,134,</w:t>
            </w:r>
            <w:r w:rsidR="00432511">
              <w:rPr>
                <w:rFonts w:eastAsia="Times New Roman" w:cs="Calibri"/>
                <w:color w:val="000000"/>
                <w:sz w:val="22"/>
                <w:szCs w:val="22"/>
                <w:lang w:val="en-US"/>
              </w:rPr>
              <w:t>561</w:t>
            </w:r>
            <w:r w:rsidRPr="00170E4B">
              <w:rPr>
                <w:rFonts w:eastAsia="Times New Roman" w:cs="Calibri"/>
                <w:color w:val="000000"/>
                <w:sz w:val="22"/>
                <w:szCs w:val="22"/>
              </w:rPr>
              <w:t>.</w:t>
            </w:r>
            <w:r w:rsidR="00432511">
              <w:rPr>
                <w:rFonts w:eastAsia="Times New Roman" w:cs="Calibri"/>
                <w:color w:val="000000"/>
                <w:sz w:val="22"/>
                <w:szCs w:val="22"/>
                <w:lang w:val="en-US"/>
              </w:rPr>
              <w:t>1</w:t>
            </w:r>
            <w:r w:rsidRPr="00170E4B">
              <w:rPr>
                <w:rFonts w:eastAsia="Times New Roman" w:cs="Calibri"/>
                <w:color w:val="000000"/>
                <w:sz w:val="22"/>
                <w:szCs w:val="22"/>
              </w:rPr>
              <w:t>7</w:t>
            </w:r>
          </w:p>
        </w:tc>
        <w:tc>
          <w:tcPr>
            <w:tcW w:w="1701" w:type="dxa"/>
            <w:tcBorders>
              <w:top w:val="nil"/>
              <w:left w:val="nil"/>
              <w:bottom w:val="single" w:sz="4" w:space="0" w:color="auto"/>
              <w:right w:val="single" w:sz="4" w:space="0" w:color="auto"/>
            </w:tcBorders>
            <w:shd w:val="clear" w:color="auto" w:fill="auto"/>
            <w:noWrap/>
            <w:vAlign w:val="center"/>
          </w:tcPr>
          <w:p w14:paraId="60D4A1B7" w14:textId="3CED92E9" w:rsidR="00170E4B" w:rsidRPr="00170E4B" w:rsidRDefault="00170E4B" w:rsidP="00170E4B">
            <w:pPr>
              <w:spacing w:after="0"/>
              <w:ind w:left="-104"/>
              <w:jc w:val="right"/>
              <w:rPr>
                <w:rFonts w:eastAsia="Times New Roman" w:cs="Times New Roman"/>
                <w:sz w:val="20"/>
                <w:szCs w:val="20"/>
                <w:highlight w:val="red"/>
              </w:rPr>
            </w:pPr>
            <w:r w:rsidRPr="00170E4B">
              <w:rPr>
                <w:rFonts w:eastAsia="Times New Roman" w:cs="Calibri"/>
                <w:color w:val="000000"/>
                <w:sz w:val="22"/>
                <w:szCs w:val="22"/>
              </w:rPr>
              <w:t>165,678,4</w:t>
            </w:r>
            <w:r w:rsidR="00432511">
              <w:rPr>
                <w:rFonts w:eastAsia="Times New Roman" w:cs="Calibri"/>
                <w:color w:val="000000"/>
                <w:sz w:val="22"/>
                <w:szCs w:val="22"/>
                <w:lang w:val="en-US"/>
              </w:rPr>
              <w:t>43</w:t>
            </w:r>
            <w:r w:rsidRPr="00170E4B">
              <w:rPr>
                <w:rFonts w:eastAsia="Times New Roman" w:cs="Calibri"/>
                <w:color w:val="000000"/>
                <w:sz w:val="22"/>
                <w:szCs w:val="22"/>
              </w:rPr>
              <w:t>.</w:t>
            </w:r>
            <w:r w:rsidR="00432511">
              <w:rPr>
                <w:rFonts w:eastAsia="Times New Roman" w:cs="Calibri"/>
                <w:color w:val="000000"/>
                <w:sz w:val="22"/>
                <w:szCs w:val="22"/>
                <w:lang w:val="en-US"/>
              </w:rPr>
              <w:t>3</w:t>
            </w:r>
            <w:r w:rsidRPr="00170E4B">
              <w:rPr>
                <w:rFonts w:eastAsia="Times New Roman" w:cs="Calibri"/>
                <w:color w:val="000000"/>
                <w:sz w:val="22"/>
                <w:szCs w:val="22"/>
              </w:rPr>
              <w:t>7</w:t>
            </w:r>
          </w:p>
        </w:tc>
        <w:tc>
          <w:tcPr>
            <w:tcW w:w="1587" w:type="dxa"/>
            <w:tcBorders>
              <w:top w:val="nil"/>
              <w:left w:val="nil"/>
              <w:bottom w:val="single" w:sz="4" w:space="0" w:color="auto"/>
              <w:right w:val="single" w:sz="4" w:space="0" w:color="auto"/>
            </w:tcBorders>
            <w:shd w:val="clear" w:color="auto" w:fill="auto"/>
            <w:noWrap/>
            <w:vAlign w:val="center"/>
          </w:tcPr>
          <w:p w14:paraId="584CE1E4" w14:textId="77777777" w:rsidR="00170E4B" w:rsidRPr="00170E4B" w:rsidRDefault="00170E4B" w:rsidP="00170E4B">
            <w:pPr>
              <w:spacing w:after="0"/>
              <w:ind w:left="-219"/>
              <w:jc w:val="right"/>
              <w:rPr>
                <w:rFonts w:eastAsia="Times New Roman" w:cs="Times New Roman"/>
                <w:sz w:val="20"/>
                <w:szCs w:val="20"/>
                <w:highlight w:val="red"/>
              </w:rPr>
            </w:pPr>
            <w:r w:rsidRPr="00170E4B">
              <w:rPr>
                <w:rFonts w:eastAsia="Times New Roman" w:cs="Calibri"/>
                <w:color w:val="000000"/>
                <w:sz w:val="22"/>
                <w:szCs w:val="22"/>
              </w:rPr>
              <w:t>161,257,188.8</w:t>
            </w:r>
          </w:p>
        </w:tc>
        <w:tc>
          <w:tcPr>
            <w:tcW w:w="992" w:type="dxa"/>
            <w:tcBorders>
              <w:top w:val="nil"/>
              <w:left w:val="nil"/>
              <w:bottom w:val="single" w:sz="4" w:space="0" w:color="auto"/>
              <w:right w:val="single" w:sz="4" w:space="0" w:color="auto"/>
            </w:tcBorders>
            <w:shd w:val="clear" w:color="auto" w:fill="auto"/>
            <w:noWrap/>
            <w:vAlign w:val="center"/>
          </w:tcPr>
          <w:p w14:paraId="1882BDB3"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97</w:t>
            </w:r>
          </w:p>
        </w:tc>
      </w:tr>
      <w:tr w:rsidR="00170E4B" w:rsidRPr="00170E4B" w14:paraId="1EC54FFB" w14:textId="77777777" w:rsidTr="00D27B96">
        <w:trPr>
          <w:trHeight w:val="206"/>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7AEEEF"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1006</w:t>
            </w:r>
          </w:p>
        </w:tc>
        <w:tc>
          <w:tcPr>
            <w:tcW w:w="4252" w:type="dxa"/>
            <w:tcBorders>
              <w:top w:val="nil"/>
              <w:left w:val="nil"/>
              <w:bottom w:val="single" w:sz="4" w:space="0" w:color="auto"/>
              <w:right w:val="single" w:sz="4" w:space="0" w:color="auto"/>
            </w:tcBorders>
            <w:shd w:val="clear" w:color="auto" w:fill="auto"/>
            <w:vAlign w:val="center"/>
            <w:hideMark/>
          </w:tcPr>
          <w:p w14:paraId="6D2D0131"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Արտարժութային պետական պարտատոմսերի թողարկմանն առնչվող ծախսեր</w:t>
            </w:r>
          </w:p>
        </w:tc>
        <w:tc>
          <w:tcPr>
            <w:tcW w:w="1673" w:type="dxa"/>
            <w:tcBorders>
              <w:top w:val="nil"/>
              <w:left w:val="nil"/>
              <w:bottom w:val="single" w:sz="4" w:space="0" w:color="auto"/>
              <w:right w:val="single" w:sz="4" w:space="0" w:color="auto"/>
            </w:tcBorders>
            <w:shd w:val="clear" w:color="auto" w:fill="auto"/>
            <w:noWrap/>
            <w:vAlign w:val="center"/>
            <w:hideMark/>
          </w:tcPr>
          <w:p w14:paraId="7293A1BE"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32.50</w:t>
            </w:r>
          </w:p>
        </w:tc>
        <w:tc>
          <w:tcPr>
            <w:tcW w:w="1701" w:type="dxa"/>
            <w:tcBorders>
              <w:top w:val="nil"/>
              <w:left w:val="nil"/>
              <w:bottom w:val="single" w:sz="4" w:space="0" w:color="auto"/>
              <w:right w:val="single" w:sz="4" w:space="0" w:color="auto"/>
            </w:tcBorders>
            <w:shd w:val="clear" w:color="auto" w:fill="auto"/>
            <w:noWrap/>
            <w:vAlign w:val="center"/>
            <w:hideMark/>
          </w:tcPr>
          <w:p w14:paraId="24B0FA6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32.50</w:t>
            </w:r>
          </w:p>
        </w:tc>
        <w:tc>
          <w:tcPr>
            <w:tcW w:w="1587" w:type="dxa"/>
            <w:tcBorders>
              <w:top w:val="nil"/>
              <w:left w:val="nil"/>
              <w:bottom w:val="single" w:sz="4" w:space="0" w:color="auto"/>
              <w:right w:val="single" w:sz="4" w:space="0" w:color="auto"/>
            </w:tcBorders>
            <w:shd w:val="clear" w:color="auto" w:fill="auto"/>
            <w:noWrap/>
            <w:vAlign w:val="center"/>
            <w:hideMark/>
          </w:tcPr>
          <w:p w14:paraId="3483D993"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413EBC2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w:t>
            </w:r>
          </w:p>
        </w:tc>
      </w:tr>
      <w:tr w:rsidR="00170E4B" w:rsidRPr="00170E4B" w14:paraId="42789B72" w14:textId="77777777" w:rsidTr="00D27B96">
        <w:trPr>
          <w:trHeight w:val="417"/>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9A16EB"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1006</w:t>
            </w:r>
          </w:p>
        </w:tc>
        <w:tc>
          <w:tcPr>
            <w:tcW w:w="4252" w:type="dxa"/>
            <w:tcBorders>
              <w:top w:val="nil"/>
              <w:left w:val="nil"/>
              <w:bottom w:val="single" w:sz="4" w:space="0" w:color="auto"/>
              <w:right w:val="single" w:sz="4" w:space="0" w:color="auto"/>
            </w:tcBorders>
            <w:shd w:val="clear" w:color="auto" w:fill="auto"/>
            <w:vAlign w:val="center"/>
            <w:hideMark/>
          </w:tcPr>
          <w:p w14:paraId="3C6DFAD5"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ՀՀ պետական պարտքի կառավարման գործընթացի հրապարակայնության ապահովում</w:t>
            </w:r>
          </w:p>
        </w:tc>
        <w:tc>
          <w:tcPr>
            <w:tcW w:w="1673" w:type="dxa"/>
            <w:tcBorders>
              <w:top w:val="nil"/>
              <w:left w:val="nil"/>
              <w:bottom w:val="single" w:sz="4" w:space="0" w:color="auto"/>
              <w:right w:val="single" w:sz="4" w:space="0" w:color="auto"/>
            </w:tcBorders>
            <w:shd w:val="clear" w:color="auto" w:fill="auto"/>
            <w:noWrap/>
            <w:vAlign w:val="center"/>
            <w:hideMark/>
          </w:tcPr>
          <w:p w14:paraId="623C7F77" w14:textId="77777777" w:rsidR="00170E4B" w:rsidRPr="00170E4B" w:rsidRDefault="00170E4B" w:rsidP="00170E4B">
            <w:pPr>
              <w:spacing w:after="0"/>
              <w:jc w:val="right"/>
              <w:rPr>
                <w:rFonts w:eastAsia="Times New Roman" w:cs="Times New Roman"/>
                <w:sz w:val="20"/>
                <w:szCs w:val="20"/>
                <w:lang w:val="en-US"/>
              </w:rPr>
            </w:pPr>
            <w:r w:rsidRPr="00170E4B">
              <w:rPr>
                <w:rFonts w:eastAsia="Times New Roman" w:cs="Times New Roman"/>
                <w:sz w:val="20"/>
                <w:szCs w:val="20"/>
              </w:rPr>
              <w:t>30</w:t>
            </w:r>
            <w:r w:rsidRPr="00170E4B">
              <w:rPr>
                <w:rFonts w:eastAsia="Times New Roman" w:cs="Times New Roman"/>
                <w:sz w:val="20"/>
                <w:szCs w:val="20"/>
                <w:lang w:val="ru-RU"/>
              </w:rPr>
              <w:t>,</w:t>
            </w:r>
            <w:r w:rsidRPr="00170E4B">
              <w:rPr>
                <w:rFonts w:eastAsia="Times New Roman" w:cs="Times New Roman"/>
                <w:sz w:val="20"/>
                <w:szCs w:val="20"/>
              </w:rPr>
              <w:t>683.8</w:t>
            </w:r>
          </w:p>
        </w:tc>
        <w:tc>
          <w:tcPr>
            <w:tcW w:w="1701" w:type="dxa"/>
            <w:tcBorders>
              <w:top w:val="nil"/>
              <w:left w:val="nil"/>
              <w:bottom w:val="single" w:sz="4" w:space="0" w:color="auto"/>
              <w:right w:val="single" w:sz="4" w:space="0" w:color="auto"/>
            </w:tcBorders>
            <w:shd w:val="clear" w:color="auto" w:fill="auto"/>
            <w:noWrap/>
            <w:vAlign w:val="center"/>
            <w:hideMark/>
          </w:tcPr>
          <w:p w14:paraId="45F2DA03"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20,083.80</w:t>
            </w:r>
          </w:p>
        </w:tc>
        <w:tc>
          <w:tcPr>
            <w:tcW w:w="1587" w:type="dxa"/>
            <w:tcBorders>
              <w:top w:val="nil"/>
              <w:left w:val="nil"/>
              <w:bottom w:val="single" w:sz="4" w:space="0" w:color="auto"/>
              <w:right w:val="single" w:sz="4" w:space="0" w:color="auto"/>
            </w:tcBorders>
            <w:shd w:val="clear" w:color="auto" w:fill="auto"/>
            <w:noWrap/>
            <w:vAlign w:val="center"/>
            <w:hideMark/>
          </w:tcPr>
          <w:p w14:paraId="10A28081"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17,801.67</w:t>
            </w:r>
          </w:p>
        </w:tc>
        <w:tc>
          <w:tcPr>
            <w:tcW w:w="992" w:type="dxa"/>
            <w:tcBorders>
              <w:top w:val="nil"/>
              <w:left w:val="nil"/>
              <w:bottom w:val="single" w:sz="4" w:space="0" w:color="auto"/>
              <w:right w:val="single" w:sz="4" w:space="0" w:color="auto"/>
            </w:tcBorders>
            <w:shd w:val="clear" w:color="auto" w:fill="auto"/>
            <w:noWrap/>
            <w:vAlign w:val="center"/>
          </w:tcPr>
          <w:p w14:paraId="45289F6B"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89</w:t>
            </w:r>
          </w:p>
        </w:tc>
      </w:tr>
      <w:tr w:rsidR="00170E4B" w:rsidRPr="00170E4B" w14:paraId="5E9564DE" w14:textId="77777777" w:rsidTr="00D27B96">
        <w:trPr>
          <w:trHeight w:val="57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F03A82"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1006</w:t>
            </w:r>
          </w:p>
        </w:tc>
        <w:tc>
          <w:tcPr>
            <w:tcW w:w="4252" w:type="dxa"/>
            <w:tcBorders>
              <w:top w:val="nil"/>
              <w:left w:val="nil"/>
              <w:bottom w:val="single" w:sz="4" w:space="0" w:color="auto"/>
              <w:right w:val="single" w:sz="4" w:space="0" w:color="auto"/>
            </w:tcBorders>
            <w:shd w:val="clear" w:color="auto" w:fill="auto"/>
            <w:vAlign w:val="center"/>
            <w:hideMark/>
          </w:tcPr>
          <w:p w14:paraId="46015BC0" w14:textId="77777777" w:rsidR="00170E4B" w:rsidRPr="00170E4B" w:rsidRDefault="00170E4B" w:rsidP="00170E4B">
            <w:pPr>
              <w:spacing w:after="0" w:line="240" w:lineRule="auto"/>
              <w:jc w:val="left"/>
              <w:rPr>
                <w:rFonts w:eastAsia="Times New Roman" w:cs="Times New Roman"/>
                <w:sz w:val="20"/>
                <w:szCs w:val="20"/>
              </w:rPr>
            </w:pPr>
            <w:r w:rsidRPr="00170E4B">
              <w:rPr>
                <w:rFonts w:eastAsia="Times New Roman" w:cs="Times New Roman"/>
                <w:sz w:val="20"/>
                <w:szCs w:val="20"/>
              </w:rPr>
              <w:t>Բլումբերգ և Ռոյթերս տեղեկատվական համակարգերի առևտրային տերմինալների սպասարկման ու պարտքի գրանցման և կառավարման DMFAS 6.0 համակարգի տեխնիկական սպասարկման ծառայություններ</w:t>
            </w:r>
          </w:p>
        </w:tc>
        <w:tc>
          <w:tcPr>
            <w:tcW w:w="1673" w:type="dxa"/>
            <w:tcBorders>
              <w:top w:val="nil"/>
              <w:left w:val="nil"/>
              <w:bottom w:val="single" w:sz="4" w:space="0" w:color="auto"/>
              <w:right w:val="single" w:sz="4" w:space="0" w:color="auto"/>
            </w:tcBorders>
            <w:shd w:val="clear" w:color="auto" w:fill="auto"/>
            <w:noWrap/>
            <w:vAlign w:val="center"/>
            <w:hideMark/>
          </w:tcPr>
          <w:p w14:paraId="3D29BC6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37,167.90</w:t>
            </w:r>
          </w:p>
        </w:tc>
        <w:tc>
          <w:tcPr>
            <w:tcW w:w="1701" w:type="dxa"/>
            <w:tcBorders>
              <w:top w:val="nil"/>
              <w:left w:val="nil"/>
              <w:bottom w:val="single" w:sz="4" w:space="0" w:color="auto"/>
              <w:right w:val="single" w:sz="4" w:space="0" w:color="auto"/>
            </w:tcBorders>
            <w:shd w:val="clear" w:color="auto" w:fill="auto"/>
            <w:noWrap/>
            <w:vAlign w:val="center"/>
            <w:hideMark/>
          </w:tcPr>
          <w:p w14:paraId="052C90BC"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30,060.60</w:t>
            </w:r>
          </w:p>
        </w:tc>
        <w:tc>
          <w:tcPr>
            <w:tcW w:w="1587" w:type="dxa"/>
            <w:tcBorders>
              <w:top w:val="nil"/>
              <w:left w:val="nil"/>
              <w:bottom w:val="single" w:sz="4" w:space="0" w:color="auto"/>
              <w:right w:val="single" w:sz="4" w:space="0" w:color="auto"/>
            </w:tcBorders>
            <w:shd w:val="clear" w:color="auto" w:fill="auto"/>
            <w:noWrap/>
            <w:vAlign w:val="center"/>
            <w:hideMark/>
          </w:tcPr>
          <w:p w14:paraId="19B93851"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29,383.55</w:t>
            </w:r>
          </w:p>
        </w:tc>
        <w:tc>
          <w:tcPr>
            <w:tcW w:w="992" w:type="dxa"/>
            <w:tcBorders>
              <w:top w:val="nil"/>
              <w:left w:val="nil"/>
              <w:bottom w:val="single" w:sz="4" w:space="0" w:color="auto"/>
              <w:right w:val="single" w:sz="4" w:space="0" w:color="auto"/>
            </w:tcBorders>
            <w:shd w:val="clear" w:color="auto" w:fill="auto"/>
            <w:noWrap/>
            <w:vAlign w:val="center"/>
          </w:tcPr>
          <w:p w14:paraId="71B241DB"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98</w:t>
            </w:r>
          </w:p>
        </w:tc>
      </w:tr>
      <w:tr w:rsidR="00170E4B" w:rsidRPr="00170E4B" w14:paraId="5B510324" w14:textId="77777777" w:rsidTr="002F56CA">
        <w:trPr>
          <w:trHeight w:val="68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91A9"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1006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C149"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Կառավարության պարտքի սպասարկում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CC89"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166,723,209.15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7466"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120,541,330.</w:t>
            </w:r>
            <w:r w:rsidRPr="00170E4B">
              <w:rPr>
                <w:rFonts w:eastAsia="Times New Roman" w:cs="Times New Roman"/>
                <w:sz w:val="20"/>
                <w:szCs w:val="20"/>
                <w:lang w:val="ru-RU"/>
              </w:rPr>
              <w:t>70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B2241"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117,679,815.34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DF01B"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98</w:t>
            </w:r>
          </w:p>
        </w:tc>
      </w:tr>
      <w:tr w:rsidR="00170E4B" w:rsidRPr="00170E4B" w14:paraId="5A2835F6" w14:textId="77777777" w:rsidTr="00D27B96">
        <w:trPr>
          <w:trHeight w:val="2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52EB" w14:textId="77777777" w:rsidR="00170E4B" w:rsidRPr="00170E4B" w:rsidRDefault="00170E4B" w:rsidP="00170E4B">
            <w:pPr>
              <w:spacing w:after="0"/>
              <w:ind w:firstLine="22"/>
              <w:jc w:val="right"/>
              <w:rPr>
                <w:rFonts w:eastAsia="Times New Roman" w:cs="Times New Roman"/>
                <w:sz w:val="20"/>
                <w:szCs w:val="20"/>
                <w:highlight w:val="red"/>
              </w:rPr>
            </w:pP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463EF37"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 xml:space="preserve"> - Ներքին տոկոսավճարներ</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68DCF5C2"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86,995,848.9</w:t>
            </w:r>
            <w:r w:rsidRPr="00170E4B">
              <w:rPr>
                <w:rFonts w:eastAsia="Times New Roman" w:cs="Times New Roman"/>
                <w:sz w:val="20"/>
                <w:szCs w:val="20"/>
                <w:lang w:val="ru-RU"/>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CCF913"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55,065,340.0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757C59CA"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54,606,183.46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E8D9F62"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99</w:t>
            </w:r>
          </w:p>
        </w:tc>
      </w:tr>
      <w:tr w:rsidR="00170E4B" w:rsidRPr="00170E4B" w14:paraId="09F6ACBF" w14:textId="77777777" w:rsidTr="00D27B96">
        <w:trPr>
          <w:trHeight w:val="28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3AB0385" w14:textId="77777777" w:rsidR="00170E4B" w:rsidRPr="00170E4B" w:rsidRDefault="00170E4B" w:rsidP="00170E4B">
            <w:pPr>
              <w:spacing w:after="0"/>
              <w:ind w:firstLine="22"/>
              <w:jc w:val="right"/>
              <w:rPr>
                <w:rFonts w:eastAsia="Times New Roman" w:cs="Times New Roman"/>
                <w:sz w:val="20"/>
                <w:szCs w:val="20"/>
              </w:rPr>
            </w:pPr>
          </w:p>
        </w:tc>
        <w:tc>
          <w:tcPr>
            <w:tcW w:w="4252" w:type="dxa"/>
            <w:tcBorders>
              <w:top w:val="nil"/>
              <w:left w:val="nil"/>
              <w:bottom w:val="single" w:sz="4" w:space="0" w:color="auto"/>
              <w:right w:val="single" w:sz="4" w:space="0" w:color="auto"/>
            </w:tcBorders>
            <w:shd w:val="clear" w:color="auto" w:fill="auto"/>
            <w:vAlign w:val="center"/>
            <w:hideMark/>
          </w:tcPr>
          <w:p w14:paraId="62B2E765"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 xml:space="preserve"> - Արտաքին տոկոսավճարներ</w:t>
            </w:r>
          </w:p>
        </w:tc>
        <w:tc>
          <w:tcPr>
            <w:tcW w:w="1673" w:type="dxa"/>
            <w:tcBorders>
              <w:top w:val="nil"/>
              <w:left w:val="nil"/>
              <w:bottom w:val="single" w:sz="4" w:space="0" w:color="auto"/>
              <w:right w:val="single" w:sz="4" w:space="0" w:color="auto"/>
            </w:tcBorders>
            <w:shd w:val="clear" w:color="auto" w:fill="auto"/>
            <w:noWrap/>
            <w:vAlign w:val="center"/>
            <w:hideMark/>
          </w:tcPr>
          <w:p w14:paraId="046404FB"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79,727,360.</w:t>
            </w:r>
            <w:r w:rsidRPr="00170E4B">
              <w:rPr>
                <w:rFonts w:eastAsia="Times New Roman" w:cs="Times New Roman"/>
                <w:sz w:val="20"/>
                <w:szCs w:val="20"/>
                <w:lang w:val="ru-RU"/>
              </w:rPr>
              <w:t>25</w:t>
            </w:r>
          </w:p>
        </w:tc>
        <w:tc>
          <w:tcPr>
            <w:tcW w:w="1701" w:type="dxa"/>
            <w:tcBorders>
              <w:top w:val="nil"/>
              <w:left w:val="nil"/>
              <w:bottom w:val="single" w:sz="4" w:space="0" w:color="auto"/>
              <w:right w:val="single" w:sz="4" w:space="0" w:color="auto"/>
            </w:tcBorders>
            <w:shd w:val="clear" w:color="auto" w:fill="auto"/>
            <w:noWrap/>
            <w:vAlign w:val="center"/>
          </w:tcPr>
          <w:p w14:paraId="0C1FCB42"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65,475,990.7</w:t>
            </w:r>
            <w:r w:rsidRPr="00170E4B">
              <w:rPr>
                <w:rFonts w:eastAsia="Times New Roman" w:cs="Times New Roman"/>
                <w:sz w:val="20"/>
                <w:szCs w:val="20"/>
                <w:lang w:val="ru-RU"/>
              </w:rPr>
              <w:t>0</w:t>
            </w:r>
          </w:p>
        </w:tc>
        <w:tc>
          <w:tcPr>
            <w:tcW w:w="1587" w:type="dxa"/>
            <w:tcBorders>
              <w:top w:val="nil"/>
              <w:left w:val="nil"/>
              <w:bottom w:val="single" w:sz="4" w:space="0" w:color="auto"/>
              <w:right w:val="single" w:sz="4" w:space="0" w:color="auto"/>
            </w:tcBorders>
            <w:shd w:val="clear" w:color="auto" w:fill="auto"/>
            <w:noWrap/>
            <w:vAlign w:val="center"/>
            <w:hideMark/>
          </w:tcPr>
          <w:p w14:paraId="3AC54DB0"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63,073,631.88</w:t>
            </w:r>
          </w:p>
        </w:tc>
        <w:tc>
          <w:tcPr>
            <w:tcW w:w="992" w:type="dxa"/>
            <w:tcBorders>
              <w:top w:val="nil"/>
              <w:left w:val="nil"/>
              <w:bottom w:val="single" w:sz="4" w:space="0" w:color="auto"/>
              <w:right w:val="single" w:sz="4" w:space="0" w:color="auto"/>
            </w:tcBorders>
            <w:shd w:val="clear" w:color="auto" w:fill="auto"/>
            <w:noWrap/>
            <w:vAlign w:val="center"/>
          </w:tcPr>
          <w:p w14:paraId="3E4220F2"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96</w:t>
            </w:r>
          </w:p>
        </w:tc>
      </w:tr>
      <w:tr w:rsidR="00170E4B" w:rsidRPr="00170E4B" w14:paraId="0A55F7B2" w14:textId="77777777" w:rsidTr="00D27B96">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E424"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1006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6213A"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Մուրհակների սպասարկում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9A57"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93,322.30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EE78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68,497.50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408E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68,445.19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6FD08"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100</w:t>
            </w:r>
          </w:p>
        </w:tc>
      </w:tr>
      <w:tr w:rsidR="00170E4B" w:rsidRPr="00170E4B" w14:paraId="4FEAD726" w14:textId="77777777" w:rsidTr="00D27B96">
        <w:trPr>
          <w:trHeight w:val="41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C2EB3"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1015</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843FF"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Սոցիալական փաթեթների ապահովում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659B"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35,136.00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A839"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25,830.00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D8665"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Times New Roman"/>
                <w:sz w:val="20"/>
                <w:szCs w:val="20"/>
              </w:rPr>
              <w:t>15,730.85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9BBE9"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61</w:t>
            </w:r>
          </w:p>
        </w:tc>
      </w:tr>
      <w:tr w:rsidR="00170E4B" w:rsidRPr="00170E4B" w14:paraId="075D6938" w14:textId="77777777" w:rsidTr="00D27B96">
        <w:trPr>
          <w:trHeight w:val="55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B028"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1018</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0EE930"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ծառայությունների ձեռքբերում</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2314BD9E"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39,830.20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DBB0E71"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29,700.00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C26002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8E0E928" w14:textId="77777777" w:rsidR="00170E4B" w:rsidRPr="00170E4B" w:rsidRDefault="00170E4B" w:rsidP="00170E4B">
            <w:pPr>
              <w:spacing w:after="0"/>
              <w:jc w:val="right"/>
              <w:rPr>
                <w:rFonts w:eastAsia="Times New Roman" w:cs="Times New Roman"/>
                <w:sz w:val="20"/>
                <w:szCs w:val="20"/>
                <w:highlight w:val="red"/>
              </w:rPr>
            </w:pPr>
            <w:r w:rsidRPr="00170E4B">
              <w:rPr>
                <w:rFonts w:eastAsia="Times New Roman" w:cs="Calibri"/>
                <w:color w:val="000000"/>
                <w:sz w:val="20"/>
                <w:szCs w:val="20"/>
              </w:rPr>
              <w:t>0</w:t>
            </w:r>
          </w:p>
        </w:tc>
      </w:tr>
      <w:tr w:rsidR="00170E4B" w:rsidRPr="00170E4B" w14:paraId="555312E2" w14:textId="77777777" w:rsidTr="00D27B96">
        <w:trPr>
          <w:trHeight w:val="26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A39F9"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1018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EDAE1"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Ռուսաստանի Դաշնության կողմից Հայաստանի Հանրապետությանն անհատույց ֆինանսական օգնության դրամաշնորհային ծրագիր շրջանակներում ԿՖԿՏՀ ներդրում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F9FE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1,820,363.10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6940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1,365,272.40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87C2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E8CF9"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0</w:t>
            </w:r>
          </w:p>
        </w:tc>
      </w:tr>
      <w:tr w:rsidR="00170E4B" w:rsidRPr="00170E4B" w14:paraId="139B7818"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4D8D"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1031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182E"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 xml:space="preserve"> Հանրային հատվածի ֆինանսական ոլորտի մասնագետների վերապատրաստում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5D3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29,518.00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3C9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20,626.00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2EB8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2CFD2"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0</w:t>
            </w:r>
          </w:p>
        </w:tc>
      </w:tr>
      <w:tr w:rsidR="00170E4B" w:rsidRPr="00170E4B" w14:paraId="489FCDE1"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EB2A"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1093</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0FC77D0"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Սնանկության գործերով կառավարչական ծառայությունների ձեռքբերում</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408D19F7"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34,000.00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029E37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25,500.00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206F6D5"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17,190.00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383D98"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67</w:t>
            </w:r>
          </w:p>
        </w:tc>
      </w:tr>
      <w:tr w:rsidR="00170E4B" w:rsidRPr="00170E4B" w14:paraId="5D92A87F" w14:textId="77777777" w:rsidTr="00D27B96">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AA0C87"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1108</w:t>
            </w:r>
          </w:p>
        </w:tc>
        <w:tc>
          <w:tcPr>
            <w:tcW w:w="4252" w:type="dxa"/>
            <w:tcBorders>
              <w:top w:val="nil"/>
              <w:left w:val="nil"/>
              <w:bottom w:val="single" w:sz="4" w:space="0" w:color="auto"/>
              <w:right w:val="single" w:sz="4" w:space="0" w:color="auto"/>
            </w:tcBorders>
            <w:shd w:val="clear" w:color="auto" w:fill="auto"/>
            <w:vAlign w:val="center"/>
            <w:hideMark/>
          </w:tcPr>
          <w:p w14:paraId="57AF5E13"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 xml:space="preserve"> Պլանավորում, բյուջետավորում, գանձապետական ծառայություններ, պետական պարտքի կառավարում, տնտեսական և հարկաբյուջետային քաղաքականության մշակում և մոնիտորինգ</w:t>
            </w:r>
          </w:p>
        </w:tc>
        <w:tc>
          <w:tcPr>
            <w:tcW w:w="1673" w:type="dxa"/>
            <w:tcBorders>
              <w:top w:val="nil"/>
              <w:left w:val="nil"/>
              <w:bottom w:val="single" w:sz="4" w:space="0" w:color="auto"/>
              <w:right w:val="single" w:sz="4" w:space="0" w:color="auto"/>
            </w:tcBorders>
            <w:shd w:val="clear" w:color="auto" w:fill="auto"/>
            <w:noWrap/>
            <w:vAlign w:val="center"/>
            <w:hideMark/>
          </w:tcPr>
          <w:p w14:paraId="7DB8E03B"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2,428,148.30</w:t>
            </w:r>
          </w:p>
        </w:tc>
        <w:tc>
          <w:tcPr>
            <w:tcW w:w="1701" w:type="dxa"/>
            <w:tcBorders>
              <w:top w:val="nil"/>
              <w:left w:val="nil"/>
              <w:bottom w:val="single" w:sz="4" w:space="0" w:color="auto"/>
              <w:right w:val="single" w:sz="4" w:space="0" w:color="auto"/>
            </w:tcBorders>
            <w:shd w:val="clear" w:color="auto" w:fill="auto"/>
            <w:noWrap/>
            <w:vAlign w:val="center"/>
            <w:hideMark/>
          </w:tcPr>
          <w:p w14:paraId="387F35C3"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1,649,276.70</w:t>
            </w:r>
          </w:p>
        </w:tc>
        <w:tc>
          <w:tcPr>
            <w:tcW w:w="1587" w:type="dxa"/>
            <w:tcBorders>
              <w:top w:val="nil"/>
              <w:left w:val="nil"/>
              <w:bottom w:val="single" w:sz="4" w:space="0" w:color="auto"/>
              <w:right w:val="single" w:sz="4" w:space="0" w:color="auto"/>
            </w:tcBorders>
            <w:shd w:val="clear" w:color="auto" w:fill="auto"/>
            <w:noWrap/>
            <w:vAlign w:val="center"/>
            <w:hideMark/>
          </w:tcPr>
          <w:p w14:paraId="033E5D46"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1,555,112.84</w:t>
            </w:r>
          </w:p>
        </w:tc>
        <w:tc>
          <w:tcPr>
            <w:tcW w:w="992" w:type="dxa"/>
            <w:tcBorders>
              <w:top w:val="nil"/>
              <w:left w:val="nil"/>
              <w:bottom w:val="single" w:sz="4" w:space="0" w:color="auto"/>
              <w:right w:val="single" w:sz="4" w:space="0" w:color="auto"/>
            </w:tcBorders>
            <w:shd w:val="clear" w:color="auto" w:fill="auto"/>
            <w:noWrap/>
            <w:vAlign w:val="center"/>
          </w:tcPr>
          <w:p w14:paraId="0A8CFB55"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94</w:t>
            </w:r>
          </w:p>
        </w:tc>
      </w:tr>
      <w:tr w:rsidR="00170E4B" w:rsidRPr="00170E4B" w14:paraId="1B763BCD"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6FEF2"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1108</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A7F6D45"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Ֆինանսական կառավարման համակարգի վճարահաշվարկային ծառայություններ</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158FC45D"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243,512.50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76CE486"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158,371.30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3787C01F"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143,950.34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E23E20"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91</w:t>
            </w:r>
          </w:p>
        </w:tc>
      </w:tr>
      <w:tr w:rsidR="00170E4B" w:rsidRPr="00170E4B" w14:paraId="42F9788F" w14:textId="77777777" w:rsidTr="00D27B96">
        <w:trPr>
          <w:trHeight w:val="404"/>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E0E9C9"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1108</w:t>
            </w:r>
          </w:p>
        </w:tc>
        <w:tc>
          <w:tcPr>
            <w:tcW w:w="4252" w:type="dxa"/>
            <w:tcBorders>
              <w:top w:val="nil"/>
              <w:left w:val="nil"/>
              <w:bottom w:val="single" w:sz="4" w:space="0" w:color="auto"/>
              <w:right w:val="single" w:sz="4" w:space="0" w:color="auto"/>
            </w:tcBorders>
            <w:shd w:val="clear" w:color="auto" w:fill="auto"/>
            <w:vAlign w:val="center"/>
            <w:hideMark/>
          </w:tcPr>
          <w:p w14:paraId="4C759458"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ՀՀ միջազգային վարկանիշի տրամադրում</w:t>
            </w:r>
          </w:p>
        </w:tc>
        <w:tc>
          <w:tcPr>
            <w:tcW w:w="1673" w:type="dxa"/>
            <w:tcBorders>
              <w:top w:val="nil"/>
              <w:left w:val="nil"/>
              <w:bottom w:val="single" w:sz="4" w:space="0" w:color="auto"/>
              <w:right w:val="single" w:sz="4" w:space="0" w:color="auto"/>
            </w:tcBorders>
            <w:shd w:val="clear" w:color="auto" w:fill="auto"/>
            <w:noWrap/>
            <w:vAlign w:val="center"/>
            <w:hideMark/>
          </w:tcPr>
          <w:p w14:paraId="55C8C304"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82,316.70</w:t>
            </w:r>
          </w:p>
        </w:tc>
        <w:tc>
          <w:tcPr>
            <w:tcW w:w="1701" w:type="dxa"/>
            <w:tcBorders>
              <w:top w:val="nil"/>
              <w:left w:val="nil"/>
              <w:bottom w:val="single" w:sz="4" w:space="0" w:color="auto"/>
              <w:right w:val="single" w:sz="4" w:space="0" w:color="auto"/>
            </w:tcBorders>
            <w:shd w:val="clear" w:color="auto" w:fill="auto"/>
            <w:noWrap/>
            <w:vAlign w:val="center"/>
            <w:hideMark/>
          </w:tcPr>
          <w:p w14:paraId="11EE627F"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82,316.70</w:t>
            </w:r>
          </w:p>
        </w:tc>
        <w:tc>
          <w:tcPr>
            <w:tcW w:w="1587" w:type="dxa"/>
            <w:tcBorders>
              <w:top w:val="nil"/>
              <w:left w:val="nil"/>
              <w:bottom w:val="single" w:sz="4" w:space="0" w:color="auto"/>
              <w:right w:val="single" w:sz="4" w:space="0" w:color="auto"/>
            </w:tcBorders>
            <w:shd w:val="clear" w:color="auto" w:fill="auto"/>
            <w:noWrap/>
            <w:vAlign w:val="center"/>
            <w:hideMark/>
          </w:tcPr>
          <w:p w14:paraId="01456726"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81,973.10</w:t>
            </w:r>
          </w:p>
        </w:tc>
        <w:tc>
          <w:tcPr>
            <w:tcW w:w="992" w:type="dxa"/>
            <w:tcBorders>
              <w:top w:val="nil"/>
              <w:left w:val="nil"/>
              <w:bottom w:val="single" w:sz="4" w:space="0" w:color="auto"/>
              <w:right w:val="single" w:sz="4" w:space="0" w:color="auto"/>
            </w:tcBorders>
            <w:shd w:val="clear" w:color="auto" w:fill="auto"/>
            <w:noWrap/>
            <w:vAlign w:val="center"/>
          </w:tcPr>
          <w:p w14:paraId="5E92DB71"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100</w:t>
            </w:r>
          </w:p>
        </w:tc>
      </w:tr>
      <w:tr w:rsidR="00170E4B" w:rsidRPr="00170E4B" w14:paraId="33DEC7F4" w14:textId="77777777" w:rsidTr="002F56CA">
        <w:trPr>
          <w:trHeight w:val="26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2EA93"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1080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076E"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 xml:space="preserve"> 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F4E2"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20,205.85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2477D"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20,205.85</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D4187"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20,205.85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7BDF3"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100</w:t>
            </w:r>
          </w:p>
        </w:tc>
      </w:tr>
      <w:tr w:rsidR="00170E4B" w:rsidRPr="00170E4B" w14:paraId="434D42E6"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A9B8"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1185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BE0B5A8" w14:textId="47E4E772"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Արտասահմանյան պաշտոնական գործուղումներ</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76A5E89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729.87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D9AF2B"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729.87</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1B21E043"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729.87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DA5236F"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100</w:t>
            </w:r>
          </w:p>
        </w:tc>
      </w:tr>
      <w:tr w:rsidR="00170E4B" w:rsidRPr="00170E4B" w14:paraId="0F02CFBB"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C48DA"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lastRenderedPageBreak/>
              <w:t>1108</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377C3"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ՀՀ ֆինանսների նախարարության տեխնիկական հագեցվածության բարելավում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63FE4"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5,849.20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DF5AD"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5,849.20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6E49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D0AC4"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0</w:t>
            </w:r>
          </w:p>
        </w:tc>
      </w:tr>
      <w:tr w:rsidR="00170E4B" w:rsidRPr="00170E4B" w14:paraId="62D40D70"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7FA31"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1137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63205"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Էլեկտրոնային գնումների համակարգի տեխնիկական սպասարկում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9CC58"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19,700.00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46B4"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14,775.00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22F40"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13,050.00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B6524"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88</w:t>
            </w:r>
          </w:p>
        </w:tc>
      </w:tr>
      <w:tr w:rsidR="00170E4B" w:rsidRPr="00170E4B" w14:paraId="7611448A"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6929"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1137</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3442E" w14:textId="7777777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Գնումների պլանների կազմման, էլեկտրոնային մրցույթների անցկացման, պայմանագրերի կատարման և գնումների հաշվետվողականության` միմյանց ինտեգրված մոդուլների տեխնիկական սպասարկում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5CF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107,355.00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A8224"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82,366.00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7612"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76,180.90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165F6"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92</w:t>
            </w:r>
          </w:p>
        </w:tc>
      </w:tr>
      <w:tr w:rsidR="00170E4B" w:rsidRPr="00170E4B" w14:paraId="6DF37D0F"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F487D"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1136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C9BAF" w14:textId="357796E7"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Համաշխարհային բանկի աջակցությամբ  իրականացվող առևտրի և ենթակառուցվածքների զարգացման ծրագիր</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4BDB"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4151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A9316"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8A82"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w:t>
            </w:r>
          </w:p>
        </w:tc>
      </w:tr>
      <w:tr w:rsidR="00170E4B" w:rsidRPr="00170E4B" w14:paraId="47D9C076"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18E81"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1206</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994ADA1" w14:textId="04FE93C5" w:rsidR="00170E4B" w:rsidRPr="00170E4B" w:rsidRDefault="00170E4B" w:rsidP="00170E4B">
            <w:pPr>
              <w:spacing w:after="0"/>
              <w:jc w:val="left"/>
              <w:rPr>
                <w:rFonts w:eastAsia="Times New Roman" w:cs="Times New Roman"/>
                <w:sz w:val="20"/>
                <w:szCs w:val="20"/>
              </w:rPr>
            </w:pPr>
            <w:r w:rsidRPr="00170E4B">
              <w:rPr>
                <w:rFonts w:eastAsia="Times New Roman" w:cs="Times New Roman"/>
                <w:sz w:val="20"/>
                <w:szCs w:val="20"/>
              </w:rPr>
              <w:t>Համաշխարհային բանկի աջակցությամբ իրականացվող առևտրի և ենթակառուցվածքների զարգացման ծրագրի շրջանակներում շենքերի և շինությունների հիմնանորոգում</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27D5A6E6"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707BE1"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584D34AA"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EA3401"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w:t>
            </w:r>
          </w:p>
        </w:tc>
      </w:tr>
      <w:tr w:rsidR="00170E4B" w:rsidRPr="00170E4B" w14:paraId="11530D8F"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94E41"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1136</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CFDA" w14:textId="09044CAF" w:rsidR="00170E4B" w:rsidRPr="002E7EB6" w:rsidRDefault="00170E4B" w:rsidP="00170E4B">
            <w:pPr>
              <w:spacing w:after="0"/>
              <w:jc w:val="left"/>
              <w:rPr>
                <w:rFonts w:eastAsia="Times New Roman" w:cs="Times New Roman"/>
                <w:sz w:val="18"/>
                <w:szCs w:val="18"/>
              </w:rPr>
            </w:pPr>
            <w:r w:rsidRPr="002E7EB6">
              <w:rPr>
                <w:rFonts w:eastAsia="Times New Roman" w:cs="Times New Roman"/>
                <w:sz w:val="18"/>
                <w:szCs w:val="18"/>
              </w:rPr>
              <w:t>Համաշխարհային բանկի աջակցությամբ իրականացվող առևտրի և ենթակառուցվածքների զարգացման ծրագրի շրջանակներում սարքավորումների ձեռքբերում (Արդյունաբերական չափագիտության լաբորատորիաների սարքավորումներ)</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DFE5"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3E38"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A9EA5"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4F18A"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w:t>
            </w:r>
          </w:p>
        </w:tc>
      </w:tr>
      <w:tr w:rsidR="00170E4B" w:rsidRPr="00170E4B" w14:paraId="3FA9DD72" w14:textId="77777777" w:rsidTr="00D27B96">
        <w:trPr>
          <w:trHeight w:val="148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BD2EF"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1205</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417E634" w14:textId="70DE5A22" w:rsidR="00170E4B" w:rsidRPr="002E7EB6" w:rsidRDefault="00170E4B" w:rsidP="00170E4B">
            <w:pPr>
              <w:spacing w:after="0"/>
              <w:jc w:val="left"/>
              <w:rPr>
                <w:rFonts w:eastAsia="Times New Roman" w:cs="Times New Roman"/>
                <w:sz w:val="18"/>
                <w:szCs w:val="18"/>
              </w:rPr>
            </w:pPr>
            <w:r w:rsidRPr="002E7EB6">
              <w:rPr>
                <w:rFonts w:eastAsia="Times New Roman" w:cs="Times New Roman"/>
                <w:sz w:val="18"/>
                <w:szCs w:val="18"/>
              </w:rPr>
              <w:t>ՀՀ քաղաքացիական գործերով վերաքննիչ դատարանի 05-1680 գործով 15.07.2005թ. վճռի համաձայն Հայաստանի Հանրապետության կողմից կերակրողը կորցնելու կապակցությամբ կրած վնասի փոխհատուցում</w:t>
            </w:r>
          </w:p>
        </w:tc>
        <w:tc>
          <w:tcPr>
            <w:tcW w:w="1673" w:type="dxa"/>
            <w:tcBorders>
              <w:top w:val="single" w:sz="4" w:space="0" w:color="auto"/>
              <w:left w:val="nil"/>
              <w:bottom w:val="single" w:sz="4" w:space="0" w:color="auto"/>
              <w:right w:val="single" w:sz="4" w:space="0" w:color="auto"/>
            </w:tcBorders>
            <w:shd w:val="clear" w:color="auto" w:fill="auto"/>
            <w:noWrap/>
            <w:vAlign w:val="center"/>
            <w:hideMark/>
          </w:tcPr>
          <w:p w14:paraId="43E72864"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4,945.80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6055375"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3,709.40</w:t>
            </w:r>
          </w:p>
        </w:tc>
        <w:tc>
          <w:tcPr>
            <w:tcW w:w="1587" w:type="dxa"/>
            <w:tcBorders>
              <w:top w:val="single" w:sz="4" w:space="0" w:color="auto"/>
              <w:left w:val="nil"/>
              <w:bottom w:val="single" w:sz="4" w:space="0" w:color="auto"/>
              <w:right w:val="single" w:sz="4" w:space="0" w:color="auto"/>
            </w:tcBorders>
            <w:shd w:val="clear" w:color="auto" w:fill="auto"/>
            <w:noWrap/>
            <w:vAlign w:val="center"/>
            <w:hideMark/>
          </w:tcPr>
          <w:p w14:paraId="655F5BC9"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3,709.40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511546"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100</w:t>
            </w:r>
          </w:p>
        </w:tc>
      </w:tr>
      <w:tr w:rsidR="00170E4B" w:rsidRPr="00170E4B" w14:paraId="44B3DAF7" w14:textId="77777777" w:rsidTr="00D27B96">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12F09" w14:textId="77777777" w:rsidR="00170E4B" w:rsidRPr="00170E4B" w:rsidRDefault="00170E4B" w:rsidP="00170E4B">
            <w:pPr>
              <w:spacing w:after="0"/>
              <w:ind w:firstLine="22"/>
              <w:jc w:val="right"/>
              <w:rPr>
                <w:rFonts w:eastAsia="Times New Roman" w:cs="Times New Roman"/>
                <w:sz w:val="20"/>
                <w:szCs w:val="20"/>
              </w:rPr>
            </w:pPr>
            <w:r w:rsidRPr="00170E4B">
              <w:rPr>
                <w:rFonts w:eastAsia="Times New Roman" w:cs="Times New Roman"/>
                <w:sz w:val="20"/>
                <w:szCs w:val="20"/>
              </w:rPr>
              <w:t>1212</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65732" w14:textId="1D34AE02" w:rsidR="00170E4B" w:rsidRPr="002E7EB6" w:rsidRDefault="00170E4B" w:rsidP="00170E4B">
            <w:pPr>
              <w:spacing w:after="0"/>
              <w:jc w:val="left"/>
              <w:rPr>
                <w:rFonts w:eastAsia="Times New Roman" w:cs="Times New Roman"/>
                <w:sz w:val="18"/>
                <w:szCs w:val="18"/>
              </w:rPr>
            </w:pPr>
            <w:r w:rsidRPr="002E7EB6">
              <w:rPr>
                <w:rFonts w:eastAsia="Times New Roman" w:cs="Times New Roman"/>
                <w:sz w:val="18"/>
                <w:szCs w:val="18"/>
              </w:rPr>
              <w:t>Համայնքների բյուջեներին ֆինանսական համահարթեցման սկզբունքով դոտացիաների տրամադրում և Ազգային Ժողովի ընդունած օրենքների կիրարկման արդյունքում համայնքների բյուջեների եկամուտների կորուստների փոխհատուցում</w:t>
            </w:r>
          </w:p>
        </w:tc>
        <w:tc>
          <w:tcPr>
            <w:tcW w:w="1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BD46F"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55,378,535.00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173CC"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41,533,909.90</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5245" w14:textId="77777777" w:rsidR="00170E4B" w:rsidRPr="00170E4B" w:rsidRDefault="00170E4B" w:rsidP="00170E4B">
            <w:pPr>
              <w:spacing w:after="0"/>
              <w:jc w:val="right"/>
              <w:rPr>
                <w:rFonts w:eastAsia="Times New Roman" w:cs="Times New Roman"/>
                <w:sz w:val="20"/>
                <w:szCs w:val="20"/>
              </w:rPr>
            </w:pPr>
            <w:r w:rsidRPr="00170E4B">
              <w:rPr>
                <w:rFonts w:eastAsia="Times New Roman" w:cs="Times New Roman"/>
                <w:sz w:val="20"/>
                <w:szCs w:val="20"/>
              </w:rPr>
              <w:t>41,533,909.90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4EFE4" w14:textId="77777777" w:rsidR="00170E4B" w:rsidRPr="00170E4B" w:rsidRDefault="00170E4B" w:rsidP="00170E4B">
            <w:pPr>
              <w:spacing w:after="0"/>
              <w:jc w:val="right"/>
              <w:rPr>
                <w:rFonts w:eastAsia="Times New Roman" w:cs="Times New Roman"/>
                <w:sz w:val="20"/>
                <w:szCs w:val="20"/>
              </w:rPr>
            </w:pPr>
            <w:r w:rsidRPr="00170E4B">
              <w:rPr>
                <w:rFonts w:eastAsia="Times New Roman" w:cs="Calibri"/>
                <w:color w:val="000000"/>
                <w:sz w:val="20"/>
                <w:szCs w:val="20"/>
              </w:rPr>
              <w:t>100</w:t>
            </w:r>
          </w:p>
        </w:tc>
      </w:tr>
    </w:tbl>
    <w:p w14:paraId="10612F09" w14:textId="77777777" w:rsidR="00170E4B" w:rsidRDefault="00170E4B" w:rsidP="00170E4B">
      <w:pPr>
        <w:spacing w:after="120"/>
        <w:ind w:firstLine="567"/>
        <w:rPr>
          <w:rFonts w:eastAsia="Times New Roman" w:cs="Times New Roman"/>
        </w:rPr>
      </w:pPr>
    </w:p>
    <w:p w14:paraId="7BD5AA13" w14:textId="77777777" w:rsidR="00902BEB" w:rsidRPr="00472C2F" w:rsidRDefault="00902BEB" w:rsidP="00902BEB">
      <w:pPr>
        <w:spacing w:after="120" w:line="312" w:lineRule="auto"/>
        <w:rPr>
          <w:rFonts w:cs="Arial"/>
          <w:b/>
          <w:i/>
          <w:color w:val="002060"/>
        </w:rPr>
      </w:pPr>
      <w:r w:rsidRPr="00472C2F">
        <w:rPr>
          <w:rFonts w:cs="Arial"/>
          <w:b/>
          <w:i/>
          <w:color w:val="002060"/>
        </w:rPr>
        <w:t>Հաշվեքննության օբյեկտի արձագանք</w:t>
      </w:r>
    </w:p>
    <w:p w14:paraId="4EEA9BEE" w14:textId="2369E929" w:rsidR="00902BEB" w:rsidRPr="00472C2F" w:rsidRDefault="00902BEB" w:rsidP="00902BEB">
      <w:pPr>
        <w:spacing w:after="120" w:line="312" w:lineRule="auto"/>
        <w:ind w:firstLine="567"/>
        <w:rPr>
          <w:rFonts w:ascii="Courier New" w:hAnsi="Courier New" w:cs="Courier New"/>
          <w:bCs/>
          <w:iCs/>
        </w:rPr>
      </w:pPr>
      <w:r w:rsidRPr="00472C2F">
        <w:rPr>
          <w:rFonts w:cs="Sylfaen"/>
        </w:rPr>
        <w:lastRenderedPageBreak/>
        <w:t xml:space="preserve">Արձանագրության </w:t>
      </w:r>
      <w:r w:rsidR="00593CA2">
        <w:rPr>
          <w:rFonts w:cs="Sylfaen"/>
        </w:rPr>
        <w:t>15</w:t>
      </w:r>
      <w:r>
        <w:rPr>
          <w:rFonts w:cs="Sylfaen"/>
        </w:rPr>
        <w:t>-րդ էջում</w:t>
      </w:r>
      <w:r w:rsidR="00593CA2">
        <w:rPr>
          <w:rFonts w:cs="Sylfaen"/>
        </w:rPr>
        <w:t>՝ առաջին պարբերությունում և աղյուսակ 7-ի «ԸՆԴԱՄԵՆԸ» տողում, տարեկան ճշտված պլանի և հաշվետու ժամանակահատվածի ճշտված պլանի ցուցանիշները՝ 227,134,844.87-ի և 165,678,410.87-ի փոխարեն, պետք է լինեն համապատասխանաբար 227,134,561.17 և 165,678,443.37</w:t>
      </w:r>
      <w:r w:rsidR="00CE5D4D">
        <w:rPr>
          <w:rFonts w:cs="Sylfaen"/>
        </w:rPr>
        <w:t>։</w:t>
      </w:r>
    </w:p>
    <w:p w14:paraId="196CCB36" w14:textId="77777777" w:rsidR="00902BEB" w:rsidRPr="00472C2F" w:rsidRDefault="00902BEB" w:rsidP="00902BEB">
      <w:pPr>
        <w:rPr>
          <w:rFonts w:cs="Sylfaen"/>
        </w:rPr>
      </w:pPr>
    </w:p>
    <w:p w14:paraId="7DBC909C" w14:textId="77777777" w:rsidR="00902BEB" w:rsidRPr="00472C2F" w:rsidRDefault="00902BEB" w:rsidP="00902BEB">
      <w:pPr>
        <w:spacing w:before="360" w:after="120" w:line="312" w:lineRule="auto"/>
        <w:rPr>
          <w:rFonts w:cs="Arial"/>
          <w:b/>
          <w:i/>
          <w:color w:val="002060"/>
        </w:rPr>
      </w:pPr>
      <w:r w:rsidRPr="00472C2F">
        <w:rPr>
          <w:rFonts w:cs="Arial"/>
          <w:b/>
          <w:i/>
          <w:color w:val="002060"/>
        </w:rPr>
        <w:t>Հաշվեքննիչ պալատի մեկնաբանություն</w:t>
      </w:r>
    </w:p>
    <w:p w14:paraId="42E4071A" w14:textId="4604A124" w:rsidR="00902BEB" w:rsidRPr="00170E4B" w:rsidRDefault="00902BEB" w:rsidP="00902BEB">
      <w:pPr>
        <w:spacing w:after="120"/>
        <w:ind w:firstLine="567"/>
        <w:rPr>
          <w:rFonts w:eastAsia="Times New Roman" w:cs="Times New Roman"/>
        </w:rPr>
        <w:sectPr w:rsidR="00902BEB" w:rsidRPr="00170E4B" w:rsidSect="002F56CA">
          <w:footerReference w:type="default" r:id="rId10"/>
          <w:pgSz w:w="12240" w:h="15840"/>
          <w:pgMar w:top="864" w:right="900" w:bottom="851" w:left="1296" w:header="720" w:footer="720" w:gutter="0"/>
          <w:cols w:space="720"/>
          <w:titlePg/>
          <w:docGrid w:linePitch="360"/>
        </w:sectPr>
      </w:pPr>
      <w:r>
        <w:t>Հաշվեքննության օբյեկտի նկատառումները հաշվի են առնվել։</w:t>
      </w:r>
    </w:p>
    <w:p w14:paraId="40F15453" w14:textId="77777777" w:rsidR="00170E4B" w:rsidRPr="00170E4B" w:rsidRDefault="00170E4B" w:rsidP="00EB7AF5">
      <w:pPr>
        <w:pStyle w:val="Heading2"/>
        <w:numPr>
          <w:ilvl w:val="0"/>
          <w:numId w:val="38"/>
        </w:numPr>
      </w:pPr>
      <w:bookmarkStart w:id="13" w:name="_Toc64560572"/>
      <w:r w:rsidRPr="00170E4B">
        <w:lastRenderedPageBreak/>
        <w:t>ՊԼԱՆԱՎՈՐՈՒՄ, ԲՅՈՒՋԵՏԱՎՈՐՈՒՄ, ԳԱՆՁԱՊԵՏԱԿԱՆ ԾԱՌԱՅՈՒԹՅՈՒՆՆԵՐ, ՊԵՏԱԿԱՆ ՊԱՐՏՔԻ ԿԱՌԱՎԱՐՈՒՄ, ՏՆՏԵՍԱԿԱՆ ԵՎ ՀԱՐԿԱԲՅՈՒՋԵՏԱՅԻՆ ՔԱՂԱՔԱԿԱՆՈՒԹՅԱՆ ՄՇԱԿՈՒՄ ԵՎ ՄՈՆԻՏՈՐԻՆԳ</w:t>
      </w:r>
      <w:bookmarkEnd w:id="13"/>
    </w:p>
    <w:p w14:paraId="053CD2DE" w14:textId="77777777" w:rsidR="00170E4B" w:rsidRPr="00170E4B" w:rsidRDefault="00170E4B" w:rsidP="00170E4B">
      <w:pPr>
        <w:spacing w:after="120"/>
        <w:ind w:firstLine="567"/>
        <w:rPr>
          <w:rFonts w:eastAsia="Times New Roman" w:cs="Times New Roman"/>
          <w:highlight w:val="red"/>
        </w:rPr>
      </w:pPr>
    </w:p>
    <w:p w14:paraId="0972328B"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Միջոցառման շրջանակներում 2020թ. տարեկան ծախսերի համար 2020թ. պետական բյուջեով նախատեսվել է 2,495,967.9 հազ.դրամ գումար, 2020թ. տարեկան ճշտված պլանը կազմել է 2,428,148.30 հազ.դրամ, ինն ամիսների ճշտված պլանը՝ 1,649,276.70 հազ.դրամ, դրամարկղի ծախսը՝ 1,555,112.84 հազ.դրամ, ճշտված պլանի և դրամարկղի ծախսի տարբերությունը՝ 94,163.86 հազ.դրամ: Կատարողականը կազմել է 94%։</w:t>
      </w:r>
    </w:p>
    <w:p w14:paraId="7D09B231"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Նշված միջոցառման շրջանակներում ծախսերն ունեն հետևյալ կատարողականները.</w:t>
      </w:r>
    </w:p>
    <w:p w14:paraId="78060EBD" w14:textId="77777777" w:rsidR="00170E4B" w:rsidRPr="00170E4B" w:rsidRDefault="00170E4B" w:rsidP="00170E4B">
      <w:pPr>
        <w:spacing w:after="0"/>
        <w:ind w:firstLine="567"/>
        <w:jc w:val="right"/>
        <w:rPr>
          <w:rFonts w:eastAsia="Times New Roman" w:cs="Times New Roman"/>
          <w:sz w:val="22"/>
          <w:szCs w:val="22"/>
        </w:rPr>
      </w:pPr>
    </w:p>
    <w:p w14:paraId="1B705C21" w14:textId="77777777" w:rsidR="00170E4B" w:rsidRPr="00170E4B" w:rsidRDefault="00170E4B" w:rsidP="00170E4B">
      <w:pPr>
        <w:spacing w:after="0"/>
        <w:ind w:firstLine="567"/>
        <w:jc w:val="right"/>
        <w:rPr>
          <w:rFonts w:eastAsia="Times New Roman" w:cs="Sylfaen"/>
        </w:rPr>
      </w:pPr>
      <w:r w:rsidRPr="00170E4B">
        <w:rPr>
          <w:rFonts w:eastAsia="Times New Roman" w:cs="Times New Roman"/>
          <w:sz w:val="22"/>
          <w:szCs w:val="22"/>
        </w:rPr>
        <w:t>(Աղյուսակ 8)</w:t>
      </w:r>
    </w:p>
    <w:p w14:paraId="408B0E05" w14:textId="77777777" w:rsidR="00170E4B" w:rsidRPr="00170E4B" w:rsidRDefault="00170E4B" w:rsidP="00170E4B">
      <w:pPr>
        <w:spacing w:after="0"/>
        <w:ind w:left="720" w:firstLine="567"/>
        <w:contextualSpacing/>
        <w:jc w:val="right"/>
        <w:rPr>
          <w:rFonts w:eastAsia="Times New Roman" w:cs="Times New Roman"/>
          <w:sz w:val="22"/>
          <w:szCs w:val="22"/>
        </w:rPr>
      </w:pPr>
      <w:r w:rsidRPr="00170E4B">
        <w:rPr>
          <w:rFonts w:eastAsia="Times New Roman" w:cs="Times New Roman"/>
          <w:sz w:val="22"/>
          <w:szCs w:val="22"/>
        </w:rPr>
        <w:t>հազ.դրամ</w:t>
      </w:r>
    </w:p>
    <w:tbl>
      <w:tblPr>
        <w:tblW w:w="10065" w:type="dxa"/>
        <w:tblInd w:w="-5" w:type="dxa"/>
        <w:tblLayout w:type="fixed"/>
        <w:tblCellMar>
          <w:left w:w="0" w:type="dxa"/>
          <w:right w:w="0" w:type="dxa"/>
        </w:tblCellMar>
        <w:tblLook w:val="04A0" w:firstRow="1" w:lastRow="0" w:firstColumn="1" w:lastColumn="0" w:noHBand="0" w:noVBand="1"/>
      </w:tblPr>
      <w:tblGrid>
        <w:gridCol w:w="3686"/>
        <w:gridCol w:w="2126"/>
        <w:gridCol w:w="2126"/>
        <w:gridCol w:w="2127"/>
      </w:tblGrid>
      <w:tr w:rsidR="00170E4B" w:rsidRPr="00170E4B" w14:paraId="52707E7A" w14:textId="77777777" w:rsidTr="002F56CA">
        <w:trPr>
          <w:trHeight w:val="931"/>
        </w:trPr>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1A599DA" w14:textId="77777777" w:rsidR="00170E4B" w:rsidRPr="00170E4B" w:rsidRDefault="00170E4B" w:rsidP="00170E4B">
            <w:pPr>
              <w:spacing w:after="120"/>
              <w:jc w:val="center"/>
              <w:rPr>
                <w:rFonts w:eastAsia="Times New Roman" w:cs="Times New Roman"/>
                <w:b/>
                <w:bCs/>
                <w:sz w:val="22"/>
                <w:szCs w:val="22"/>
              </w:rPr>
            </w:pPr>
            <w:r w:rsidRPr="00170E4B">
              <w:rPr>
                <w:rFonts w:eastAsia="Times New Roman" w:cs="Times New Roman"/>
                <w:b/>
                <w:bCs/>
                <w:sz w:val="22"/>
                <w:szCs w:val="22"/>
              </w:rPr>
              <w:t>Միջոցառում (հոդված)</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0C1756"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Ֆինանսավորում</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E82199"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Դրամարկղի ծախսը</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5DBEE1"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Փաստացի ծախս</w:t>
            </w:r>
          </w:p>
        </w:tc>
      </w:tr>
      <w:tr w:rsidR="00170E4B" w:rsidRPr="00170E4B" w14:paraId="3BAF6B5D" w14:textId="77777777" w:rsidTr="002F56CA">
        <w:trPr>
          <w:trHeight w:val="185"/>
        </w:trPr>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B0E5C3" w14:textId="77777777" w:rsidR="00170E4B" w:rsidRPr="00170E4B" w:rsidRDefault="00170E4B" w:rsidP="00170E4B">
            <w:pPr>
              <w:spacing w:after="120"/>
              <w:jc w:val="center"/>
              <w:rPr>
                <w:rFonts w:eastAsia="Times New Roman" w:cs="Times New Roman"/>
                <w:b/>
                <w:bCs/>
                <w:sz w:val="22"/>
                <w:szCs w:val="22"/>
              </w:rPr>
            </w:pPr>
            <w:r w:rsidRPr="00170E4B">
              <w:rPr>
                <w:rFonts w:eastAsia="Times New Roman" w:cs="Times New Roman"/>
                <w:b/>
                <w:bCs/>
                <w:sz w:val="22"/>
                <w:szCs w:val="22"/>
              </w:rPr>
              <w:t>1</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B42B4"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2</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EADD90"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3</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2C5EA" w14:textId="77777777" w:rsidR="00170E4B" w:rsidRPr="00170E4B" w:rsidRDefault="00170E4B" w:rsidP="00170E4B">
            <w:pPr>
              <w:spacing w:after="120"/>
              <w:ind w:hanging="4"/>
              <w:jc w:val="center"/>
              <w:rPr>
                <w:rFonts w:eastAsia="Times New Roman" w:cs="Times New Roman"/>
                <w:b/>
                <w:bCs/>
                <w:sz w:val="22"/>
                <w:szCs w:val="22"/>
              </w:rPr>
            </w:pPr>
            <w:r w:rsidRPr="00170E4B">
              <w:rPr>
                <w:rFonts w:eastAsia="Times New Roman" w:cs="Times New Roman"/>
                <w:b/>
                <w:bCs/>
                <w:sz w:val="22"/>
                <w:szCs w:val="22"/>
              </w:rPr>
              <w:t>4</w:t>
            </w:r>
          </w:p>
        </w:tc>
      </w:tr>
      <w:tr w:rsidR="00170E4B" w:rsidRPr="00170E4B" w14:paraId="0C61797C" w14:textId="77777777" w:rsidTr="002F56CA">
        <w:trPr>
          <w:trHeight w:val="669"/>
        </w:trPr>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B6A1F4" w14:textId="77777777" w:rsidR="00170E4B" w:rsidRPr="00170E4B" w:rsidRDefault="00170E4B" w:rsidP="00170E4B">
            <w:pPr>
              <w:spacing w:after="120"/>
              <w:jc w:val="left"/>
              <w:rPr>
                <w:rFonts w:eastAsia="Times New Roman" w:cs="Times New Roman"/>
                <w:b/>
                <w:bCs/>
                <w:sz w:val="22"/>
                <w:szCs w:val="22"/>
              </w:rPr>
            </w:pPr>
            <w:r w:rsidRPr="00170E4B">
              <w:rPr>
                <w:rFonts w:eastAsia="Times New Roman" w:cs="Times New Roman"/>
                <w:b/>
                <w:bCs/>
                <w:sz w:val="22"/>
                <w:szCs w:val="22"/>
              </w:rPr>
              <w:t>Ընդամենը</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6FFF4F" w14:textId="77777777" w:rsidR="00170E4B" w:rsidRPr="00170E4B" w:rsidRDefault="00170E4B" w:rsidP="00170E4B">
            <w:pPr>
              <w:spacing w:after="120"/>
              <w:ind w:right="133" w:hanging="4"/>
              <w:jc w:val="right"/>
              <w:rPr>
                <w:rFonts w:eastAsia="Times New Roman" w:cs="Times New Roman"/>
                <w:b/>
                <w:bCs/>
                <w:sz w:val="22"/>
                <w:szCs w:val="22"/>
                <w:highlight w:val="darkYellow"/>
              </w:rPr>
            </w:pPr>
            <w:r w:rsidRPr="00170E4B">
              <w:rPr>
                <w:rFonts w:eastAsia="Times New Roman" w:cs="Times New Roman"/>
                <w:b/>
                <w:bCs/>
                <w:sz w:val="22"/>
                <w:szCs w:val="22"/>
              </w:rPr>
              <w:t>1,596,030.70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A2423C" w14:textId="77777777" w:rsidR="00170E4B" w:rsidRPr="00170E4B" w:rsidRDefault="00170E4B" w:rsidP="00170E4B">
            <w:pPr>
              <w:spacing w:after="120"/>
              <w:ind w:left="-20" w:right="127" w:hanging="4"/>
              <w:jc w:val="right"/>
              <w:rPr>
                <w:rFonts w:eastAsia="Times New Roman" w:cs="Times New Roman"/>
                <w:b/>
                <w:bCs/>
                <w:sz w:val="22"/>
                <w:szCs w:val="22"/>
              </w:rPr>
            </w:pPr>
            <w:r w:rsidRPr="00170E4B">
              <w:rPr>
                <w:rFonts w:eastAsia="Times New Roman" w:cs="Times New Roman"/>
                <w:b/>
                <w:bCs/>
                <w:sz w:val="22"/>
                <w:szCs w:val="22"/>
              </w:rPr>
              <w:t>1,555,112.84</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D3A4AF" w14:textId="77777777" w:rsidR="00170E4B" w:rsidRPr="00170E4B" w:rsidRDefault="00170E4B" w:rsidP="00170E4B">
            <w:pPr>
              <w:spacing w:after="120"/>
              <w:ind w:right="84" w:hanging="4"/>
              <w:jc w:val="right"/>
              <w:rPr>
                <w:rFonts w:eastAsia="Times New Roman" w:cs="Times New Roman"/>
                <w:b/>
                <w:bCs/>
                <w:sz w:val="22"/>
                <w:szCs w:val="22"/>
              </w:rPr>
            </w:pPr>
            <w:r w:rsidRPr="00170E4B">
              <w:rPr>
                <w:rFonts w:eastAsia="Times New Roman" w:cs="Times New Roman"/>
                <w:b/>
                <w:bCs/>
                <w:sz w:val="22"/>
                <w:szCs w:val="22"/>
              </w:rPr>
              <w:t>1,663,661.06</w:t>
            </w:r>
          </w:p>
        </w:tc>
      </w:tr>
      <w:tr w:rsidR="00170E4B" w:rsidRPr="00170E4B" w14:paraId="13C705FD" w14:textId="77777777" w:rsidTr="002F56CA">
        <w:trPr>
          <w:trHeight w:val="702"/>
        </w:trPr>
        <w:tc>
          <w:tcPr>
            <w:tcW w:w="36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7E4E76" w14:textId="77777777" w:rsidR="00170E4B" w:rsidRPr="00170E4B" w:rsidRDefault="00170E4B" w:rsidP="00170E4B">
            <w:pPr>
              <w:spacing w:after="120"/>
              <w:jc w:val="left"/>
              <w:rPr>
                <w:rFonts w:eastAsia="Times New Roman" w:cs="Times New Roman"/>
                <w:sz w:val="22"/>
                <w:szCs w:val="22"/>
              </w:rPr>
            </w:pPr>
            <w:r w:rsidRPr="00170E4B">
              <w:rPr>
                <w:rFonts w:eastAsia="Times New Roman" w:cs="Times New Roman"/>
                <w:sz w:val="22"/>
                <w:szCs w:val="22"/>
              </w:rPr>
              <w:t>Աշխատանքի վարձատրություն</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94C91F" w14:textId="77777777" w:rsidR="00170E4B" w:rsidRPr="00170E4B" w:rsidRDefault="00170E4B" w:rsidP="00170E4B">
            <w:pPr>
              <w:spacing w:after="120"/>
              <w:ind w:left="-146" w:right="133" w:hanging="4"/>
              <w:jc w:val="right"/>
              <w:rPr>
                <w:rFonts w:eastAsia="Times New Roman" w:cs="Times New Roman"/>
                <w:sz w:val="22"/>
                <w:szCs w:val="22"/>
              </w:rPr>
            </w:pPr>
            <w:r w:rsidRPr="00170E4B">
              <w:rPr>
                <w:rFonts w:eastAsia="Times New Roman" w:cs="Times New Roman"/>
                <w:sz w:val="22"/>
                <w:szCs w:val="22"/>
              </w:rPr>
              <w:t>1,535,816.90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0F460B2" w14:textId="77777777" w:rsidR="00170E4B" w:rsidRPr="00170E4B" w:rsidRDefault="00170E4B" w:rsidP="00170E4B">
            <w:pPr>
              <w:spacing w:after="120"/>
              <w:ind w:left="-20" w:right="127" w:hanging="4"/>
              <w:jc w:val="right"/>
              <w:rPr>
                <w:rFonts w:eastAsia="Times New Roman" w:cs="Times New Roman"/>
                <w:sz w:val="22"/>
                <w:szCs w:val="22"/>
              </w:rPr>
            </w:pPr>
            <w:r w:rsidRPr="00170E4B">
              <w:rPr>
                <w:rFonts w:eastAsia="Times New Roman" w:cs="Times New Roman"/>
                <w:sz w:val="22"/>
                <w:szCs w:val="22"/>
              </w:rPr>
              <w:t>1,495,294.34</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A2E7839" w14:textId="77777777" w:rsidR="00170E4B" w:rsidRPr="00170E4B" w:rsidRDefault="00170E4B" w:rsidP="00170E4B">
            <w:pPr>
              <w:spacing w:after="120"/>
              <w:ind w:right="84" w:hanging="4"/>
              <w:jc w:val="right"/>
              <w:rPr>
                <w:rFonts w:eastAsia="Times New Roman" w:cs="Times New Roman"/>
                <w:sz w:val="22"/>
                <w:szCs w:val="22"/>
              </w:rPr>
            </w:pPr>
            <w:r w:rsidRPr="00170E4B">
              <w:rPr>
                <w:rFonts w:eastAsia="Times New Roman" w:cs="Times New Roman"/>
                <w:sz w:val="22"/>
                <w:szCs w:val="22"/>
              </w:rPr>
              <w:t>1,601,169.68</w:t>
            </w:r>
          </w:p>
        </w:tc>
      </w:tr>
      <w:tr w:rsidR="00170E4B" w:rsidRPr="00170E4B" w14:paraId="238780D4" w14:textId="77777777" w:rsidTr="002F56CA">
        <w:trPr>
          <w:trHeight w:val="624"/>
        </w:trPr>
        <w:tc>
          <w:tcPr>
            <w:tcW w:w="368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3D883C" w14:textId="77777777" w:rsidR="00170E4B" w:rsidRPr="00170E4B" w:rsidRDefault="00170E4B" w:rsidP="00170E4B">
            <w:pPr>
              <w:spacing w:after="120"/>
              <w:jc w:val="left"/>
              <w:rPr>
                <w:rFonts w:eastAsia="Times New Roman" w:cs="Times New Roman"/>
                <w:sz w:val="22"/>
                <w:szCs w:val="22"/>
              </w:rPr>
            </w:pPr>
            <w:r w:rsidRPr="00170E4B">
              <w:rPr>
                <w:rFonts w:eastAsia="Times New Roman" w:cs="Times New Roman"/>
                <w:sz w:val="22"/>
                <w:szCs w:val="22"/>
              </w:rPr>
              <w:t>Ծառայությունների և ապրանքների ձեռքբերում և այլ ծախսեր և պարտադիր վճարներ</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A05105" w14:textId="77777777" w:rsidR="00170E4B" w:rsidRPr="00170E4B" w:rsidRDefault="00170E4B" w:rsidP="00170E4B">
            <w:pPr>
              <w:spacing w:after="120"/>
              <w:ind w:right="133" w:hanging="4"/>
              <w:jc w:val="right"/>
              <w:rPr>
                <w:rFonts w:eastAsia="Times New Roman" w:cs="Times New Roman"/>
                <w:sz w:val="22"/>
                <w:szCs w:val="22"/>
                <w:highlight w:val="darkYellow"/>
              </w:rPr>
            </w:pPr>
            <w:r w:rsidRPr="00170E4B">
              <w:rPr>
                <w:rFonts w:eastAsia="Times New Roman" w:cs="Calibri"/>
                <w:color w:val="000000"/>
                <w:sz w:val="22"/>
                <w:szCs w:val="22"/>
              </w:rPr>
              <w:t>60,213.80</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5103E3" w14:textId="77777777" w:rsidR="00170E4B" w:rsidRPr="00170E4B" w:rsidRDefault="00170E4B" w:rsidP="00170E4B">
            <w:pPr>
              <w:spacing w:after="120"/>
              <w:ind w:left="-20" w:right="127" w:hanging="4"/>
              <w:jc w:val="right"/>
              <w:rPr>
                <w:rFonts w:eastAsia="Times New Roman" w:cs="Times New Roman"/>
                <w:sz w:val="22"/>
                <w:szCs w:val="22"/>
              </w:rPr>
            </w:pPr>
            <w:r w:rsidRPr="00170E4B">
              <w:rPr>
                <w:rFonts w:eastAsia="Times New Roman" w:cs="Calibri"/>
                <w:color w:val="000000"/>
                <w:sz w:val="22"/>
                <w:szCs w:val="22"/>
              </w:rPr>
              <w:t>59,818.50</w:t>
            </w:r>
          </w:p>
        </w:tc>
        <w:tc>
          <w:tcPr>
            <w:tcW w:w="21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0ED17E" w14:textId="77777777" w:rsidR="00170E4B" w:rsidRPr="00170E4B" w:rsidRDefault="00170E4B" w:rsidP="00170E4B">
            <w:pPr>
              <w:spacing w:after="120"/>
              <w:ind w:right="84" w:hanging="4"/>
              <w:jc w:val="right"/>
              <w:rPr>
                <w:rFonts w:eastAsia="Times New Roman" w:cs="Times New Roman"/>
                <w:sz w:val="22"/>
                <w:szCs w:val="22"/>
              </w:rPr>
            </w:pPr>
            <w:r w:rsidRPr="00170E4B">
              <w:rPr>
                <w:rFonts w:eastAsia="Times New Roman" w:cs="Calibri"/>
                <w:color w:val="000000"/>
                <w:sz w:val="22"/>
                <w:szCs w:val="22"/>
              </w:rPr>
              <w:t>62,491.38</w:t>
            </w:r>
          </w:p>
        </w:tc>
      </w:tr>
    </w:tbl>
    <w:p w14:paraId="20660562" w14:textId="77777777" w:rsidR="00170E4B" w:rsidRPr="00170E4B" w:rsidRDefault="00170E4B" w:rsidP="00170E4B">
      <w:pPr>
        <w:spacing w:after="120"/>
        <w:ind w:left="720" w:firstLine="567"/>
        <w:contextualSpacing/>
        <w:rPr>
          <w:rFonts w:eastAsia="Times New Roman" w:cs="Times New Roman"/>
        </w:rPr>
      </w:pPr>
    </w:p>
    <w:p w14:paraId="04E93535" w14:textId="77777777" w:rsidR="00170E4B" w:rsidRPr="00170E4B" w:rsidRDefault="00170E4B" w:rsidP="00170E4B">
      <w:pPr>
        <w:spacing w:after="120"/>
        <w:ind w:firstLine="567"/>
        <w:rPr>
          <w:rFonts w:eastAsia="Times New Roman" w:cs="Times New Roman"/>
          <w:strike/>
        </w:rPr>
      </w:pPr>
      <w:r w:rsidRPr="00170E4B">
        <w:rPr>
          <w:rFonts w:eastAsia="Times New Roman" w:cs="Times New Roman"/>
        </w:rPr>
        <w:t xml:space="preserve">Աշխատանքի վարձատրության գծով փաստացի ծախսը կազմել է </w:t>
      </w:r>
      <w:r w:rsidRPr="00170E4B">
        <w:rPr>
          <w:rFonts w:eastAsia="Times New Roman" w:cs="Times New Roman"/>
          <w:b/>
          <w:bCs/>
          <w:u w:val="single"/>
        </w:rPr>
        <w:t>1,601,169.68</w:t>
      </w:r>
      <w:r w:rsidRPr="00170E4B">
        <w:rPr>
          <w:rFonts w:eastAsia="Times New Roman" w:cs="Times New Roman"/>
        </w:rPr>
        <w:t xml:space="preserve"> </w:t>
      </w:r>
      <w:r w:rsidRPr="00170E4B">
        <w:rPr>
          <w:rFonts w:eastAsia="Times New Roman" w:cs="Times New Roman"/>
          <w:b/>
          <w:bCs/>
          <w:u w:val="single"/>
        </w:rPr>
        <w:t>հազ. դրամ</w:t>
      </w:r>
      <w:r w:rsidRPr="00170E4B">
        <w:rPr>
          <w:rFonts w:eastAsia="Times New Roman" w:cs="Times New Roman"/>
        </w:rPr>
        <w:t xml:space="preserve">, դրամարկղի ծախսը՝ </w:t>
      </w:r>
      <w:r w:rsidRPr="00170E4B">
        <w:rPr>
          <w:rFonts w:eastAsia="Times New Roman" w:cs="Times New Roman"/>
          <w:b/>
          <w:bCs/>
          <w:u w:val="single"/>
        </w:rPr>
        <w:t>1,495,294.34</w:t>
      </w:r>
      <w:r w:rsidRPr="00170E4B">
        <w:rPr>
          <w:rFonts w:eastAsia="Times New Roman" w:cs="Times New Roman"/>
        </w:rPr>
        <w:t xml:space="preserve"> </w:t>
      </w:r>
      <w:r w:rsidRPr="00170E4B">
        <w:rPr>
          <w:rFonts w:eastAsia="Times New Roman" w:cs="Times New Roman"/>
          <w:b/>
          <w:bCs/>
          <w:u w:val="single"/>
        </w:rPr>
        <w:t>հազ. դրամ</w:t>
      </w:r>
      <w:r w:rsidRPr="00170E4B">
        <w:rPr>
          <w:rFonts w:eastAsia="Times New Roman" w:cs="Times New Roman"/>
        </w:rPr>
        <w:t>։</w:t>
      </w:r>
    </w:p>
    <w:p w14:paraId="01AAD300"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ab/>
        <w:t>Ծառայությունների և ապրանքների ձեռքբերումների և այլ ծախսերի գծով ֆինանսավորումը կազմել է 60,213.8 հազ.դրամ, դրամարկղի ծախսը՝ 59,818.5 հազ դրամ, իսկ փաստացի ծախսը՝ 62,491.38 հազ.դրամ։</w:t>
      </w:r>
    </w:p>
    <w:p w14:paraId="116D68F1" w14:textId="02E0C3F0" w:rsidR="00170E4B" w:rsidRDefault="00170E4B" w:rsidP="00170E4B">
      <w:pPr>
        <w:spacing w:after="120"/>
        <w:ind w:firstLine="567"/>
        <w:rPr>
          <w:rFonts w:eastAsia="Times New Roman" w:cs="Times New Roman"/>
        </w:rPr>
      </w:pPr>
      <w:r w:rsidRPr="00170E4B">
        <w:rPr>
          <w:rFonts w:eastAsia="Times New Roman" w:cs="Times New Roman"/>
        </w:rPr>
        <w:lastRenderedPageBreak/>
        <w:t>Միջոցառման մասով հաշվետու ժամանակաշրջանի ճշտված պլանի համեմատ տարբերությունը հիմնականում պայմանավորված է սեպտեմբեր ամսվա որոշ ապրանքների և ծառայությունների դիմաց վճարումները հոկտեմբեր ամսին կատարելու հանգամանքով:</w:t>
      </w:r>
    </w:p>
    <w:p w14:paraId="03C97CF2" w14:textId="77777777" w:rsidR="00D42786" w:rsidRPr="00170E4B" w:rsidRDefault="00D42786" w:rsidP="00170E4B">
      <w:pPr>
        <w:spacing w:after="120"/>
        <w:ind w:firstLine="567"/>
        <w:rPr>
          <w:rFonts w:eastAsia="Times New Roman" w:cs="Times New Roman"/>
        </w:rPr>
      </w:pPr>
    </w:p>
    <w:p w14:paraId="2D5F9309" w14:textId="77777777" w:rsidR="00170E4B" w:rsidRPr="00170E4B" w:rsidRDefault="00170E4B" w:rsidP="00EB7AF5">
      <w:pPr>
        <w:pStyle w:val="Heading2"/>
      </w:pPr>
      <w:bookmarkStart w:id="14" w:name="_Toc64560573"/>
      <w:r w:rsidRPr="00170E4B">
        <w:t>ԱՐՏԱՐԺՈՒԹԱՅԻՆ ՊԵՏԱԿԱՆ ՊԱՐՏԱՏՈՄՍԵՐԻ ԹՈՂԱՐԿՄԱՆՆ ԱՌՆՉՎՈՂ ԾԱԽՍԵՐ</w:t>
      </w:r>
      <w:bookmarkEnd w:id="14"/>
    </w:p>
    <w:p w14:paraId="46989490" w14:textId="77777777" w:rsidR="00170E4B" w:rsidRPr="00170E4B" w:rsidRDefault="00170E4B" w:rsidP="00170E4B">
      <w:pPr>
        <w:spacing w:after="120"/>
        <w:ind w:left="720" w:firstLine="567"/>
        <w:contextualSpacing/>
        <w:rPr>
          <w:rFonts w:eastAsia="Times New Roman" w:cs="Times New Roman"/>
        </w:rPr>
      </w:pPr>
    </w:p>
    <w:p w14:paraId="66883F69"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«Արտարժութային պետական պարտատոմսերի թողարկմանն առնչվող» միջոցառման շրջանակներում 2020թ. տարեկան ճշտված պլանով նախատեսվել է 32.5 հազ.դրամ գումար, իսկ 2020թ. ինն ամսվա պլանը կազմել է 32.5 հազ.դրամ: Հաշվետու ժամանակաշրջանում սույն միջոցառման գծով վճարվել է “Bloomberg Finance L.P.” կազմակերպության կայքում իրավաբանական անձի նույնականիշի թարմացման դիմաց վճարումը, որն համաձայն հիշյալ ծառայության դիմաց 2020 թվականին գործող գնացուցակի կազմել է 50 ԱՄՆ դոլար: Հաշվի առնելով, որ այդ վճարումը հնարավոր էր իրականացնել բացառապես բանկային քարտի միջոցով և ՀՀ ֆինանսների նախարարությունում նման տեսակի վճարումների համար բանկային քարտի բացակայությունը, ծառայության դիմաց պահանջված գումարը փաստացի վճարվել է ՀՀ ֆինանսների նախարարության պետական պարտքի կառավարման վարչության պետի անձնական բանկային քարտից:</w:t>
      </w:r>
    </w:p>
    <w:p w14:paraId="13F59CF4" w14:textId="77777777" w:rsidR="00170E4B" w:rsidRPr="00170E4B" w:rsidRDefault="00170E4B" w:rsidP="00170E4B">
      <w:pPr>
        <w:spacing w:after="120"/>
        <w:ind w:left="720" w:firstLine="567"/>
        <w:contextualSpacing/>
        <w:rPr>
          <w:rFonts w:eastAsia="Times New Roman" w:cs="Times New Roman"/>
          <w:highlight w:val="red"/>
        </w:rPr>
      </w:pPr>
    </w:p>
    <w:p w14:paraId="5092EF24" w14:textId="77777777" w:rsidR="00170E4B" w:rsidRPr="00170E4B" w:rsidRDefault="00170E4B" w:rsidP="00170E4B">
      <w:pPr>
        <w:spacing w:after="120"/>
        <w:ind w:left="720" w:firstLine="567"/>
        <w:contextualSpacing/>
        <w:rPr>
          <w:rFonts w:eastAsia="Times New Roman" w:cs="Times New Roman"/>
          <w:highlight w:val="red"/>
        </w:rPr>
      </w:pPr>
    </w:p>
    <w:p w14:paraId="2FED2241" w14:textId="77777777" w:rsidR="00170E4B" w:rsidRPr="00170E4B" w:rsidRDefault="00170E4B" w:rsidP="00EB7AF5">
      <w:pPr>
        <w:pStyle w:val="Heading2"/>
      </w:pPr>
      <w:bookmarkStart w:id="15" w:name="_Toc64560574"/>
      <w:r w:rsidRPr="00170E4B">
        <w:t>ՀՀ ՊԵՏԱԿԱՆ ՊԱՐՏՔԻ ԿԱՌԱՎԱՐՄԱՆ ԳՈՐԾԸՆԹԱՑԻ ՀՐԱՊԱՐԱԿԱՅՆՈՒԹՅԱՆ ԱՊԱՀՈՎՈՒՄ</w:t>
      </w:r>
      <w:bookmarkEnd w:id="15"/>
    </w:p>
    <w:p w14:paraId="3747D9DA" w14:textId="77777777" w:rsidR="00170E4B" w:rsidRPr="00170E4B" w:rsidRDefault="00170E4B" w:rsidP="00170E4B">
      <w:pPr>
        <w:spacing w:after="120"/>
        <w:ind w:left="720" w:firstLine="567"/>
        <w:contextualSpacing/>
        <w:rPr>
          <w:rFonts w:eastAsia="Times New Roman" w:cs="Times New Roman"/>
        </w:rPr>
      </w:pPr>
    </w:p>
    <w:p w14:paraId="5A7D498C"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«ՀՀ պետական պարտքի կառավարման գործընթացի հրապարակայնության ապահովում» միջոցառման շրջանակներում 2020թ. տարեկան ճշտված պլանով նախատեսվել է 30,683.8 հազ.դրամ գումար, իսկ 2020թ. ինն ամիսների ճշտված պլանը կազմել է 20,083</w:t>
      </w:r>
      <w:r w:rsidRPr="00170E4B">
        <w:rPr>
          <w:rFonts w:ascii="Cambria Math" w:eastAsia="Times New Roman" w:hAnsi="Cambria Math" w:cs="Cambria Math"/>
        </w:rPr>
        <w:t>․</w:t>
      </w:r>
      <w:r w:rsidRPr="00170E4B">
        <w:rPr>
          <w:rFonts w:eastAsia="Times New Roman" w:cs="Times New Roman"/>
        </w:rPr>
        <w:t>8 հազ.դրամ: Սույն միջոցառումով՝ պետական պարտատոմսերի թողարկման, պետական բյուջեի պակասուրդի ֆինանսավորման և գանձապետական պահառուի</w:t>
      </w:r>
      <w:r w:rsidRPr="00170E4B">
        <w:rPr>
          <w:rFonts w:eastAsia="Times New Roman" w:cs="Times New Roman"/>
          <w:color w:val="FF0000"/>
        </w:rPr>
        <w:t xml:space="preserve"> </w:t>
      </w:r>
      <w:r w:rsidRPr="00170E4B">
        <w:rPr>
          <w:rFonts w:eastAsia="Times New Roman" w:cs="Times New Roman"/>
        </w:rPr>
        <w:t xml:space="preserve">համակարգի վերաբերյալ  հեռուստատեսային և ռադիո հաղորդումների, հայտարարությունների հեռարձակման, ՀՀ պետական պարտքի տարեկան հաշվետվութան </w:t>
      </w:r>
      <w:r w:rsidRPr="00170E4B">
        <w:rPr>
          <w:rFonts w:eastAsia="Times New Roman" w:cs="Times New Roman"/>
        </w:rPr>
        <w:lastRenderedPageBreak/>
        <w:t>և պետական բյուջեի կատարման հաշվետվությունների հրապարակման գծով, հաշվետու ժամանակաշրջանում դրամարկղի և փաստացի ծախսերը կազմել են 17,801.67 հազ.դրամ: Իննամսյա պլանի և դրամարկղի ծախսի տարբերությունը կազմել է 2,282.13 հազ.դրամ, ինչը հիմնականում պայմանավորված է գնման գործընթացով, մասնավորապես՝ համապատասխան պայմանագրերի՝ մարտի սկզբից ուժի մեջ մտնելու հանգամանքով։</w:t>
      </w:r>
    </w:p>
    <w:p w14:paraId="137B7965" w14:textId="77777777" w:rsidR="00170E4B" w:rsidRPr="00170E4B" w:rsidRDefault="00170E4B" w:rsidP="00170E4B">
      <w:pPr>
        <w:spacing w:after="120"/>
        <w:ind w:firstLine="567"/>
        <w:rPr>
          <w:rFonts w:eastAsia="Times New Roman" w:cs="Times New Roman"/>
        </w:rPr>
      </w:pPr>
    </w:p>
    <w:p w14:paraId="02ECE300" w14:textId="77777777" w:rsidR="00170E4B" w:rsidRPr="00170E4B" w:rsidRDefault="00170E4B" w:rsidP="00170E4B">
      <w:pPr>
        <w:spacing w:after="120"/>
        <w:ind w:firstLine="567"/>
        <w:rPr>
          <w:rFonts w:eastAsia="Times New Roman" w:cs="Times New Roman"/>
        </w:rPr>
      </w:pPr>
    </w:p>
    <w:p w14:paraId="54CD192B" w14:textId="77777777" w:rsidR="00170E4B" w:rsidRPr="00170E4B" w:rsidRDefault="00170E4B" w:rsidP="00EB7AF5">
      <w:pPr>
        <w:pStyle w:val="Heading2"/>
      </w:pPr>
      <w:bookmarkStart w:id="16" w:name="_Toc64560575"/>
      <w:r w:rsidRPr="00170E4B">
        <w:t>ՊԱՐՏՔԻ ԿԱՌԱՎԱՐՄԱՆՆ ԱՌՆՉՎՈՂ ՏԵՂԵԿԱՏՎԱԿԱՆ ՀԱՄԱԿԱՐԳԵՐԻ ԵՎ ԾՐԱԳՐԵՐԻ ՍՊԱՍԱՐԿՈՒՄ</w:t>
      </w:r>
      <w:bookmarkEnd w:id="16"/>
    </w:p>
    <w:p w14:paraId="5B4B59DE" w14:textId="77777777" w:rsidR="00170E4B" w:rsidRPr="00170E4B" w:rsidRDefault="00170E4B" w:rsidP="00170E4B">
      <w:pPr>
        <w:spacing w:after="120"/>
        <w:ind w:left="720" w:firstLine="567"/>
        <w:contextualSpacing/>
        <w:rPr>
          <w:rFonts w:eastAsia="Times New Roman" w:cs="Times New Roman"/>
        </w:rPr>
      </w:pPr>
    </w:p>
    <w:p w14:paraId="74C382EB" w14:textId="77777777" w:rsidR="00170E4B" w:rsidRPr="00170E4B" w:rsidRDefault="00170E4B" w:rsidP="00170E4B">
      <w:pPr>
        <w:spacing w:after="120"/>
        <w:ind w:firstLine="567"/>
        <w:rPr>
          <w:rFonts w:eastAsia="Times New Roman" w:cs="Times New Roman"/>
          <w:color w:val="FF0000"/>
        </w:rPr>
      </w:pPr>
      <w:r w:rsidRPr="00170E4B">
        <w:rPr>
          <w:rFonts w:eastAsia="Times New Roman" w:cs="Times New Roman"/>
        </w:rPr>
        <w:t>Միջոցառման շրջանակներում 2020թ. տարեկան ճշտված պլանով նախատեսվել է 37,167.9 հազ.դրամ գումար, իսկ 2020թ. ինն ամիսների ճշտված պլանը կազմել է 30,060</w:t>
      </w:r>
      <w:r w:rsidRPr="00170E4B">
        <w:rPr>
          <w:rFonts w:ascii="Cambria Math" w:eastAsia="Times New Roman" w:hAnsi="Cambria Math" w:cs="Cambria Math"/>
        </w:rPr>
        <w:t>․</w:t>
      </w:r>
      <w:r w:rsidRPr="00170E4B">
        <w:rPr>
          <w:rFonts w:eastAsia="Times New Roman" w:cs="Times New Roman"/>
        </w:rPr>
        <w:t>6 հազ.դրամ: Բլումբերգ և Ռոյթերս տեղեկատվական համակարգերի առևտրային տերմինալների սպասարկման ու պարտքի գրանցման և կառավարման DMFAS 6.0 համակարգի տեխնիկական սպասարկման համար, հաշվետու ժամանակաշրջանում դրամարկղի և փաստացի ծախսերը կազմել են 29,383.55 հազ.դրամ։ Ինն ամիսների պլանի և դրամարկղի ծախսի տարբերությունը՝ 677.05 հազ.դրամ, ինչը  պայմանավորված է ԱՄՆ դոլարի նկատմամբ ՀՀ դրամի կանխատեսումային և փաստացի ձևավորված փոխարժեքների տարբերությամբ:</w:t>
      </w:r>
    </w:p>
    <w:p w14:paraId="0B827972" w14:textId="77777777" w:rsidR="00170E4B" w:rsidRPr="00170E4B" w:rsidRDefault="00170E4B" w:rsidP="00170E4B">
      <w:pPr>
        <w:spacing w:after="120"/>
        <w:ind w:left="720" w:firstLine="567"/>
        <w:contextualSpacing/>
        <w:rPr>
          <w:rFonts w:eastAsia="Times New Roman" w:cs="Times New Roman"/>
        </w:rPr>
      </w:pPr>
    </w:p>
    <w:p w14:paraId="2779B87F" w14:textId="77777777" w:rsidR="00170E4B" w:rsidRPr="00170E4B" w:rsidRDefault="00170E4B" w:rsidP="00170E4B">
      <w:pPr>
        <w:spacing w:after="120"/>
        <w:ind w:left="720" w:firstLine="567"/>
        <w:contextualSpacing/>
        <w:rPr>
          <w:rFonts w:eastAsia="Times New Roman" w:cs="Times New Roman"/>
        </w:rPr>
      </w:pPr>
    </w:p>
    <w:p w14:paraId="03A7AED1" w14:textId="77777777" w:rsidR="00170E4B" w:rsidRPr="00170E4B" w:rsidRDefault="00170E4B" w:rsidP="00EB7AF5">
      <w:pPr>
        <w:pStyle w:val="Heading2"/>
      </w:pPr>
      <w:bookmarkStart w:id="17" w:name="_Toc64560576"/>
      <w:r w:rsidRPr="00170E4B">
        <w:t>ՀՀ ԿԱՌԱՎԱՐՈՒԹՅԱՆ ՊԱՐՏՔԻ ՍՊԱՍԱՐԿՈՒՄ</w:t>
      </w:r>
      <w:bookmarkEnd w:id="17"/>
    </w:p>
    <w:p w14:paraId="52EA30C3" w14:textId="77777777" w:rsidR="00170E4B" w:rsidRPr="00170E4B" w:rsidRDefault="00170E4B" w:rsidP="00170E4B">
      <w:pPr>
        <w:spacing w:after="120"/>
        <w:ind w:left="720" w:firstLine="567"/>
        <w:contextualSpacing/>
        <w:rPr>
          <w:rFonts w:eastAsia="Times New Roman" w:cs="Times New Roman"/>
        </w:rPr>
      </w:pPr>
    </w:p>
    <w:p w14:paraId="7D5D8273" w14:textId="77777777" w:rsidR="00170E4B" w:rsidRPr="00170E4B" w:rsidRDefault="00170E4B" w:rsidP="00170E4B">
      <w:pPr>
        <w:spacing w:after="120"/>
        <w:ind w:firstLine="567"/>
        <w:rPr>
          <w:rFonts w:eastAsia="Times New Roman" w:cs="Times New Roman"/>
          <w:bCs/>
        </w:rPr>
      </w:pPr>
      <w:r w:rsidRPr="00170E4B">
        <w:rPr>
          <w:rFonts w:eastAsia="Times New Roman" w:cs="Sylfaen"/>
          <w:bCs/>
        </w:rPr>
        <w:t xml:space="preserve">«ՀՀ </w:t>
      </w:r>
      <w:r w:rsidRPr="00170E4B">
        <w:rPr>
          <w:rFonts w:eastAsia="Times New Roman" w:cs="Times New Roman"/>
          <w:bCs/>
        </w:rPr>
        <w:t>Կառավարության պարտքի սպասարկում» միջոցառման շրջանակներում 2020թ. տարեկան ծախսերի համար 2020թ. պետական բյուջեի ճշտված պլանով նախատեսվել է 166,723,209.15 հազ.դրամ, 2020թ. ինն ամսվա ճշտված պլանը կազմել է 120,541,330</w:t>
      </w:r>
      <w:r w:rsidRPr="00170E4B">
        <w:rPr>
          <w:rFonts w:eastAsia="Times New Roman" w:cs="Cambria Math"/>
          <w:bCs/>
        </w:rPr>
        <w:t>,70</w:t>
      </w:r>
      <w:r w:rsidRPr="00170E4B">
        <w:rPr>
          <w:rFonts w:eastAsia="Times New Roman" w:cs="Times New Roman"/>
          <w:bCs/>
        </w:rPr>
        <w:t xml:space="preserve"> հազ.դրամ: Դրամարկղային ծախսը կազմել է 117,679,815.34 հազ. դրամ, տարբերությունը՝ 2,861,515</w:t>
      </w:r>
      <w:r w:rsidRPr="00170E4B">
        <w:rPr>
          <w:rFonts w:eastAsia="Times New Roman" w:cs="Cambria Math"/>
          <w:bCs/>
        </w:rPr>
        <w:t>.36</w:t>
      </w:r>
      <w:r w:rsidRPr="00170E4B">
        <w:rPr>
          <w:rFonts w:eastAsia="Times New Roman" w:cs="Times New Roman"/>
          <w:bCs/>
        </w:rPr>
        <w:t xml:space="preserve"> հազ.դրամ:</w:t>
      </w:r>
    </w:p>
    <w:p w14:paraId="07627F46"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Կառավարության պարտքի սպասարկման միջոցառման 2020թ. ինն ամիսների կատարողականը հետևյալն է՝</w:t>
      </w:r>
    </w:p>
    <w:p w14:paraId="68B95FE4" w14:textId="77777777" w:rsidR="00170E4B" w:rsidRPr="00170E4B" w:rsidRDefault="00170E4B" w:rsidP="00170E4B">
      <w:pPr>
        <w:spacing w:after="0" w:line="240" w:lineRule="auto"/>
        <w:jc w:val="right"/>
        <w:rPr>
          <w:rFonts w:eastAsia="Times New Roman" w:cs="Times New Roman"/>
          <w:sz w:val="22"/>
          <w:szCs w:val="22"/>
        </w:rPr>
      </w:pPr>
    </w:p>
    <w:p w14:paraId="6C0CB909" w14:textId="77777777" w:rsidR="00617AA4" w:rsidRPr="00432511" w:rsidRDefault="00617AA4" w:rsidP="00170E4B">
      <w:pPr>
        <w:spacing w:after="0" w:line="240" w:lineRule="auto"/>
        <w:jc w:val="right"/>
        <w:rPr>
          <w:rFonts w:eastAsia="Times New Roman" w:cs="Times New Roman"/>
          <w:sz w:val="22"/>
          <w:szCs w:val="22"/>
        </w:rPr>
      </w:pPr>
    </w:p>
    <w:p w14:paraId="50883C03" w14:textId="77777777" w:rsidR="00617AA4" w:rsidRPr="00432511" w:rsidRDefault="00617AA4" w:rsidP="00170E4B">
      <w:pPr>
        <w:spacing w:after="0" w:line="240" w:lineRule="auto"/>
        <w:jc w:val="right"/>
        <w:rPr>
          <w:rFonts w:eastAsia="Times New Roman" w:cs="Times New Roman"/>
          <w:sz w:val="22"/>
          <w:szCs w:val="22"/>
        </w:rPr>
      </w:pPr>
    </w:p>
    <w:p w14:paraId="2AA0A843" w14:textId="3F2383E8" w:rsidR="00170E4B" w:rsidRPr="00170E4B" w:rsidRDefault="00170E4B" w:rsidP="00170E4B">
      <w:pPr>
        <w:spacing w:after="0" w:line="240" w:lineRule="auto"/>
        <w:jc w:val="right"/>
        <w:rPr>
          <w:rFonts w:eastAsia="Times New Roman" w:cs="Times New Roman"/>
          <w:sz w:val="22"/>
          <w:szCs w:val="22"/>
        </w:rPr>
      </w:pPr>
      <w:r w:rsidRPr="00170E4B">
        <w:rPr>
          <w:rFonts w:eastAsia="Times New Roman" w:cs="Times New Roman"/>
          <w:sz w:val="22"/>
          <w:szCs w:val="22"/>
          <w:lang w:val="en-US"/>
        </w:rPr>
        <w:t xml:space="preserve">(Աղյուսակ </w:t>
      </w:r>
      <w:r w:rsidRPr="00170E4B">
        <w:rPr>
          <w:rFonts w:eastAsia="Times New Roman" w:cs="Times New Roman"/>
          <w:sz w:val="22"/>
          <w:szCs w:val="22"/>
        </w:rPr>
        <w:t>9</w:t>
      </w:r>
      <w:r w:rsidRPr="00170E4B">
        <w:rPr>
          <w:rFonts w:eastAsia="Times New Roman" w:cs="Times New Roman"/>
          <w:sz w:val="22"/>
          <w:szCs w:val="22"/>
          <w:lang w:val="en-US"/>
        </w:rPr>
        <w:t>)</w:t>
      </w:r>
    </w:p>
    <w:p w14:paraId="7063E489" w14:textId="77777777" w:rsidR="00170E4B" w:rsidRPr="00170E4B" w:rsidRDefault="00170E4B" w:rsidP="00170E4B">
      <w:pPr>
        <w:spacing w:after="0" w:line="240" w:lineRule="auto"/>
        <w:ind w:left="284"/>
        <w:contextualSpacing/>
        <w:jc w:val="right"/>
        <w:rPr>
          <w:rFonts w:eastAsia="Times New Roman" w:cs="Sylfaen"/>
          <w:sz w:val="22"/>
          <w:szCs w:val="22"/>
        </w:rPr>
      </w:pPr>
      <w:r w:rsidRPr="00170E4B">
        <w:rPr>
          <w:rFonts w:eastAsia="Times New Roman" w:cs="Sylfaen"/>
          <w:sz w:val="22"/>
          <w:szCs w:val="22"/>
        </w:rPr>
        <w:t>հազ. դրամ</w:t>
      </w:r>
    </w:p>
    <w:tbl>
      <w:tblPr>
        <w:tblW w:w="10070" w:type="dxa"/>
        <w:tblInd w:w="-5" w:type="dxa"/>
        <w:tblLayout w:type="fixed"/>
        <w:tblLook w:val="04A0" w:firstRow="1" w:lastRow="0" w:firstColumn="1" w:lastColumn="0" w:noHBand="0" w:noVBand="1"/>
      </w:tblPr>
      <w:tblGrid>
        <w:gridCol w:w="1985"/>
        <w:gridCol w:w="1701"/>
        <w:gridCol w:w="1701"/>
        <w:gridCol w:w="1723"/>
        <w:gridCol w:w="1745"/>
        <w:gridCol w:w="1215"/>
      </w:tblGrid>
      <w:tr w:rsidR="00170E4B" w:rsidRPr="00170E4B" w14:paraId="74C5D905" w14:textId="77777777" w:rsidTr="002F56CA">
        <w:trPr>
          <w:trHeight w:val="103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3F93"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eastAsia="ru-RU"/>
              </w:rPr>
              <w:t>Միջոցառում</w:t>
            </w:r>
            <w:r w:rsidRPr="00170E4B">
              <w:rPr>
                <w:rFonts w:eastAsia="Times New Roman" w:cs="Times New Roman"/>
                <w:b/>
                <w:bCs/>
                <w:sz w:val="20"/>
                <w:szCs w:val="20"/>
                <w:lang w:val="ru-RU" w:eastAsia="ru-RU"/>
              </w:rPr>
              <w:t xml:space="preserve"> </w:t>
            </w:r>
            <w:r w:rsidRPr="00170E4B">
              <w:rPr>
                <w:rFonts w:eastAsia="Times New Roman" w:cs="Times New Roman"/>
                <w:b/>
                <w:bCs/>
                <w:sz w:val="20"/>
                <w:szCs w:val="20"/>
                <w:lang w:eastAsia="ru-RU"/>
              </w:rPr>
              <w:t>(հ</w:t>
            </w:r>
            <w:r w:rsidRPr="00170E4B">
              <w:rPr>
                <w:rFonts w:eastAsia="Times New Roman" w:cs="Times New Roman"/>
                <w:b/>
                <w:bCs/>
                <w:sz w:val="20"/>
                <w:szCs w:val="20"/>
                <w:lang w:val="ru-RU" w:eastAsia="ru-RU"/>
              </w:rPr>
              <w:t>ոդված</w:t>
            </w:r>
            <w:r w:rsidRPr="00170E4B">
              <w:rPr>
                <w:rFonts w:eastAsia="Times New Roman" w:cs="Times New Roman"/>
                <w:b/>
                <w:bCs/>
                <w:sz w:val="20"/>
                <w:szCs w:val="20"/>
                <w:lang w:eastAsia="ru-RU"/>
              </w:rPr>
              <w:t>)</w:t>
            </w:r>
            <w:r w:rsidRPr="00170E4B">
              <w:rPr>
                <w:rFonts w:eastAsia="Times New Roman" w:cs="Times New Roman"/>
                <w:b/>
                <w:bCs/>
                <w:sz w:val="20"/>
                <w:szCs w:val="20"/>
                <w:lang w:val="ru-RU"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5EAC226" w14:textId="77777777" w:rsidR="00170E4B" w:rsidRPr="00170E4B" w:rsidRDefault="00170E4B" w:rsidP="00170E4B">
            <w:pPr>
              <w:spacing w:after="0" w:line="240" w:lineRule="auto"/>
              <w:jc w:val="center"/>
              <w:rPr>
                <w:rFonts w:eastAsia="Times New Roman" w:cs="Times New Roman"/>
                <w:b/>
                <w:bCs/>
                <w:sz w:val="20"/>
                <w:szCs w:val="20"/>
                <w:lang w:eastAsia="ru-RU"/>
              </w:rPr>
            </w:pPr>
            <w:r w:rsidRPr="00170E4B">
              <w:rPr>
                <w:rFonts w:eastAsia="Times New Roman" w:cs="Times New Roman"/>
                <w:b/>
                <w:bCs/>
                <w:sz w:val="20"/>
                <w:szCs w:val="20"/>
                <w:lang w:val="ru-RU" w:eastAsia="ru-RU"/>
              </w:rPr>
              <w:t xml:space="preserve"> 2020թ. </w:t>
            </w:r>
            <w:r w:rsidRPr="00170E4B">
              <w:rPr>
                <w:rFonts w:eastAsia="Times New Roman" w:cs="Times New Roman"/>
                <w:b/>
                <w:bCs/>
                <w:sz w:val="20"/>
                <w:szCs w:val="20"/>
                <w:lang w:val="en-US" w:eastAsia="ru-RU"/>
              </w:rPr>
              <w:t>ինն</w:t>
            </w:r>
            <w:r w:rsidRPr="00170E4B">
              <w:rPr>
                <w:rFonts w:eastAsia="Times New Roman" w:cs="Times New Roman"/>
                <w:b/>
                <w:bCs/>
                <w:sz w:val="20"/>
                <w:szCs w:val="20"/>
                <w:lang w:val="ru-RU" w:eastAsia="ru-RU"/>
              </w:rPr>
              <w:t xml:space="preserve"> </w:t>
            </w:r>
            <w:r w:rsidRPr="00170E4B">
              <w:rPr>
                <w:rFonts w:eastAsia="Times New Roman" w:cs="Times New Roman"/>
                <w:b/>
                <w:bCs/>
                <w:sz w:val="20"/>
                <w:szCs w:val="20"/>
                <w:lang w:val="en-US" w:eastAsia="ru-RU"/>
              </w:rPr>
              <w:t>ամիսների</w:t>
            </w:r>
            <w:r w:rsidRPr="00170E4B">
              <w:rPr>
                <w:rFonts w:eastAsia="Times New Roman" w:cs="Times New Roman"/>
                <w:b/>
                <w:bCs/>
                <w:sz w:val="20"/>
                <w:szCs w:val="20"/>
                <w:lang w:val="ru-RU" w:eastAsia="ru-RU"/>
              </w:rPr>
              <w:t xml:space="preserve"> ճշտված պլան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A26D3D2" w14:textId="77777777" w:rsidR="00170E4B" w:rsidRPr="00170E4B" w:rsidRDefault="00170E4B" w:rsidP="00170E4B">
            <w:pPr>
              <w:spacing w:after="0" w:line="240" w:lineRule="auto"/>
              <w:ind w:left="-108" w:right="-107"/>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Ֆինանսավորում</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5E98D29D" w14:textId="77777777" w:rsidR="00170E4B" w:rsidRPr="00170E4B" w:rsidRDefault="00170E4B" w:rsidP="00170E4B">
            <w:pPr>
              <w:spacing w:after="0" w:line="240" w:lineRule="auto"/>
              <w:ind w:left="-59" w:right="-60"/>
              <w:jc w:val="center"/>
              <w:rPr>
                <w:rFonts w:eastAsia="Times New Roman" w:cs="Times New Roman"/>
                <w:b/>
                <w:bCs/>
                <w:sz w:val="20"/>
                <w:szCs w:val="20"/>
                <w:lang w:eastAsia="ru-RU"/>
              </w:rPr>
            </w:pPr>
            <w:r w:rsidRPr="00170E4B">
              <w:rPr>
                <w:rFonts w:eastAsia="Times New Roman" w:cs="Times New Roman"/>
                <w:b/>
                <w:bCs/>
                <w:sz w:val="20"/>
                <w:szCs w:val="20"/>
                <w:lang w:eastAsia="ru-RU"/>
              </w:rPr>
              <w:t>Դրամարկղային ծախս</w:t>
            </w:r>
          </w:p>
        </w:tc>
        <w:tc>
          <w:tcPr>
            <w:tcW w:w="1745" w:type="dxa"/>
            <w:tcBorders>
              <w:top w:val="single" w:sz="4" w:space="0" w:color="auto"/>
              <w:left w:val="nil"/>
              <w:bottom w:val="single" w:sz="4" w:space="0" w:color="auto"/>
              <w:right w:val="single" w:sz="4" w:space="0" w:color="auto"/>
            </w:tcBorders>
            <w:shd w:val="clear" w:color="auto" w:fill="auto"/>
            <w:vAlign w:val="center"/>
            <w:hideMark/>
          </w:tcPr>
          <w:p w14:paraId="27D4BB23" w14:textId="77777777" w:rsidR="00170E4B" w:rsidRPr="00170E4B" w:rsidRDefault="00170E4B" w:rsidP="00170E4B">
            <w:pPr>
              <w:spacing w:after="0" w:line="240" w:lineRule="auto"/>
              <w:ind w:left="-74"/>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 xml:space="preserve"> Փաստացի ծախս</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271BE8FC" w14:textId="77777777" w:rsidR="00170E4B" w:rsidRPr="00170E4B" w:rsidRDefault="00170E4B" w:rsidP="00170E4B">
            <w:pPr>
              <w:spacing w:after="0" w:line="240" w:lineRule="auto"/>
              <w:ind w:right="-49"/>
              <w:jc w:val="center"/>
              <w:rPr>
                <w:rFonts w:eastAsia="Times New Roman" w:cs="Times New Roman"/>
                <w:b/>
                <w:bCs/>
                <w:sz w:val="20"/>
                <w:szCs w:val="20"/>
                <w:lang w:val="ru-RU" w:eastAsia="ru-RU"/>
              </w:rPr>
            </w:pPr>
            <w:r w:rsidRPr="00170E4B">
              <w:rPr>
                <w:rFonts w:eastAsia="Times New Roman" w:cs="Times New Roman"/>
                <w:b/>
                <w:bCs/>
                <w:sz w:val="20"/>
                <w:szCs w:val="20"/>
                <w:lang w:eastAsia="ru-RU"/>
              </w:rPr>
              <w:t>Կ</w:t>
            </w:r>
            <w:r w:rsidRPr="00170E4B">
              <w:rPr>
                <w:rFonts w:eastAsia="Times New Roman" w:cs="Times New Roman"/>
                <w:b/>
                <w:bCs/>
                <w:sz w:val="20"/>
                <w:szCs w:val="20"/>
                <w:lang w:val="ru-RU" w:eastAsia="ru-RU"/>
              </w:rPr>
              <w:t xml:space="preserve">ատարման %-ը </w:t>
            </w:r>
            <w:r w:rsidRPr="00170E4B">
              <w:rPr>
                <w:rFonts w:eastAsia="Times New Roman" w:cs="Times New Roman"/>
                <w:b/>
                <w:bCs/>
                <w:sz w:val="20"/>
                <w:szCs w:val="20"/>
                <w:lang w:val="ru-RU" w:eastAsia="ru-RU"/>
              </w:rPr>
              <w:br/>
              <w:t xml:space="preserve">6=4/2 x100% </w:t>
            </w:r>
          </w:p>
        </w:tc>
      </w:tr>
      <w:tr w:rsidR="00170E4B" w:rsidRPr="00170E4B" w14:paraId="73C15A1E" w14:textId="77777777" w:rsidTr="002F56CA">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38DF9"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200A7EB9"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4DAC3CF3"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3</w:t>
            </w:r>
          </w:p>
        </w:tc>
        <w:tc>
          <w:tcPr>
            <w:tcW w:w="1723" w:type="dxa"/>
            <w:tcBorders>
              <w:top w:val="nil"/>
              <w:left w:val="nil"/>
              <w:bottom w:val="single" w:sz="4" w:space="0" w:color="auto"/>
              <w:right w:val="single" w:sz="4" w:space="0" w:color="auto"/>
            </w:tcBorders>
            <w:shd w:val="clear" w:color="auto" w:fill="auto"/>
            <w:vAlign w:val="center"/>
            <w:hideMark/>
          </w:tcPr>
          <w:p w14:paraId="63AB0387" w14:textId="77777777" w:rsidR="00170E4B" w:rsidRPr="00170E4B" w:rsidRDefault="00170E4B" w:rsidP="00170E4B">
            <w:pPr>
              <w:spacing w:after="0" w:line="240" w:lineRule="auto"/>
              <w:ind w:left="-59" w:right="-105"/>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4</w:t>
            </w:r>
          </w:p>
        </w:tc>
        <w:tc>
          <w:tcPr>
            <w:tcW w:w="1745" w:type="dxa"/>
            <w:tcBorders>
              <w:top w:val="nil"/>
              <w:left w:val="nil"/>
              <w:bottom w:val="single" w:sz="4" w:space="0" w:color="auto"/>
              <w:right w:val="single" w:sz="4" w:space="0" w:color="auto"/>
            </w:tcBorders>
            <w:shd w:val="clear" w:color="auto" w:fill="auto"/>
            <w:vAlign w:val="center"/>
            <w:hideMark/>
          </w:tcPr>
          <w:p w14:paraId="32B3364C"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5</w:t>
            </w:r>
          </w:p>
        </w:tc>
        <w:tc>
          <w:tcPr>
            <w:tcW w:w="1215" w:type="dxa"/>
            <w:tcBorders>
              <w:top w:val="nil"/>
              <w:left w:val="nil"/>
              <w:bottom w:val="single" w:sz="4" w:space="0" w:color="auto"/>
              <w:right w:val="single" w:sz="4" w:space="0" w:color="auto"/>
            </w:tcBorders>
            <w:shd w:val="clear" w:color="auto" w:fill="auto"/>
            <w:vAlign w:val="center"/>
            <w:hideMark/>
          </w:tcPr>
          <w:p w14:paraId="2036DCCD"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6</w:t>
            </w:r>
          </w:p>
        </w:tc>
      </w:tr>
      <w:tr w:rsidR="00170E4B" w:rsidRPr="00170E4B" w14:paraId="309D3B04" w14:textId="77777777" w:rsidTr="002F56CA">
        <w:trPr>
          <w:trHeight w:val="52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B3333" w14:textId="77777777" w:rsidR="00170E4B" w:rsidRPr="00170E4B" w:rsidRDefault="00170E4B" w:rsidP="00170E4B">
            <w:pPr>
              <w:spacing w:after="0" w:line="240" w:lineRule="auto"/>
              <w:jc w:val="center"/>
              <w:rPr>
                <w:rFonts w:eastAsia="Times New Roman" w:cs="Times New Roman"/>
                <w:b/>
                <w:bCs/>
                <w:sz w:val="20"/>
                <w:szCs w:val="20"/>
                <w:lang w:val="ru-RU" w:eastAsia="ru-RU"/>
              </w:rPr>
            </w:pPr>
            <w:r w:rsidRPr="00170E4B">
              <w:rPr>
                <w:rFonts w:eastAsia="Times New Roman" w:cs="Times New Roman"/>
                <w:b/>
                <w:bCs/>
                <w:sz w:val="20"/>
                <w:szCs w:val="20"/>
                <w:lang w:val="ru-RU" w:eastAsia="ru-RU"/>
              </w:rPr>
              <w:t>Ընդամենը</w:t>
            </w:r>
          </w:p>
        </w:tc>
        <w:tc>
          <w:tcPr>
            <w:tcW w:w="1701" w:type="dxa"/>
            <w:tcBorders>
              <w:top w:val="nil"/>
              <w:left w:val="nil"/>
              <w:bottom w:val="single" w:sz="4" w:space="0" w:color="auto"/>
              <w:right w:val="single" w:sz="4" w:space="0" w:color="auto"/>
            </w:tcBorders>
            <w:shd w:val="clear" w:color="auto" w:fill="auto"/>
            <w:noWrap/>
            <w:vAlign w:val="center"/>
            <w:hideMark/>
          </w:tcPr>
          <w:p w14:paraId="51D80092" w14:textId="77777777" w:rsidR="00170E4B" w:rsidRPr="00170E4B" w:rsidRDefault="00170E4B" w:rsidP="00170E4B">
            <w:pPr>
              <w:spacing w:after="0" w:line="240" w:lineRule="auto"/>
              <w:ind w:left="-82" w:right="-70"/>
              <w:jc w:val="center"/>
              <w:rPr>
                <w:rFonts w:eastAsia="Times New Roman" w:cs="Times New Roman"/>
                <w:bCs/>
                <w:sz w:val="20"/>
                <w:szCs w:val="20"/>
                <w:lang w:eastAsia="ru-RU"/>
              </w:rPr>
            </w:pPr>
            <w:r w:rsidRPr="00170E4B">
              <w:rPr>
                <w:rFonts w:eastAsia="Times New Roman" w:cs="Times New Roman"/>
                <w:bCs/>
                <w:sz w:val="20"/>
                <w:szCs w:val="20"/>
                <w:lang w:val="en-US" w:eastAsia="ru-RU"/>
              </w:rPr>
              <w:t>120,541,330.7</w:t>
            </w:r>
            <w:r w:rsidRPr="00170E4B">
              <w:rPr>
                <w:rFonts w:eastAsia="Times New Roman" w:cs="Times New Roman"/>
                <w:bCs/>
                <w:sz w:val="20"/>
                <w:szCs w:val="20"/>
                <w:lang w:eastAsia="ru-RU"/>
              </w:rPr>
              <w:t>0</w:t>
            </w:r>
          </w:p>
        </w:tc>
        <w:tc>
          <w:tcPr>
            <w:tcW w:w="1701" w:type="dxa"/>
            <w:tcBorders>
              <w:top w:val="nil"/>
              <w:left w:val="nil"/>
              <w:bottom w:val="single" w:sz="4" w:space="0" w:color="auto"/>
              <w:right w:val="single" w:sz="4" w:space="0" w:color="auto"/>
            </w:tcBorders>
            <w:shd w:val="clear" w:color="auto" w:fill="auto"/>
            <w:noWrap/>
            <w:vAlign w:val="center"/>
            <w:hideMark/>
          </w:tcPr>
          <w:p w14:paraId="669AC118" w14:textId="77777777" w:rsidR="00170E4B" w:rsidRPr="00170E4B" w:rsidRDefault="00170E4B" w:rsidP="00170E4B">
            <w:pPr>
              <w:spacing w:after="0" w:line="240" w:lineRule="auto"/>
              <w:ind w:right="-15"/>
              <w:jc w:val="center"/>
              <w:rPr>
                <w:rFonts w:eastAsia="Times New Roman" w:cs="Times New Roman"/>
                <w:bCs/>
                <w:sz w:val="20"/>
                <w:szCs w:val="20"/>
                <w:lang w:eastAsia="ru-RU"/>
              </w:rPr>
            </w:pPr>
            <w:r w:rsidRPr="00170E4B">
              <w:rPr>
                <w:rFonts w:eastAsia="Times New Roman" w:cs="Times New Roman"/>
                <w:bCs/>
                <w:sz w:val="20"/>
                <w:szCs w:val="20"/>
                <w:lang w:val="en-US" w:eastAsia="ru-RU"/>
              </w:rPr>
              <w:t>117,679,815.</w:t>
            </w:r>
            <w:r w:rsidRPr="00170E4B">
              <w:rPr>
                <w:rFonts w:eastAsia="Times New Roman" w:cs="Times New Roman"/>
                <w:bCs/>
                <w:sz w:val="20"/>
                <w:szCs w:val="20"/>
                <w:lang w:eastAsia="ru-RU"/>
              </w:rPr>
              <w:t>79</w:t>
            </w:r>
          </w:p>
        </w:tc>
        <w:tc>
          <w:tcPr>
            <w:tcW w:w="1723" w:type="dxa"/>
            <w:tcBorders>
              <w:top w:val="nil"/>
              <w:left w:val="nil"/>
              <w:bottom w:val="single" w:sz="4" w:space="0" w:color="auto"/>
              <w:right w:val="single" w:sz="4" w:space="0" w:color="auto"/>
            </w:tcBorders>
            <w:shd w:val="clear" w:color="auto" w:fill="auto"/>
            <w:noWrap/>
            <w:vAlign w:val="center"/>
            <w:hideMark/>
          </w:tcPr>
          <w:p w14:paraId="59EEB0AD" w14:textId="77777777" w:rsidR="00170E4B" w:rsidRPr="00170E4B" w:rsidRDefault="00170E4B" w:rsidP="00170E4B">
            <w:pPr>
              <w:spacing w:after="0" w:line="240" w:lineRule="auto"/>
              <w:ind w:left="-59" w:right="-105"/>
              <w:jc w:val="center"/>
              <w:rPr>
                <w:rFonts w:eastAsia="Times New Roman" w:cs="Times New Roman"/>
                <w:bCs/>
                <w:sz w:val="20"/>
                <w:szCs w:val="20"/>
                <w:lang w:eastAsia="ru-RU"/>
              </w:rPr>
            </w:pPr>
            <w:r w:rsidRPr="00170E4B">
              <w:rPr>
                <w:rFonts w:eastAsia="Times New Roman" w:cs="Times New Roman"/>
                <w:bCs/>
                <w:sz w:val="20"/>
                <w:szCs w:val="20"/>
                <w:lang w:val="en-US" w:eastAsia="ru-RU"/>
              </w:rPr>
              <w:t>117,679,815.3</w:t>
            </w:r>
            <w:r w:rsidRPr="00170E4B">
              <w:rPr>
                <w:rFonts w:eastAsia="Times New Roman" w:cs="Times New Roman"/>
                <w:bCs/>
                <w:sz w:val="20"/>
                <w:szCs w:val="20"/>
                <w:lang w:eastAsia="ru-RU"/>
              </w:rPr>
              <w:t>4</w:t>
            </w:r>
          </w:p>
        </w:tc>
        <w:tc>
          <w:tcPr>
            <w:tcW w:w="1745" w:type="dxa"/>
            <w:tcBorders>
              <w:top w:val="nil"/>
              <w:left w:val="nil"/>
              <w:bottom w:val="single" w:sz="4" w:space="0" w:color="auto"/>
              <w:right w:val="single" w:sz="4" w:space="0" w:color="auto"/>
            </w:tcBorders>
            <w:shd w:val="clear" w:color="auto" w:fill="auto"/>
            <w:noWrap/>
            <w:vAlign w:val="center"/>
            <w:hideMark/>
          </w:tcPr>
          <w:p w14:paraId="34FCB976" w14:textId="77777777" w:rsidR="00170E4B" w:rsidRPr="00170E4B" w:rsidRDefault="00170E4B" w:rsidP="00170E4B">
            <w:pPr>
              <w:spacing w:after="0" w:line="240" w:lineRule="auto"/>
              <w:ind w:left="-59" w:right="-105"/>
              <w:jc w:val="center"/>
              <w:rPr>
                <w:rFonts w:eastAsia="Times New Roman" w:cs="Times New Roman"/>
                <w:bCs/>
                <w:sz w:val="20"/>
                <w:szCs w:val="20"/>
                <w:lang w:val="en-US" w:eastAsia="ru-RU"/>
              </w:rPr>
            </w:pPr>
            <w:r w:rsidRPr="00170E4B">
              <w:rPr>
                <w:rFonts w:eastAsia="Times New Roman" w:cs="Times New Roman"/>
                <w:bCs/>
                <w:sz w:val="20"/>
                <w:szCs w:val="20"/>
                <w:lang w:val="en-US" w:eastAsia="ru-RU"/>
              </w:rPr>
              <w:t>117,679,815.3</w:t>
            </w:r>
          </w:p>
        </w:tc>
        <w:tc>
          <w:tcPr>
            <w:tcW w:w="1215" w:type="dxa"/>
            <w:tcBorders>
              <w:top w:val="nil"/>
              <w:left w:val="nil"/>
              <w:bottom w:val="single" w:sz="4" w:space="0" w:color="auto"/>
              <w:right w:val="single" w:sz="4" w:space="0" w:color="auto"/>
            </w:tcBorders>
            <w:shd w:val="clear" w:color="auto" w:fill="auto"/>
            <w:noWrap/>
            <w:vAlign w:val="center"/>
            <w:hideMark/>
          </w:tcPr>
          <w:p w14:paraId="5E63AAD3" w14:textId="77777777" w:rsidR="00170E4B" w:rsidRPr="00170E4B" w:rsidRDefault="00170E4B" w:rsidP="00170E4B">
            <w:pPr>
              <w:spacing w:after="0" w:line="240" w:lineRule="auto"/>
              <w:jc w:val="center"/>
              <w:rPr>
                <w:rFonts w:eastAsia="Times New Roman" w:cs="Times New Roman"/>
                <w:bCs/>
                <w:sz w:val="20"/>
                <w:szCs w:val="20"/>
                <w:lang w:val="en-US" w:eastAsia="ru-RU"/>
              </w:rPr>
            </w:pPr>
            <w:r w:rsidRPr="00170E4B">
              <w:rPr>
                <w:rFonts w:eastAsia="Times New Roman" w:cs="Times New Roman"/>
                <w:bCs/>
                <w:sz w:val="20"/>
                <w:szCs w:val="20"/>
                <w:lang w:val="en-US" w:eastAsia="ru-RU"/>
              </w:rPr>
              <w:t>97.6</w:t>
            </w:r>
          </w:p>
        </w:tc>
      </w:tr>
      <w:tr w:rsidR="00170E4B" w:rsidRPr="00170E4B" w14:paraId="56509634" w14:textId="77777777" w:rsidTr="002F56CA">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DE48B" w14:textId="77777777" w:rsidR="00170E4B" w:rsidRPr="00170E4B" w:rsidRDefault="00170E4B" w:rsidP="00170E4B">
            <w:pPr>
              <w:spacing w:after="0" w:line="240" w:lineRule="auto"/>
              <w:jc w:val="left"/>
              <w:rPr>
                <w:rFonts w:eastAsia="Times New Roman" w:cs="Times New Roman"/>
                <w:sz w:val="20"/>
                <w:szCs w:val="20"/>
                <w:lang w:val="ru-RU" w:eastAsia="ru-RU"/>
              </w:rPr>
            </w:pPr>
            <w:r w:rsidRPr="00170E4B">
              <w:rPr>
                <w:rFonts w:eastAsia="Times New Roman" w:cs="Times New Roman"/>
                <w:sz w:val="20"/>
                <w:szCs w:val="20"/>
                <w:lang w:val="ru-RU" w:eastAsia="ru-RU"/>
              </w:rPr>
              <w:t>Ներքին</w:t>
            </w:r>
            <w:r w:rsidRPr="00170E4B">
              <w:rPr>
                <w:rFonts w:eastAsia="Times New Roman" w:cs="Times New Roman"/>
                <w:sz w:val="20"/>
                <w:szCs w:val="20"/>
                <w:lang w:eastAsia="ru-RU"/>
              </w:rPr>
              <w:t xml:space="preserve"> տ</w:t>
            </w:r>
            <w:r w:rsidRPr="00170E4B">
              <w:rPr>
                <w:rFonts w:eastAsia="Times New Roman" w:cs="Times New Roman"/>
                <w:sz w:val="20"/>
                <w:szCs w:val="20"/>
                <w:lang w:val="ru-RU" w:eastAsia="ru-RU"/>
              </w:rPr>
              <w:t>ոկոսավճարներ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650A" w14:textId="77777777" w:rsidR="00170E4B" w:rsidRPr="00170E4B" w:rsidRDefault="00170E4B" w:rsidP="00170E4B">
            <w:pPr>
              <w:spacing w:after="0" w:line="240" w:lineRule="auto"/>
              <w:jc w:val="center"/>
              <w:rPr>
                <w:rFonts w:eastAsia="Times New Roman" w:cs="Times New Roman"/>
                <w:sz w:val="20"/>
                <w:szCs w:val="20"/>
                <w:lang w:eastAsia="ru-RU"/>
              </w:rPr>
            </w:pPr>
            <w:r w:rsidRPr="00170E4B">
              <w:rPr>
                <w:rFonts w:eastAsia="Times New Roman" w:cs="Times New Roman"/>
                <w:sz w:val="20"/>
                <w:szCs w:val="20"/>
                <w:lang w:val="en-US" w:eastAsia="ru-RU"/>
              </w:rPr>
              <w:t>55,065,340.0</w:t>
            </w:r>
            <w:r w:rsidRPr="00170E4B">
              <w:rPr>
                <w:rFonts w:eastAsia="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2017B" w14:textId="77777777" w:rsidR="00170E4B" w:rsidRPr="00170E4B" w:rsidRDefault="00170E4B" w:rsidP="00170E4B">
            <w:pPr>
              <w:spacing w:after="0" w:line="240" w:lineRule="auto"/>
              <w:jc w:val="center"/>
              <w:rPr>
                <w:rFonts w:eastAsia="Times New Roman" w:cs="Times New Roman"/>
                <w:sz w:val="20"/>
                <w:szCs w:val="20"/>
                <w:lang w:eastAsia="ru-RU"/>
              </w:rPr>
            </w:pPr>
            <w:r w:rsidRPr="00170E4B">
              <w:rPr>
                <w:rFonts w:eastAsia="Times New Roman" w:cs="Times New Roman"/>
                <w:sz w:val="20"/>
                <w:szCs w:val="20"/>
                <w:lang w:val="en-US" w:eastAsia="ru-RU"/>
              </w:rPr>
              <w:t>54,606,183.</w:t>
            </w:r>
            <w:r w:rsidRPr="00170E4B">
              <w:rPr>
                <w:rFonts w:eastAsia="Times New Roman" w:cs="Times New Roman"/>
                <w:sz w:val="20"/>
                <w:szCs w:val="20"/>
                <w:lang w:eastAsia="ru-RU"/>
              </w:rPr>
              <w:t>46</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FA526" w14:textId="77777777" w:rsidR="00170E4B" w:rsidRPr="00170E4B" w:rsidRDefault="00170E4B" w:rsidP="00170E4B">
            <w:pPr>
              <w:spacing w:after="0" w:line="240" w:lineRule="auto"/>
              <w:ind w:left="-59" w:right="-105"/>
              <w:jc w:val="center"/>
              <w:rPr>
                <w:rFonts w:eastAsia="Times New Roman" w:cs="Times New Roman"/>
                <w:sz w:val="20"/>
                <w:szCs w:val="20"/>
                <w:lang w:eastAsia="ru-RU"/>
              </w:rPr>
            </w:pPr>
            <w:r w:rsidRPr="00170E4B">
              <w:rPr>
                <w:rFonts w:eastAsia="Times New Roman" w:cs="Times New Roman"/>
                <w:sz w:val="20"/>
                <w:szCs w:val="20"/>
                <w:lang w:val="en-US" w:eastAsia="ru-RU"/>
              </w:rPr>
              <w:t>54,606,183.</w:t>
            </w:r>
            <w:r w:rsidRPr="00170E4B">
              <w:rPr>
                <w:rFonts w:eastAsia="Times New Roman" w:cs="Times New Roman"/>
                <w:sz w:val="20"/>
                <w:szCs w:val="20"/>
                <w:lang w:eastAsia="ru-RU"/>
              </w:rPr>
              <w:t>46</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F7800" w14:textId="77777777" w:rsidR="00170E4B" w:rsidRPr="00170E4B" w:rsidRDefault="00170E4B" w:rsidP="00170E4B">
            <w:pPr>
              <w:spacing w:after="0" w:line="240" w:lineRule="auto"/>
              <w:ind w:left="-59" w:right="-105"/>
              <w:jc w:val="center"/>
              <w:rPr>
                <w:rFonts w:eastAsia="Times New Roman" w:cs="Times New Roman"/>
                <w:sz w:val="20"/>
                <w:szCs w:val="20"/>
                <w:lang w:val="en-US" w:eastAsia="ru-RU"/>
              </w:rPr>
            </w:pPr>
            <w:r w:rsidRPr="00170E4B">
              <w:rPr>
                <w:rFonts w:eastAsia="Times New Roman" w:cs="Times New Roman"/>
                <w:sz w:val="20"/>
                <w:szCs w:val="20"/>
                <w:lang w:val="en-US" w:eastAsia="ru-RU"/>
              </w:rPr>
              <w:t>54,606,183.5</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5FA1" w14:textId="77777777" w:rsidR="00170E4B" w:rsidRPr="00170E4B" w:rsidRDefault="00170E4B" w:rsidP="00170E4B">
            <w:pPr>
              <w:spacing w:after="0" w:line="240" w:lineRule="auto"/>
              <w:jc w:val="center"/>
              <w:rPr>
                <w:rFonts w:eastAsia="Times New Roman" w:cs="Times New Roman"/>
                <w:sz w:val="20"/>
                <w:szCs w:val="20"/>
                <w:lang w:val="en-US" w:eastAsia="ru-RU"/>
              </w:rPr>
            </w:pPr>
            <w:r w:rsidRPr="00170E4B">
              <w:rPr>
                <w:rFonts w:eastAsia="Times New Roman" w:cs="Times New Roman"/>
                <w:sz w:val="20"/>
                <w:szCs w:val="20"/>
                <w:lang w:val="en-US" w:eastAsia="ru-RU"/>
              </w:rPr>
              <w:t>99.2</w:t>
            </w:r>
          </w:p>
        </w:tc>
      </w:tr>
      <w:tr w:rsidR="00170E4B" w:rsidRPr="00170E4B" w14:paraId="422C7B23" w14:textId="77777777" w:rsidTr="002F56CA">
        <w:trPr>
          <w:trHeight w:val="3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F2640" w14:textId="77777777" w:rsidR="00170E4B" w:rsidRPr="00170E4B" w:rsidRDefault="00170E4B" w:rsidP="00170E4B">
            <w:pPr>
              <w:spacing w:after="0" w:line="240" w:lineRule="auto"/>
              <w:jc w:val="left"/>
              <w:rPr>
                <w:rFonts w:eastAsia="Times New Roman" w:cs="Times New Roman"/>
                <w:sz w:val="20"/>
                <w:szCs w:val="20"/>
                <w:lang w:val="ru-RU" w:eastAsia="ru-RU"/>
              </w:rPr>
            </w:pPr>
            <w:r w:rsidRPr="00170E4B">
              <w:rPr>
                <w:rFonts w:eastAsia="Times New Roman" w:cs="Times New Roman"/>
                <w:sz w:val="20"/>
                <w:szCs w:val="20"/>
                <w:lang w:val="ru-RU" w:eastAsia="ru-RU"/>
              </w:rPr>
              <w:t>Արտաքին տոկոսավճարներ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B4B87" w14:textId="77777777" w:rsidR="00170E4B" w:rsidRPr="00170E4B" w:rsidRDefault="00170E4B" w:rsidP="00170E4B">
            <w:pPr>
              <w:spacing w:after="0" w:line="240" w:lineRule="auto"/>
              <w:jc w:val="center"/>
              <w:rPr>
                <w:rFonts w:eastAsia="Times New Roman" w:cs="Times New Roman"/>
                <w:sz w:val="20"/>
                <w:szCs w:val="20"/>
                <w:lang w:eastAsia="ru-RU"/>
              </w:rPr>
            </w:pPr>
            <w:r w:rsidRPr="00170E4B">
              <w:rPr>
                <w:rFonts w:eastAsia="Times New Roman" w:cs="Times New Roman"/>
                <w:sz w:val="20"/>
                <w:szCs w:val="20"/>
                <w:lang w:val="en-US" w:eastAsia="ru-RU"/>
              </w:rPr>
              <w:t>65,475,990.7</w:t>
            </w:r>
            <w:r w:rsidRPr="00170E4B">
              <w:rPr>
                <w:rFonts w:eastAsia="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D51A2" w14:textId="77777777" w:rsidR="00170E4B" w:rsidRPr="00170E4B" w:rsidRDefault="00170E4B" w:rsidP="00170E4B">
            <w:pPr>
              <w:spacing w:after="0" w:line="240" w:lineRule="auto"/>
              <w:jc w:val="center"/>
              <w:rPr>
                <w:rFonts w:eastAsia="Times New Roman" w:cs="Times New Roman"/>
                <w:sz w:val="20"/>
                <w:szCs w:val="20"/>
                <w:lang w:eastAsia="ru-RU"/>
              </w:rPr>
            </w:pPr>
            <w:r w:rsidRPr="00170E4B">
              <w:rPr>
                <w:rFonts w:eastAsia="Times New Roman" w:cs="Times New Roman"/>
                <w:sz w:val="20"/>
                <w:szCs w:val="20"/>
                <w:lang w:val="en-US" w:eastAsia="ru-RU"/>
              </w:rPr>
              <w:t>63,073,632.3</w:t>
            </w:r>
            <w:r w:rsidRPr="00170E4B">
              <w:rPr>
                <w:rFonts w:eastAsia="Times New Roman" w:cs="Times New Roman"/>
                <w:sz w:val="20"/>
                <w:szCs w:val="20"/>
                <w:lang w:eastAsia="ru-RU"/>
              </w:rPr>
              <w:t>3</w:t>
            </w:r>
          </w:p>
        </w:tc>
        <w:tc>
          <w:tcPr>
            <w:tcW w:w="1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19AA7" w14:textId="77777777" w:rsidR="00170E4B" w:rsidRPr="00170E4B" w:rsidRDefault="00170E4B" w:rsidP="00170E4B">
            <w:pPr>
              <w:spacing w:after="0" w:line="240" w:lineRule="auto"/>
              <w:ind w:left="-59" w:right="-105"/>
              <w:jc w:val="center"/>
              <w:rPr>
                <w:rFonts w:eastAsia="Times New Roman" w:cs="Times New Roman"/>
                <w:sz w:val="20"/>
                <w:szCs w:val="20"/>
                <w:lang w:eastAsia="ru-RU"/>
              </w:rPr>
            </w:pPr>
            <w:r w:rsidRPr="00170E4B">
              <w:rPr>
                <w:rFonts w:eastAsia="Times New Roman" w:cs="Times New Roman"/>
                <w:sz w:val="20"/>
                <w:szCs w:val="20"/>
                <w:lang w:val="en-US" w:eastAsia="ru-RU"/>
              </w:rPr>
              <w:t>63,073,631.</w:t>
            </w:r>
            <w:r w:rsidRPr="00170E4B">
              <w:rPr>
                <w:rFonts w:eastAsia="Times New Roman" w:cs="Times New Roman"/>
                <w:sz w:val="20"/>
                <w:szCs w:val="20"/>
                <w:lang w:eastAsia="ru-RU"/>
              </w:rPr>
              <w:t>88</w:t>
            </w:r>
          </w:p>
        </w:tc>
        <w:tc>
          <w:tcPr>
            <w:tcW w:w="1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6DA9A" w14:textId="77777777" w:rsidR="00170E4B" w:rsidRPr="00170E4B" w:rsidRDefault="00170E4B" w:rsidP="00170E4B">
            <w:pPr>
              <w:spacing w:after="0" w:line="240" w:lineRule="auto"/>
              <w:ind w:left="-59" w:right="-105"/>
              <w:jc w:val="center"/>
              <w:rPr>
                <w:rFonts w:eastAsia="Times New Roman" w:cs="Times New Roman"/>
                <w:sz w:val="20"/>
                <w:szCs w:val="20"/>
                <w:lang w:val="en-US" w:eastAsia="ru-RU"/>
              </w:rPr>
            </w:pPr>
            <w:r w:rsidRPr="00170E4B">
              <w:rPr>
                <w:rFonts w:eastAsia="Times New Roman" w:cs="Times New Roman"/>
                <w:sz w:val="20"/>
                <w:szCs w:val="20"/>
                <w:lang w:val="en-US" w:eastAsia="ru-RU"/>
              </w:rPr>
              <w:t>63,073,631.9</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08EF" w14:textId="77777777" w:rsidR="00170E4B" w:rsidRPr="00170E4B" w:rsidRDefault="00170E4B" w:rsidP="00170E4B">
            <w:pPr>
              <w:spacing w:after="0" w:line="240" w:lineRule="auto"/>
              <w:jc w:val="center"/>
              <w:rPr>
                <w:rFonts w:eastAsia="Times New Roman" w:cs="Times New Roman"/>
                <w:sz w:val="20"/>
                <w:szCs w:val="20"/>
                <w:lang w:val="en-US" w:eastAsia="ru-RU"/>
              </w:rPr>
            </w:pPr>
            <w:r w:rsidRPr="00170E4B">
              <w:rPr>
                <w:rFonts w:eastAsia="Times New Roman" w:cs="Times New Roman"/>
                <w:sz w:val="20"/>
                <w:szCs w:val="20"/>
                <w:lang w:val="en-US" w:eastAsia="ru-RU"/>
              </w:rPr>
              <w:t>96.3</w:t>
            </w:r>
          </w:p>
        </w:tc>
      </w:tr>
    </w:tbl>
    <w:p w14:paraId="3F7CBE0A" w14:textId="77777777" w:rsidR="00170E4B" w:rsidRPr="00170E4B" w:rsidRDefault="00170E4B" w:rsidP="00170E4B">
      <w:pPr>
        <w:autoSpaceDE w:val="0"/>
        <w:autoSpaceDN w:val="0"/>
        <w:adjustRightInd w:val="0"/>
        <w:spacing w:after="120"/>
        <w:ind w:firstLine="567"/>
        <w:rPr>
          <w:rFonts w:eastAsia="Times New Roman" w:cs="GHEA Grapalat"/>
          <w:sz w:val="22"/>
          <w:szCs w:val="22"/>
          <w:lang w:val="en-US"/>
        </w:rPr>
      </w:pPr>
    </w:p>
    <w:p w14:paraId="2F9354AF"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t>Կառավարության պարտքի սպասարկմանը հաշվետու ժամանակահատվածում տրամադրվել է 117.7 մլրդ դրամ` կազմելով իննամսյա ծրագրի 97.6%-ը: Մասնավորապես` նշված գումարից 54.6</w:t>
      </w:r>
      <w:r w:rsidRPr="00170E4B">
        <w:rPr>
          <w:rFonts w:ascii="Calibri" w:eastAsia="Times New Roman" w:hAnsi="Calibri" w:cs="Calibri"/>
          <w:bCs/>
        </w:rPr>
        <w:t> </w:t>
      </w:r>
      <w:r w:rsidRPr="00170E4B">
        <w:rPr>
          <w:rFonts w:eastAsia="Times New Roman" w:cs="GHEA Grapalat"/>
          <w:bCs/>
        </w:rPr>
        <w:t>մլրդ դրամ տրամադրվել է ներքին, 63.1 մլրդ դրամ` արտաքին պարտքի սպասարկմանը, որոնք կազմել են իննամսյա ծրագրված ցուցանիշների համապատասխանաբար 99.2%-ը և 96.3%-ը:</w:t>
      </w:r>
    </w:p>
    <w:p w14:paraId="42248941"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t>Արտաքին վարկերի սպասարկման գծով արձանագրված ցուցանիշների շեղումները ծրագրայինից հիմնականում պայմանավորված են գերմանական KfW-ի մի շարք վարկերի գծով մասհանումների ժամկետի երկարաձգման հետևանքով հատուցման վճարի (4.18 մլն Եվրո կամ 2.22 մլրդ դրամ) վճարման հետաձգմամբ (պայմանավորված այդ վարկային համաձայնագրերում փոփոխություններն ուժի մեջ մտցնելու գործընթացով), ինչպես նաև 6-ամսյա ԱՄՆ դոլարի LIBOR, 6-ամսյա EURIBOR կանխատեսումային և վճարումների համար կիրառված փաստացի դրույքաչափերի տարբերությամբ, 2019 թվականի և 2020 թվականի ինն ամիսների ընթացքում մի շարք վարկերի գծով մասհանումների պլանային ցուցանիշների էական թերակատարմամբ:</w:t>
      </w:r>
    </w:p>
    <w:p w14:paraId="0EB247A0"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t>Չնայած նրան, որ 2020 թվականի սեպտեմբերի 30-ի դրությամբ 2019 թվականի նույն ժամանակահատվածի համեմատությամբ պարտքի ծավալն աճել է 15.5%-ով, պարտքի սպասարկման ծախսերը գրեթե մնացել են անփոփոխ:</w:t>
      </w:r>
    </w:p>
    <w:p w14:paraId="687283C3"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lastRenderedPageBreak/>
        <w:t>Դա պայմանավորված է եղել կառավարության պարտքի և դրա հիմնական բաղադրիչների կառուցվածքի փոփոխությամբ (մասնավորապես արտարժութային պարտատոմսերի կառուցվածքի փոփոխությամբ), ինչպես կառավարության ընդհանուր պարտքի, այնպես էլ դրա հիմնական բաղադրիչների միջին կշռված անվանական տոկոսադրույքի նվազմամբ և արտարժութային վճարումների փոխարկումների համար կիրառվող ԱՄՆ դոլար / ՀՀ դրամ փոխարժեքի փոփոխությամբ (2019թ.` 486.55, իսկ 2020թ.` 476.46):</w:t>
      </w:r>
    </w:p>
    <w:p w14:paraId="0C35CA5A"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t>Հաշվետու ժամանակահատվածում աճ է արձանագրվել ներքին տոկոսավճարների գծով՝ 19%-ով կամ 8.7 մլրդ դրամով, ինչը հիմնականում պայմանավորված է շրջանառության մեջ գտնվող պետական գանձապետական պարտատոմսերի ծավալի և դրա կառուցվածքում երկարաժամկետ պարտատոմսերի մասնաբաժնի աճով:</w:t>
      </w:r>
    </w:p>
    <w:p w14:paraId="06A09180" w14:textId="77777777" w:rsidR="00170E4B" w:rsidRPr="00170E4B" w:rsidRDefault="00170E4B" w:rsidP="00170E4B">
      <w:pPr>
        <w:autoSpaceDE w:val="0"/>
        <w:autoSpaceDN w:val="0"/>
        <w:adjustRightInd w:val="0"/>
        <w:spacing w:after="120"/>
        <w:ind w:firstLine="567"/>
        <w:rPr>
          <w:rFonts w:eastAsia="Times New Roman" w:cs="GHEA Grapalat"/>
          <w:bCs/>
        </w:rPr>
      </w:pPr>
      <w:r w:rsidRPr="00170E4B">
        <w:rPr>
          <w:rFonts w:eastAsia="Times New Roman" w:cs="GHEA Grapalat"/>
          <w:bCs/>
        </w:rPr>
        <w:t>Արտաքին տոկոսավճարները նույն ժամանակահատվածում նվազել են 12.2%-ով կամ 8.8</w:t>
      </w:r>
      <w:r w:rsidRPr="00170E4B">
        <w:rPr>
          <w:rFonts w:ascii="Calibri" w:eastAsia="Times New Roman" w:hAnsi="Calibri" w:cs="Calibri"/>
          <w:bCs/>
        </w:rPr>
        <w:t> </w:t>
      </w:r>
      <w:r w:rsidRPr="00170E4B">
        <w:rPr>
          <w:rFonts w:eastAsia="Times New Roman" w:cs="GHEA Grapalat"/>
          <w:bCs/>
        </w:rPr>
        <w:t>մլրդ դրամով՝ պայմանավորված արտարժութային պետական պարտատոմսերի սպասարկման ծախսերի նվազմամբ (պայմանավորված 2019 թվականի սեպտեմբերին կատարված գործառնություններով), ինչպես նաև արտարժութային վճարումների փոխարկումների համար կիրառվող ԱՄՆ դոլար/ՀՀ դրամ փոխարժեքի փոփոխությամբ:</w:t>
      </w:r>
    </w:p>
    <w:p w14:paraId="58FA94D2"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2020թ</w:t>
      </w:r>
      <w:r w:rsidRPr="00170E4B">
        <w:rPr>
          <w:rFonts w:eastAsia="Times New Roman" w:cs="Cambria Math"/>
        </w:rPr>
        <w:t>.</w:t>
      </w:r>
      <w:r w:rsidRPr="00170E4B">
        <w:rPr>
          <w:rFonts w:eastAsia="Times New Roman" w:cs="Times New Roman"/>
        </w:rPr>
        <w:t xml:space="preserve"> ինն ամսվա ՀՀ պետական պարտքի կառուցվածքը և 2019 թվականի դեկտեմբերի 31-ի դրությամբ համադրելի տվյալները հետևյալն են</w:t>
      </w:r>
      <w:r w:rsidRPr="00170E4B">
        <w:rPr>
          <w:rFonts w:eastAsia="Times New Roman" w:cs="Cambria Math"/>
        </w:rPr>
        <w:t>.</w:t>
      </w:r>
    </w:p>
    <w:p w14:paraId="202C1468" w14:textId="77777777" w:rsidR="00170E4B" w:rsidRPr="00170E4B" w:rsidRDefault="00170E4B" w:rsidP="00170E4B">
      <w:pPr>
        <w:spacing w:after="120"/>
        <w:ind w:firstLine="720"/>
        <w:jc w:val="right"/>
        <w:rPr>
          <w:rFonts w:eastAsia="Times New Roman" w:cs="Times New Roman"/>
          <w:bCs/>
          <w:sz w:val="20"/>
          <w:szCs w:val="20"/>
        </w:rPr>
      </w:pPr>
    </w:p>
    <w:p w14:paraId="5617A4A2" w14:textId="77777777" w:rsidR="00170E4B" w:rsidRPr="00170E4B" w:rsidRDefault="00170E4B" w:rsidP="00170E4B">
      <w:pPr>
        <w:spacing w:after="120"/>
        <w:ind w:firstLine="720"/>
        <w:jc w:val="right"/>
        <w:rPr>
          <w:rFonts w:eastAsia="Times New Roman" w:cs="Times New Roman"/>
          <w:bCs/>
          <w:sz w:val="20"/>
          <w:szCs w:val="20"/>
        </w:rPr>
      </w:pPr>
      <w:r w:rsidRPr="00170E4B">
        <w:rPr>
          <w:rFonts w:eastAsia="Times New Roman" w:cs="Times New Roman"/>
          <w:bCs/>
          <w:sz w:val="20"/>
          <w:szCs w:val="20"/>
        </w:rPr>
        <w:t>(</w:t>
      </w:r>
      <w:r w:rsidRPr="00170E4B">
        <w:rPr>
          <w:rFonts w:eastAsia="Times New Roman" w:cs="Times New Roman"/>
          <w:bCs/>
          <w:sz w:val="20"/>
          <w:szCs w:val="20"/>
          <w:lang w:val="en-US"/>
        </w:rPr>
        <w:t xml:space="preserve">Աղյուսակ </w:t>
      </w:r>
      <w:r w:rsidRPr="00170E4B">
        <w:rPr>
          <w:rFonts w:eastAsia="Times New Roman" w:cs="Times New Roman"/>
          <w:bCs/>
          <w:sz w:val="20"/>
          <w:szCs w:val="20"/>
        </w:rPr>
        <w:t>10)</w:t>
      </w:r>
    </w:p>
    <w:tbl>
      <w:tblPr>
        <w:tblW w:w="10602" w:type="dxa"/>
        <w:tblInd w:w="-289" w:type="dxa"/>
        <w:tblLook w:val="04A0" w:firstRow="1" w:lastRow="0" w:firstColumn="1" w:lastColumn="0" w:noHBand="0" w:noVBand="1"/>
      </w:tblPr>
      <w:tblGrid>
        <w:gridCol w:w="4657"/>
        <w:gridCol w:w="1073"/>
        <w:gridCol w:w="1159"/>
        <w:gridCol w:w="1489"/>
        <w:gridCol w:w="1505"/>
        <w:gridCol w:w="719"/>
      </w:tblGrid>
      <w:tr w:rsidR="00170E4B" w:rsidRPr="00170E4B" w14:paraId="337C83D4" w14:textId="77777777" w:rsidTr="00617AA4">
        <w:trPr>
          <w:trHeight w:val="553"/>
        </w:trPr>
        <w:tc>
          <w:tcPr>
            <w:tcW w:w="4657" w:type="dxa"/>
            <w:vMerge w:val="restart"/>
            <w:tcBorders>
              <w:top w:val="single" w:sz="4" w:space="0" w:color="auto"/>
              <w:left w:val="single" w:sz="4" w:space="0" w:color="auto"/>
              <w:right w:val="single" w:sz="4" w:space="0" w:color="auto"/>
            </w:tcBorders>
            <w:shd w:val="clear" w:color="auto" w:fill="auto"/>
            <w:vAlign w:val="center"/>
            <w:hideMark/>
          </w:tcPr>
          <w:p w14:paraId="6413C64C" w14:textId="77777777" w:rsidR="00170E4B" w:rsidRPr="00170E4B" w:rsidRDefault="00170E4B" w:rsidP="00170E4B">
            <w:pPr>
              <w:spacing w:after="0" w:line="240" w:lineRule="auto"/>
              <w:jc w:val="left"/>
              <w:rPr>
                <w:rFonts w:eastAsia="Times New Roman" w:cs="Calibri"/>
                <w:b/>
                <w:bCs/>
                <w:sz w:val="20"/>
                <w:szCs w:val="20"/>
                <w:lang w:val="en-US"/>
              </w:rPr>
            </w:pPr>
            <w:r w:rsidRPr="00170E4B">
              <w:rPr>
                <w:rFonts w:eastAsia="Times New Roman" w:cs="Calibri"/>
                <w:b/>
                <w:bCs/>
                <w:sz w:val="20"/>
                <w:szCs w:val="20"/>
                <w:lang w:val="en-US"/>
              </w:rPr>
              <w:t>ՀՀ պետական պարտքի կառուցվածքը</w:t>
            </w:r>
          </w:p>
        </w:tc>
        <w:tc>
          <w:tcPr>
            <w:tcW w:w="1073" w:type="dxa"/>
            <w:vMerge w:val="restart"/>
            <w:tcBorders>
              <w:top w:val="single" w:sz="4" w:space="0" w:color="auto"/>
              <w:left w:val="nil"/>
              <w:right w:val="single" w:sz="4" w:space="0" w:color="auto"/>
            </w:tcBorders>
            <w:shd w:val="clear" w:color="auto" w:fill="auto"/>
            <w:vAlign w:val="center"/>
            <w:hideMark/>
          </w:tcPr>
          <w:p w14:paraId="65AB3D94"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31.12.2019</w:t>
            </w:r>
            <w:r w:rsidRPr="00170E4B">
              <w:rPr>
                <w:rFonts w:eastAsia="Times New Roman" w:cs="Calibri"/>
                <w:sz w:val="20"/>
                <w:szCs w:val="20"/>
                <w:lang w:val="en-US"/>
              </w:rPr>
              <w:br/>
              <w:t>մլն ԱՄՆ դոլար</w:t>
            </w:r>
          </w:p>
        </w:tc>
        <w:tc>
          <w:tcPr>
            <w:tcW w:w="1159" w:type="dxa"/>
            <w:vMerge w:val="restart"/>
            <w:tcBorders>
              <w:top w:val="single" w:sz="4" w:space="0" w:color="auto"/>
              <w:left w:val="nil"/>
              <w:right w:val="single" w:sz="4" w:space="0" w:color="auto"/>
            </w:tcBorders>
            <w:shd w:val="clear" w:color="auto" w:fill="auto"/>
            <w:vAlign w:val="center"/>
            <w:hideMark/>
          </w:tcPr>
          <w:p w14:paraId="75664D26"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31.12.2019</w:t>
            </w:r>
            <w:r w:rsidRPr="00170E4B">
              <w:rPr>
                <w:rFonts w:eastAsia="Times New Roman" w:cs="Calibri"/>
                <w:sz w:val="20"/>
                <w:szCs w:val="20"/>
                <w:lang w:val="en-US"/>
              </w:rPr>
              <w:br/>
              <w:t>մլրդ դրամ</w:t>
            </w:r>
          </w:p>
        </w:tc>
        <w:tc>
          <w:tcPr>
            <w:tcW w:w="1489" w:type="dxa"/>
            <w:vMerge w:val="restart"/>
            <w:tcBorders>
              <w:top w:val="single" w:sz="4" w:space="0" w:color="auto"/>
              <w:left w:val="nil"/>
              <w:right w:val="single" w:sz="4" w:space="0" w:color="auto"/>
            </w:tcBorders>
            <w:shd w:val="clear" w:color="auto" w:fill="auto"/>
            <w:vAlign w:val="center"/>
            <w:hideMark/>
          </w:tcPr>
          <w:p w14:paraId="70AAAAB4"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30.09.2020</w:t>
            </w:r>
            <w:r w:rsidRPr="00170E4B">
              <w:rPr>
                <w:rFonts w:eastAsia="Times New Roman" w:cs="Calibri"/>
                <w:sz w:val="20"/>
                <w:szCs w:val="20"/>
                <w:lang w:val="en-US"/>
              </w:rPr>
              <w:br/>
              <w:t>մլն ԱՄՆ դոլար</w:t>
            </w:r>
          </w:p>
        </w:tc>
        <w:tc>
          <w:tcPr>
            <w:tcW w:w="2224" w:type="dxa"/>
            <w:gridSpan w:val="2"/>
            <w:tcBorders>
              <w:top w:val="single" w:sz="4" w:space="0" w:color="auto"/>
              <w:left w:val="nil"/>
              <w:bottom w:val="single" w:sz="4" w:space="0" w:color="auto"/>
              <w:right w:val="single" w:sz="4" w:space="0" w:color="auto"/>
            </w:tcBorders>
            <w:shd w:val="clear" w:color="auto" w:fill="auto"/>
            <w:vAlign w:val="center"/>
            <w:hideMark/>
          </w:tcPr>
          <w:p w14:paraId="5E63BDFD"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30.09.2020</w:t>
            </w:r>
            <w:r w:rsidRPr="00170E4B">
              <w:rPr>
                <w:rFonts w:eastAsia="Times New Roman" w:cs="Calibri"/>
                <w:sz w:val="20"/>
                <w:szCs w:val="20"/>
                <w:lang w:val="en-US"/>
              </w:rPr>
              <w:br/>
              <w:t>մլրդ դրամ</w:t>
            </w:r>
          </w:p>
        </w:tc>
      </w:tr>
      <w:tr w:rsidR="00170E4B" w:rsidRPr="00170E4B" w14:paraId="67906578" w14:textId="77777777" w:rsidTr="00617AA4">
        <w:trPr>
          <w:trHeight w:val="405"/>
        </w:trPr>
        <w:tc>
          <w:tcPr>
            <w:tcW w:w="4657" w:type="dxa"/>
            <w:vMerge/>
            <w:tcBorders>
              <w:left w:val="single" w:sz="4" w:space="0" w:color="auto"/>
              <w:bottom w:val="single" w:sz="4" w:space="0" w:color="auto"/>
              <w:right w:val="single" w:sz="4" w:space="0" w:color="auto"/>
            </w:tcBorders>
            <w:shd w:val="clear" w:color="auto" w:fill="auto"/>
            <w:vAlign w:val="center"/>
          </w:tcPr>
          <w:p w14:paraId="4ADA2B97" w14:textId="77777777" w:rsidR="00170E4B" w:rsidRPr="00170E4B" w:rsidRDefault="00170E4B" w:rsidP="00170E4B">
            <w:pPr>
              <w:spacing w:after="0" w:line="240" w:lineRule="auto"/>
              <w:jc w:val="left"/>
              <w:rPr>
                <w:rFonts w:eastAsia="Times New Roman" w:cs="Calibri"/>
                <w:b/>
                <w:bCs/>
                <w:sz w:val="20"/>
                <w:szCs w:val="20"/>
                <w:lang w:val="en-US"/>
              </w:rPr>
            </w:pPr>
          </w:p>
        </w:tc>
        <w:tc>
          <w:tcPr>
            <w:tcW w:w="1073" w:type="dxa"/>
            <w:vMerge/>
            <w:tcBorders>
              <w:left w:val="nil"/>
              <w:bottom w:val="single" w:sz="4" w:space="0" w:color="auto"/>
              <w:right w:val="single" w:sz="4" w:space="0" w:color="auto"/>
            </w:tcBorders>
            <w:shd w:val="clear" w:color="auto" w:fill="auto"/>
            <w:vAlign w:val="center"/>
          </w:tcPr>
          <w:p w14:paraId="2EC715F3"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vMerge/>
            <w:tcBorders>
              <w:left w:val="nil"/>
              <w:bottom w:val="single" w:sz="4" w:space="0" w:color="auto"/>
              <w:right w:val="single" w:sz="4" w:space="0" w:color="auto"/>
            </w:tcBorders>
            <w:shd w:val="clear" w:color="auto" w:fill="auto"/>
            <w:vAlign w:val="center"/>
          </w:tcPr>
          <w:p w14:paraId="26A1D9CE"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vMerge/>
            <w:tcBorders>
              <w:left w:val="nil"/>
              <w:bottom w:val="single" w:sz="4" w:space="0" w:color="auto"/>
              <w:right w:val="single" w:sz="4" w:space="0" w:color="auto"/>
            </w:tcBorders>
            <w:shd w:val="clear" w:color="auto" w:fill="auto"/>
            <w:vAlign w:val="center"/>
          </w:tcPr>
          <w:p w14:paraId="2A2D751A" w14:textId="77777777" w:rsidR="00170E4B" w:rsidRPr="00170E4B" w:rsidRDefault="00170E4B" w:rsidP="00170E4B">
            <w:pPr>
              <w:spacing w:after="0" w:line="240" w:lineRule="auto"/>
              <w:ind w:left="-59" w:right="-63"/>
              <w:jc w:val="center"/>
              <w:rPr>
                <w:rFonts w:eastAsia="Times New Roman" w:cs="Calibri"/>
                <w:sz w:val="20"/>
                <w:szCs w:val="20"/>
                <w:lang w:val="en-US"/>
              </w:rPr>
            </w:pPr>
          </w:p>
        </w:tc>
        <w:tc>
          <w:tcPr>
            <w:tcW w:w="1505" w:type="dxa"/>
            <w:tcBorders>
              <w:top w:val="single" w:sz="4" w:space="0" w:color="auto"/>
              <w:left w:val="nil"/>
              <w:bottom w:val="single" w:sz="4" w:space="0" w:color="auto"/>
              <w:right w:val="single" w:sz="4" w:space="0" w:color="auto"/>
            </w:tcBorders>
            <w:shd w:val="clear" w:color="auto" w:fill="auto"/>
            <w:vAlign w:val="center"/>
          </w:tcPr>
          <w:p w14:paraId="2CF221F1"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մլրդ դրամ</w:t>
            </w:r>
          </w:p>
        </w:tc>
        <w:tc>
          <w:tcPr>
            <w:tcW w:w="719" w:type="dxa"/>
            <w:tcBorders>
              <w:top w:val="single" w:sz="4" w:space="0" w:color="auto"/>
              <w:left w:val="nil"/>
              <w:bottom w:val="single" w:sz="4" w:space="0" w:color="auto"/>
              <w:right w:val="single" w:sz="4" w:space="0" w:color="auto"/>
            </w:tcBorders>
            <w:vAlign w:val="center"/>
          </w:tcPr>
          <w:p w14:paraId="600CD691" w14:textId="77777777" w:rsidR="00170E4B" w:rsidRPr="00170E4B" w:rsidRDefault="00170E4B" w:rsidP="00170E4B">
            <w:pPr>
              <w:spacing w:after="0" w:line="240" w:lineRule="auto"/>
              <w:ind w:left="-71" w:right="-32"/>
              <w:jc w:val="center"/>
              <w:rPr>
                <w:rFonts w:eastAsia="Times New Roman" w:cs="Calibri"/>
                <w:sz w:val="20"/>
                <w:szCs w:val="20"/>
                <w:lang w:val="ru-RU"/>
              </w:rPr>
            </w:pPr>
            <w:r w:rsidRPr="00170E4B">
              <w:rPr>
                <w:rFonts w:eastAsia="Times New Roman" w:cs="Calibri"/>
                <w:sz w:val="20"/>
                <w:szCs w:val="20"/>
                <w:lang w:val="ru-RU"/>
              </w:rPr>
              <w:t>%</w:t>
            </w:r>
          </w:p>
        </w:tc>
      </w:tr>
      <w:tr w:rsidR="00170E4B" w:rsidRPr="00170E4B" w14:paraId="76BB93C7" w14:textId="77777777" w:rsidTr="00617AA4">
        <w:trPr>
          <w:trHeight w:val="424"/>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2991A2E8" w14:textId="77777777" w:rsidR="00170E4B" w:rsidRPr="00170E4B" w:rsidRDefault="00170E4B" w:rsidP="00170E4B">
            <w:pPr>
              <w:spacing w:after="0" w:line="240" w:lineRule="auto"/>
              <w:jc w:val="left"/>
              <w:rPr>
                <w:rFonts w:eastAsia="Times New Roman" w:cs="Calibri"/>
                <w:b/>
                <w:bCs/>
                <w:i/>
                <w:iCs/>
                <w:sz w:val="20"/>
                <w:szCs w:val="20"/>
                <w:lang w:val="en-US"/>
              </w:rPr>
            </w:pPr>
            <w:r w:rsidRPr="00170E4B">
              <w:rPr>
                <w:rFonts w:eastAsia="Times New Roman" w:cs="Calibri"/>
                <w:b/>
                <w:bCs/>
                <w:i/>
                <w:iCs/>
                <w:sz w:val="20"/>
                <w:szCs w:val="20"/>
                <w:lang w:val="en-US"/>
              </w:rPr>
              <w:t>ՀՀ պետական պարտք</w:t>
            </w:r>
          </w:p>
        </w:tc>
        <w:tc>
          <w:tcPr>
            <w:tcW w:w="1073" w:type="dxa"/>
            <w:tcBorders>
              <w:top w:val="nil"/>
              <w:left w:val="nil"/>
              <w:bottom w:val="single" w:sz="4" w:space="0" w:color="auto"/>
              <w:right w:val="single" w:sz="4" w:space="0" w:color="auto"/>
            </w:tcBorders>
            <w:shd w:val="clear" w:color="auto" w:fill="auto"/>
            <w:vAlign w:val="center"/>
            <w:hideMark/>
          </w:tcPr>
          <w:p w14:paraId="532370DA" w14:textId="77777777" w:rsidR="00170E4B" w:rsidRPr="00170E4B" w:rsidRDefault="00170E4B" w:rsidP="00170E4B">
            <w:pPr>
              <w:spacing w:after="0" w:line="240" w:lineRule="auto"/>
              <w:ind w:left="-77" w:right="-60"/>
              <w:jc w:val="center"/>
              <w:rPr>
                <w:rFonts w:eastAsia="Times New Roman" w:cs="Calibri"/>
                <w:b/>
                <w:bCs/>
                <w:i/>
                <w:iCs/>
                <w:sz w:val="20"/>
                <w:szCs w:val="20"/>
                <w:lang w:val="en-US"/>
              </w:rPr>
            </w:pPr>
            <w:r w:rsidRPr="00170E4B">
              <w:rPr>
                <w:rFonts w:eastAsia="Times New Roman" w:cs="Calibri"/>
                <w:b/>
                <w:bCs/>
                <w:i/>
                <w:iCs/>
                <w:sz w:val="20"/>
                <w:szCs w:val="20"/>
                <w:lang w:val="en-US"/>
              </w:rPr>
              <w:t>7,321.3</w:t>
            </w:r>
          </w:p>
        </w:tc>
        <w:tc>
          <w:tcPr>
            <w:tcW w:w="1159" w:type="dxa"/>
            <w:tcBorders>
              <w:top w:val="nil"/>
              <w:left w:val="nil"/>
              <w:bottom w:val="single" w:sz="4" w:space="0" w:color="auto"/>
              <w:right w:val="single" w:sz="4" w:space="0" w:color="auto"/>
            </w:tcBorders>
            <w:shd w:val="clear" w:color="auto" w:fill="auto"/>
            <w:vAlign w:val="center"/>
            <w:hideMark/>
          </w:tcPr>
          <w:p w14:paraId="11AD3B7B" w14:textId="77777777" w:rsidR="00170E4B" w:rsidRPr="00170E4B" w:rsidRDefault="00170E4B" w:rsidP="00170E4B">
            <w:pPr>
              <w:spacing w:after="0" w:line="240" w:lineRule="auto"/>
              <w:ind w:left="-77" w:right="-42"/>
              <w:jc w:val="center"/>
              <w:rPr>
                <w:rFonts w:eastAsia="Times New Roman" w:cs="Calibri"/>
                <w:b/>
                <w:bCs/>
                <w:i/>
                <w:iCs/>
                <w:sz w:val="20"/>
                <w:szCs w:val="20"/>
                <w:lang w:val="en-US"/>
              </w:rPr>
            </w:pPr>
            <w:r w:rsidRPr="00170E4B">
              <w:rPr>
                <w:rFonts w:eastAsia="Times New Roman" w:cs="Calibri"/>
                <w:b/>
                <w:bCs/>
                <w:i/>
                <w:iCs/>
                <w:sz w:val="20"/>
                <w:szCs w:val="20"/>
                <w:lang w:val="en-US"/>
              </w:rPr>
              <w:t>3,512.0</w:t>
            </w:r>
          </w:p>
        </w:tc>
        <w:tc>
          <w:tcPr>
            <w:tcW w:w="1489" w:type="dxa"/>
            <w:tcBorders>
              <w:top w:val="nil"/>
              <w:left w:val="nil"/>
              <w:bottom w:val="single" w:sz="4" w:space="0" w:color="auto"/>
              <w:right w:val="single" w:sz="4" w:space="0" w:color="auto"/>
            </w:tcBorders>
            <w:shd w:val="clear" w:color="auto" w:fill="auto"/>
            <w:vAlign w:val="center"/>
            <w:hideMark/>
          </w:tcPr>
          <w:p w14:paraId="3DCFA0D2"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r w:rsidRPr="00170E4B">
              <w:rPr>
                <w:rFonts w:eastAsia="Times New Roman" w:cs="Calibri"/>
                <w:b/>
                <w:bCs/>
                <w:i/>
                <w:iCs/>
                <w:sz w:val="20"/>
                <w:szCs w:val="20"/>
                <w:lang w:val="en-US"/>
              </w:rPr>
              <w:t>7,854.6</w:t>
            </w:r>
          </w:p>
        </w:tc>
        <w:tc>
          <w:tcPr>
            <w:tcW w:w="1505" w:type="dxa"/>
            <w:tcBorders>
              <w:top w:val="nil"/>
              <w:left w:val="nil"/>
              <w:bottom w:val="single" w:sz="4" w:space="0" w:color="auto"/>
              <w:right w:val="single" w:sz="4" w:space="0" w:color="auto"/>
            </w:tcBorders>
            <w:shd w:val="clear" w:color="auto" w:fill="auto"/>
            <w:vAlign w:val="center"/>
            <w:hideMark/>
          </w:tcPr>
          <w:p w14:paraId="61596889"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en-US"/>
              </w:rPr>
              <w:t>3,830.1</w:t>
            </w:r>
          </w:p>
        </w:tc>
        <w:tc>
          <w:tcPr>
            <w:tcW w:w="719" w:type="dxa"/>
            <w:tcBorders>
              <w:top w:val="nil"/>
              <w:left w:val="nil"/>
              <w:bottom w:val="single" w:sz="4" w:space="0" w:color="auto"/>
              <w:right w:val="single" w:sz="4" w:space="0" w:color="auto"/>
            </w:tcBorders>
            <w:vAlign w:val="center"/>
          </w:tcPr>
          <w:p w14:paraId="3E0C3E37"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ru-RU"/>
              </w:rPr>
              <w:t>10</w:t>
            </w:r>
            <w:r w:rsidRPr="00170E4B">
              <w:rPr>
                <w:rFonts w:eastAsia="Times New Roman" w:cs="Calibri"/>
                <w:b/>
                <w:bCs/>
                <w:i/>
                <w:iCs/>
                <w:sz w:val="20"/>
                <w:szCs w:val="20"/>
                <w:lang w:val="en-US"/>
              </w:rPr>
              <w:t>9.1</w:t>
            </w:r>
          </w:p>
        </w:tc>
      </w:tr>
      <w:tr w:rsidR="00170E4B" w:rsidRPr="00170E4B" w14:paraId="2C19D3D4" w14:textId="77777777" w:rsidTr="00617AA4">
        <w:trPr>
          <w:trHeight w:val="417"/>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1521244B"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որից`</w:t>
            </w:r>
          </w:p>
        </w:tc>
        <w:tc>
          <w:tcPr>
            <w:tcW w:w="1073" w:type="dxa"/>
            <w:tcBorders>
              <w:top w:val="nil"/>
              <w:left w:val="nil"/>
              <w:bottom w:val="single" w:sz="4" w:space="0" w:color="auto"/>
              <w:right w:val="single" w:sz="4" w:space="0" w:color="auto"/>
            </w:tcBorders>
            <w:shd w:val="clear" w:color="auto" w:fill="auto"/>
            <w:vAlign w:val="center"/>
            <w:hideMark/>
          </w:tcPr>
          <w:p w14:paraId="337A1369"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tcBorders>
              <w:top w:val="nil"/>
              <w:left w:val="nil"/>
              <w:bottom w:val="single" w:sz="4" w:space="0" w:color="auto"/>
              <w:right w:val="single" w:sz="4" w:space="0" w:color="auto"/>
            </w:tcBorders>
            <w:shd w:val="clear" w:color="auto" w:fill="auto"/>
            <w:noWrap/>
            <w:vAlign w:val="center"/>
            <w:hideMark/>
          </w:tcPr>
          <w:p w14:paraId="6D476587"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tcBorders>
              <w:top w:val="nil"/>
              <w:left w:val="nil"/>
              <w:bottom w:val="single" w:sz="4" w:space="0" w:color="auto"/>
              <w:right w:val="single" w:sz="4" w:space="0" w:color="auto"/>
            </w:tcBorders>
            <w:shd w:val="clear" w:color="auto" w:fill="auto"/>
            <w:vAlign w:val="center"/>
            <w:hideMark/>
          </w:tcPr>
          <w:p w14:paraId="670EE9B2" w14:textId="77777777" w:rsidR="00170E4B" w:rsidRPr="00170E4B" w:rsidRDefault="00170E4B" w:rsidP="00170E4B">
            <w:pPr>
              <w:spacing w:after="0" w:line="240" w:lineRule="auto"/>
              <w:ind w:left="-59" w:right="-63"/>
              <w:jc w:val="center"/>
              <w:rPr>
                <w:rFonts w:eastAsia="Times New Roman" w:cs="Calibri"/>
                <w:sz w:val="20"/>
                <w:szCs w:val="20"/>
                <w:lang w:val="en-US"/>
              </w:rPr>
            </w:pPr>
          </w:p>
        </w:tc>
        <w:tc>
          <w:tcPr>
            <w:tcW w:w="1505" w:type="dxa"/>
            <w:tcBorders>
              <w:top w:val="nil"/>
              <w:left w:val="nil"/>
              <w:bottom w:val="single" w:sz="4" w:space="0" w:color="auto"/>
              <w:right w:val="single" w:sz="4" w:space="0" w:color="auto"/>
            </w:tcBorders>
            <w:shd w:val="clear" w:color="auto" w:fill="auto"/>
            <w:noWrap/>
            <w:vAlign w:val="center"/>
            <w:hideMark/>
          </w:tcPr>
          <w:p w14:paraId="42284308" w14:textId="77777777" w:rsidR="00170E4B" w:rsidRPr="00170E4B" w:rsidRDefault="00170E4B" w:rsidP="00170E4B">
            <w:pPr>
              <w:spacing w:after="0" w:line="240" w:lineRule="auto"/>
              <w:ind w:left="-71" w:right="-32"/>
              <w:jc w:val="center"/>
              <w:rPr>
                <w:rFonts w:eastAsia="Times New Roman" w:cs="Calibri"/>
                <w:sz w:val="20"/>
                <w:szCs w:val="20"/>
                <w:lang w:val="en-US"/>
              </w:rPr>
            </w:pPr>
          </w:p>
        </w:tc>
        <w:tc>
          <w:tcPr>
            <w:tcW w:w="719" w:type="dxa"/>
            <w:tcBorders>
              <w:top w:val="nil"/>
              <w:left w:val="nil"/>
              <w:bottom w:val="single" w:sz="4" w:space="0" w:color="auto"/>
              <w:right w:val="single" w:sz="4" w:space="0" w:color="auto"/>
            </w:tcBorders>
            <w:vAlign w:val="center"/>
          </w:tcPr>
          <w:p w14:paraId="1DA05CEE"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1014CF51" w14:textId="77777777" w:rsidTr="00617AA4">
        <w:trPr>
          <w:trHeight w:val="409"/>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75E03CC9" w14:textId="77777777" w:rsidR="00170E4B" w:rsidRPr="00170E4B" w:rsidRDefault="00170E4B" w:rsidP="00170E4B">
            <w:pPr>
              <w:spacing w:after="0" w:line="240" w:lineRule="auto"/>
              <w:jc w:val="left"/>
              <w:rPr>
                <w:rFonts w:eastAsia="Times New Roman" w:cs="Calibri"/>
                <w:b/>
                <w:bCs/>
                <w:sz w:val="20"/>
                <w:szCs w:val="20"/>
                <w:lang w:val="en-US"/>
              </w:rPr>
            </w:pPr>
            <w:r w:rsidRPr="00170E4B">
              <w:rPr>
                <w:rFonts w:eastAsia="Times New Roman" w:cs="Calibri"/>
                <w:b/>
                <w:bCs/>
                <w:sz w:val="20"/>
                <w:szCs w:val="20"/>
                <w:lang w:val="en-US"/>
              </w:rPr>
              <w:t>ՀՀ կառավարության պարտք</w:t>
            </w:r>
          </w:p>
        </w:tc>
        <w:tc>
          <w:tcPr>
            <w:tcW w:w="1073" w:type="dxa"/>
            <w:tcBorders>
              <w:top w:val="nil"/>
              <w:left w:val="nil"/>
              <w:bottom w:val="single" w:sz="4" w:space="0" w:color="auto"/>
              <w:right w:val="single" w:sz="4" w:space="0" w:color="auto"/>
            </w:tcBorders>
            <w:shd w:val="clear" w:color="auto" w:fill="auto"/>
            <w:vAlign w:val="center"/>
            <w:hideMark/>
          </w:tcPr>
          <w:p w14:paraId="3688E3E1" w14:textId="77777777" w:rsidR="00170E4B" w:rsidRPr="00170E4B" w:rsidRDefault="00170E4B" w:rsidP="00170E4B">
            <w:pPr>
              <w:spacing w:after="0" w:line="240" w:lineRule="auto"/>
              <w:ind w:left="-77" w:right="-60"/>
              <w:jc w:val="center"/>
              <w:rPr>
                <w:rFonts w:eastAsia="Times New Roman" w:cs="Calibri"/>
                <w:b/>
                <w:bCs/>
                <w:sz w:val="20"/>
                <w:szCs w:val="20"/>
                <w:lang w:val="en-US"/>
              </w:rPr>
            </w:pPr>
            <w:r w:rsidRPr="00170E4B">
              <w:rPr>
                <w:rFonts w:eastAsia="Times New Roman" w:cs="Calibri"/>
                <w:b/>
                <w:bCs/>
                <w:sz w:val="20"/>
                <w:szCs w:val="20"/>
                <w:lang w:val="en-US"/>
              </w:rPr>
              <w:t>6,831.9</w:t>
            </w:r>
          </w:p>
        </w:tc>
        <w:tc>
          <w:tcPr>
            <w:tcW w:w="1159" w:type="dxa"/>
            <w:tcBorders>
              <w:top w:val="nil"/>
              <w:left w:val="nil"/>
              <w:bottom w:val="single" w:sz="4" w:space="0" w:color="auto"/>
              <w:right w:val="single" w:sz="4" w:space="0" w:color="auto"/>
            </w:tcBorders>
            <w:shd w:val="clear" w:color="auto" w:fill="auto"/>
            <w:vAlign w:val="center"/>
            <w:hideMark/>
          </w:tcPr>
          <w:p w14:paraId="3C9B0821" w14:textId="77777777" w:rsidR="00170E4B" w:rsidRPr="00170E4B" w:rsidRDefault="00170E4B" w:rsidP="00170E4B">
            <w:pPr>
              <w:spacing w:after="0" w:line="240" w:lineRule="auto"/>
              <w:ind w:left="-77" w:right="-42"/>
              <w:jc w:val="center"/>
              <w:rPr>
                <w:rFonts w:eastAsia="Times New Roman" w:cs="Calibri"/>
                <w:b/>
                <w:bCs/>
                <w:sz w:val="20"/>
                <w:szCs w:val="20"/>
                <w:lang w:val="en-US"/>
              </w:rPr>
            </w:pPr>
            <w:r w:rsidRPr="00170E4B">
              <w:rPr>
                <w:rFonts w:eastAsia="Times New Roman" w:cs="Calibri"/>
                <w:b/>
                <w:bCs/>
                <w:sz w:val="20"/>
                <w:szCs w:val="20"/>
                <w:lang w:val="en-US"/>
              </w:rPr>
              <w:t>3,277.3</w:t>
            </w:r>
          </w:p>
        </w:tc>
        <w:tc>
          <w:tcPr>
            <w:tcW w:w="1489" w:type="dxa"/>
            <w:tcBorders>
              <w:top w:val="nil"/>
              <w:left w:val="nil"/>
              <w:bottom w:val="single" w:sz="4" w:space="0" w:color="auto"/>
              <w:right w:val="single" w:sz="4" w:space="0" w:color="auto"/>
            </w:tcBorders>
            <w:shd w:val="clear" w:color="auto" w:fill="auto"/>
            <w:vAlign w:val="center"/>
            <w:hideMark/>
          </w:tcPr>
          <w:p w14:paraId="2293A837"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r w:rsidRPr="00170E4B">
              <w:rPr>
                <w:rFonts w:eastAsia="Times New Roman" w:cs="Calibri"/>
                <w:b/>
                <w:bCs/>
                <w:i/>
                <w:iCs/>
                <w:sz w:val="20"/>
                <w:szCs w:val="20"/>
                <w:lang w:val="en-US"/>
              </w:rPr>
              <w:t>7,374.5</w:t>
            </w:r>
          </w:p>
        </w:tc>
        <w:tc>
          <w:tcPr>
            <w:tcW w:w="1505" w:type="dxa"/>
            <w:tcBorders>
              <w:top w:val="nil"/>
              <w:left w:val="nil"/>
              <w:bottom w:val="single" w:sz="4" w:space="0" w:color="auto"/>
              <w:right w:val="single" w:sz="4" w:space="0" w:color="auto"/>
            </w:tcBorders>
            <w:shd w:val="clear" w:color="auto" w:fill="auto"/>
            <w:vAlign w:val="center"/>
            <w:hideMark/>
          </w:tcPr>
          <w:p w14:paraId="15A911BC" w14:textId="77777777" w:rsidR="00170E4B" w:rsidRPr="00170E4B" w:rsidRDefault="00170E4B" w:rsidP="00170E4B">
            <w:pPr>
              <w:spacing w:after="0" w:line="240" w:lineRule="auto"/>
              <w:ind w:left="-71" w:right="-32"/>
              <w:jc w:val="center"/>
              <w:rPr>
                <w:rFonts w:eastAsia="Times New Roman" w:cs="Calibri"/>
                <w:b/>
                <w:bCs/>
                <w:sz w:val="20"/>
                <w:szCs w:val="20"/>
                <w:lang w:val="en-US"/>
              </w:rPr>
            </w:pPr>
            <w:r w:rsidRPr="00170E4B">
              <w:rPr>
                <w:rFonts w:eastAsia="Times New Roman" w:cs="Calibri"/>
                <w:b/>
                <w:bCs/>
                <w:sz w:val="20"/>
                <w:szCs w:val="20"/>
                <w:lang w:val="en-US"/>
              </w:rPr>
              <w:t>3,595.9</w:t>
            </w:r>
          </w:p>
        </w:tc>
        <w:tc>
          <w:tcPr>
            <w:tcW w:w="719" w:type="dxa"/>
            <w:tcBorders>
              <w:top w:val="nil"/>
              <w:left w:val="nil"/>
              <w:bottom w:val="single" w:sz="4" w:space="0" w:color="auto"/>
              <w:right w:val="single" w:sz="4" w:space="0" w:color="auto"/>
            </w:tcBorders>
            <w:vAlign w:val="center"/>
          </w:tcPr>
          <w:p w14:paraId="121A2547" w14:textId="77777777" w:rsidR="00170E4B" w:rsidRPr="00170E4B" w:rsidRDefault="00170E4B" w:rsidP="00170E4B">
            <w:pPr>
              <w:spacing w:after="0" w:line="240" w:lineRule="auto"/>
              <w:ind w:left="-71" w:right="-32"/>
              <w:jc w:val="center"/>
              <w:rPr>
                <w:rFonts w:eastAsia="Times New Roman" w:cs="Calibri"/>
                <w:b/>
                <w:bCs/>
                <w:sz w:val="20"/>
                <w:szCs w:val="20"/>
                <w:lang w:val="en-US"/>
              </w:rPr>
            </w:pPr>
            <w:r w:rsidRPr="00170E4B">
              <w:rPr>
                <w:rFonts w:eastAsia="Times New Roman" w:cs="Calibri"/>
                <w:b/>
                <w:bCs/>
                <w:sz w:val="20"/>
                <w:szCs w:val="20"/>
                <w:lang w:val="en-US"/>
              </w:rPr>
              <w:t>109.7</w:t>
            </w:r>
          </w:p>
        </w:tc>
      </w:tr>
      <w:tr w:rsidR="00170E4B" w:rsidRPr="00170E4B" w14:paraId="54B364D6" w14:textId="77777777" w:rsidTr="002F56CA">
        <w:trPr>
          <w:trHeight w:val="42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09620496"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այդ թվում`</w:t>
            </w:r>
          </w:p>
        </w:tc>
        <w:tc>
          <w:tcPr>
            <w:tcW w:w="1073" w:type="dxa"/>
            <w:tcBorders>
              <w:top w:val="nil"/>
              <w:left w:val="nil"/>
              <w:bottom w:val="single" w:sz="4" w:space="0" w:color="auto"/>
              <w:right w:val="single" w:sz="4" w:space="0" w:color="auto"/>
            </w:tcBorders>
            <w:shd w:val="clear" w:color="auto" w:fill="auto"/>
            <w:vAlign w:val="center"/>
            <w:hideMark/>
          </w:tcPr>
          <w:p w14:paraId="10569DC6"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tcBorders>
              <w:top w:val="nil"/>
              <w:left w:val="nil"/>
              <w:bottom w:val="single" w:sz="4" w:space="0" w:color="auto"/>
              <w:right w:val="single" w:sz="4" w:space="0" w:color="auto"/>
            </w:tcBorders>
            <w:shd w:val="clear" w:color="auto" w:fill="auto"/>
            <w:noWrap/>
            <w:vAlign w:val="center"/>
            <w:hideMark/>
          </w:tcPr>
          <w:p w14:paraId="65EF8001"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tcBorders>
              <w:top w:val="nil"/>
              <w:left w:val="nil"/>
              <w:bottom w:val="single" w:sz="4" w:space="0" w:color="auto"/>
              <w:right w:val="single" w:sz="4" w:space="0" w:color="auto"/>
            </w:tcBorders>
            <w:shd w:val="clear" w:color="auto" w:fill="auto"/>
            <w:vAlign w:val="center"/>
            <w:hideMark/>
          </w:tcPr>
          <w:p w14:paraId="300EA6B7"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p>
        </w:tc>
        <w:tc>
          <w:tcPr>
            <w:tcW w:w="1505" w:type="dxa"/>
            <w:tcBorders>
              <w:top w:val="nil"/>
              <w:left w:val="nil"/>
              <w:bottom w:val="single" w:sz="4" w:space="0" w:color="auto"/>
              <w:right w:val="single" w:sz="4" w:space="0" w:color="auto"/>
            </w:tcBorders>
            <w:shd w:val="clear" w:color="auto" w:fill="auto"/>
            <w:noWrap/>
            <w:vAlign w:val="center"/>
            <w:hideMark/>
          </w:tcPr>
          <w:p w14:paraId="3D1E9A17" w14:textId="77777777" w:rsidR="00170E4B" w:rsidRPr="00170E4B" w:rsidRDefault="00170E4B" w:rsidP="00170E4B">
            <w:pPr>
              <w:spacing w:after="0" w:line="240" w:lineRule="auto"/>
              <w:ind w:left="-71" w:right="-32"/>
              <w:jc w:val="center"/>
              <w:rPr>
                <w:rFonts w:eastAsia="Times New Roman" w:cs="Calibri"/>
                <w:sz w:val="20"/>
                <w:szCs w:val="20"/>
                <w:lang w:val="en-US"/>
              </w:rPr>
            </w:pPr>
          </w:p>
        </w:tc>
        <w:tc>
          <w:tcPr>
            <w:tcW w:w="719" w:type="dxa"/>
            <w:tcBorders>
              <w:top w:val="nil"/>
              <w:left w:val="nil"/>
              <w:bottom w:val="single" w:sz="4" w:space="0" w:color="auto"/>
              <w:right w:val="single" w:sz="4" w:space="0" w:color="auto"/>
            </w:tcBorders>
            <w:vAlign w:val="center"/>
          </w:tcPr>
          <w:p w14:paraId="5A0A3580"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4EDBE058" w14:textId="77777777" w:rsidTr="002F56CA">
        <w:trPr>
          <w:trHeight w:val="425"/>
        </w:trPr>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050D2" w14:textId="77777777" w:rsidR="00170E4B" w:rsidRPr="00170E4B" w:rsidRDefault="00170E4B" w:rsidP="00170E4B">
            <w:pPr>
              <w:spacing w:after="0" w:line="240" w:lineRule="auto"/>
              <w:jc w:val="left"/>
              <w:rPr>
                <w:rFonts w:eastAsia="Times New Roman" w:cs="Calibri"/>
                <w:b/>
                <w:bCs/>
                <w:i/>
                <w:iCs/>
                <w:sz w:val="20"/>
                <w:szCs w:val="20"/>
                <w:lang w:val="en-US"/>
              </w:rPr>
            </w:pPr>
            <w:r w:rsidRPr="00170E4B">
              <w:rPr>
                <w:rFonts w:eastAsia="Times New Roman" w:cs="Calibri"/>
                <w:b/>
                <w:bCs/>
                <w:i/>
                <w:iCs/>
                <w:sz w:val="20"/>
                <w:szCs w:val="20"/>
                <w:lang w:val="en-US"/>
              </w:rPr>
              <w:t>արտաքին պարտք</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92B0F" w14:textId="77777777" w:rsidR="00170E4B" w:rsidRPr="00170E4B" w:rsidRDefault="00170E4B" w:rsidP="00170E4B">
            <w:pPr>
              <w:spacing w:after="0" w:line="240" w:lineRule="auto"/>
              <w:ind w:left="-77" w:right="-60"/>
              <w:jc w:val="center"/>
              <w:rPr>
                <w:rFonts w:eastAsia="Times New Roman" w:cs="Calibri"/>
                <w:b/>
                <w:bCs/>
                <w:i/>
                <w:iCs/>
                <w:sz w:val="20"/>
                <w:szCs w:val="20"/>
                <w:lang w:val="en-US"/>
              </w:rPr>
            </w:pPr>
            <w:r w:rsidRPr="00170E4B">
              <w:rPr>
                <w:rFonts w:eastAsia="Times New Roman" w:cs="Calibri"/>
                <w:b/>
                <w:bCs/>
                <w:i/>
                <w:iCs/>
                <w:sz w:val="20"/>
                <w:szCs w:val="20"/>
                <w:lang w:val="en-US"/>
              </w:rPr>
              <w:t>5,295.2</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59CB7" w14:textId="77777777" w:rsidR="00170E4B" w:rsidRPr="00170E4B" w:rsidRDefault="00170E4B" w:rsidP="00170E4B">
            <w:pPr>
              <w:spacing w:after="0" w:line="240" w:lineRule="auto"/>
              <w:ind w:left="-77" w:right="-42"/>
              <w:jc w:val="center"/>
              <w:rPr>
                <w:rFonts w:eastAsia="Times New Roman" w:cs="Calibri"/>
                <w:b/>
                <w:bCs/>
                <w:i/>
                <w:iCs/>
                <w:sz w:val="20"/>
                <w:szCs w:val="20"/>
                <w:lang w:val="en-US"/>
              </w:rPr>
            </w:pPr>
            <w:r w:rsidRPr="00170E4B">
              <w:rPr>
                <w:rFonts w:eastAsia="Times New Roman" w:cs="Calibri"/>
                <w:b/>
                <w:bCs/>
                <w:i/>
                <w:iCs/>
                <w:sz w:val="20"/>
                <w:szCs w:val="20"/>
                <w:lang w:val="en-US"/>
              </w:rPr>
              <w:t>2,540.1</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9FB9C"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r w:rsidRPr="00170E4B">
              <w:rPr>
                <w:rFonts w:eastAsia="Times New Roman" w:cs="Calibri"/>
                <w:b/>
                <w:bCs/>
                <w:i/>
                <w:iCs/>
                <w:sz w:val="20"/>
                <w:szCs w:val="20"/>
                <w:lang w:val="en-US"/>
              </w:rPr>
              <w:t>5,496.7</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6756D"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en-US"/>
              </w:rPr>
              <w:t>2,680.3</w:t>
            </w:r>
          </w:p>
        </w:tc>
        <w:tc>
          <w:tcPr>
            <w:tcW w:w="719" w:type="dxa"/>
            <w:tcBorders>
              <w:top w:val="single" w:sz="4" w:space="0" w:color="auto"/>
              <w:left w:val="single" w:sz="4" w:space="0" w:color="auto"/>
              <w:bottom w:val="single" w:sz="4" w:space="0" w:color="auto"/>
              <w:right w:val="single" w:sz="4" w:space="0" w:color="auto"/>
            </w:tcBorders>
            <w:vAlign w:val="center"/>
          </w:tcPr>
          <w:p w14:paraId="65F3A3B2"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en-US"/>
              </w:rPr>
              <w:t>105.5</w:t>
            </w:r>
          </w:p>
        </w:tc>
      </w:tr>
      <w:tr w:rsidR="00170E4B" w:rsidRPr="00170E4B" w14:paraId="626D811A" w14:textId="77777777" w:rsidTr="002F56CA">
        <w:trPr>
          <w:trHeight w:val="418"/>
        </w:trPr>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7366"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այդ թվում`</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3169EB52"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47756568"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7DC01E98"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E62A8ED" w14:textId="77777777" w:rsidR="00170E4B" w:rsidRPr="00170E4B" w:rsidRDefault="00170E4B" w:rsidP="00170E4B">
            <w:pPr>
              <w:spacing w:after="0" w:line="240" w:lineRule="auto"/>
              <w:ind w:left="-71" w:right="-32"/>
              <w:jc w:val="center"/>
              <w:rPr>
                <w:rFonts w:eastAsia="Times New Roman" w:cs="Calibri"/>
                <w:sz w:val="20"/>
                <w:szCs w:val="20"/>
                <w:lang w:val="en-US"/>
              </w:rPr>
            </w:pPr>
          </w:p>
        </w:tc>
        <w:tc>
          <w:tcPr>
            <w:tcW w:w="719" w:type="dxa"/>
            <w:tcBorders>
              <w:top w:val="single" w:sz="4" w:space="0" w:color="auto"/>
              <w:left w:val="nil"/>
              <w:bottom w:val="single" w:sz="4" w:space="0" w:color="auto"/>
              <w:right w:val="single" w:sz="4" w:space="0" w:color="auto"/>
            </w:tcBorders>
            <w:vAlign w:val="center"/>
          </w:tcPr>
          <w:p w14:paraId="39F761BE"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4CC21BAF" w14:textId="77777777" w:rsidTr="002F56CA">
        <w:trPr>
          <w:trHeight w:val="41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1DFE9C70"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արտաքին վարկեր և փոխառություններ</w:t>
            </w:r>
          </w:p>
        </w:tc>
        <w:tc>
          <w:tcPr>
            <w:tcW w:w="1073" w:type="dxa"/>
            <w:tcBorders>
              <w:top w:val="nil"/>
              <w:left w:val="nil"/>
              <w:bottom w:val="single" w:sz="4" w:space="0" w:color="auto"/>
              <w:right w:val="single" w:sz="4" w:space="0" w:color="auto"/>
            </w:tcBorders>
            <w:shd w:val="clear" w:color="auto" w:fill="auto"/>
            <w:vAlign w:val="center"/>
            <w:hideMark/>
          </w:tcPr>
          <w:p w14:paraId="4BC42DEF"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4,306.7</w:t>
            </w:r>
          </w:p>
        </w:tc>
        <w:tc>
          <w:tcPr>
            <w:tcW w:w="1159" w:type="dxa"/>
            <w:tcBorders>
              <w:top w:val="nil"/>
              <w:left w:val="nil"/>
              <w:bottom w:val="single" w:sz="4" w:space="0" w:color="auto"/>
              <w:right w:val="single" w:sz="4" w:space="0" w:color="auto"/>
            </w:tcBorders>
            <w:shd w:val="clear" w:color="auto" w:fill="auto"/>
            <w:vAlign w:val="center"/>
            <w:hideMark/>
          </w:tcPr>
          <w:p w14:paraId="4022FAF9"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2,065.9</w:t>
            </w:r>
          </w:p>
        </w:tc>
        <w:tc>
          <w:tcPr>
            <w:tcW w:w="1489" w:type="dxa"/>
            <w:tcBorders>
              <w:top w:val="nil"/>
              <w:left w:val="nil"/>
              <w:bottom w:val="single" w:sz="4" w:space="0" w:color="auto"/>
              <w:right w:val="single" w:sz="4" w:space="0" w:color="auto"/>
            </w:tcBorders>
            <w:shd w:val="clear" w:color="auto" w:fill="auto"/>
            <w:vAlign w:val="center"/>
            <w:hideMark/>
          </w:tcPr>
          <w:p w14:paraId="1902F16F" w14:textId="77777777" w:rsidR="00170E4B" w:rsidRPr="00170E4B" w:rsidRDefault="00170E4B" w:rsidP="00170E4B">
            <w:pPr>
              <w:spacing w:after="0" w:line="240" w:lineRule="auto"/>
              <w:ind w:left="-77" w:right="-42"/>
              <w:jc w:val="right"/>
              <w:rPr>
                <w:rFonts w:eastAsia="Times New Roman" w:cs="Calibri"/>
                <w:b/>
                <w:bCs/>
                <w:sz w:val="20"/>
                <w:szCs w:val="20"/>
                <w:lang w:val="en-US"/>
              </w:rPr>
            </w:pPr>
            <w:r w:rsidRPr="00170E4B">
              <w:rPr>
                <w:rFonts w:eastAsia="Times New Roman" w:cs="Calibri"/>
                <w:b/>
                <w:bCs/>
                <w:sz w:val="20"/>
                <w:szCs w:val="20"/>
                <w:lang w:val="en-US"/>
              </w:rPr>
              <w:t>4,571.0</w:t>
            </w:r>
          </w:p>
        </w:tc>
        <w:tc>
          <w:tcPr>
            <w:tcW w:w="1505" w:type="dxa"/>
            <w:tcBorders>
              <w:top w:val="nil"/>
              <w:left w:val="nil"/>
              <w:bottom w:val="single" w:sz="4" w:space="0" w:color="auto"/>
              <w:right w:val="single" w:sz="4" w:space="0" w:color="auto"/>
            </w:tcBorders>
            <w:shd w:val="clear" w:color="auto" w:fill="auto"/>
            <w:vAlign w:val="center"/>
            <w:hideMark/>
          </w:tcPr>
          <w:p w14:paraId="20F4F409"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2,228.9</w:t>
            </w:r>
          </w:p>
        </w:tc>
        <w:tc>
          <w:tcPr>
            <w:tcW w:w="719" w:type="dxa"/>
            <w:tcBorders>
              <w:top w:val="nil"/>
              <w:left w:val="nil"/>
              <w:bottom w:val="single" w:sz="4" w:space="0" w:color="auto"/>
              <w:right w:val="single" w:sz="4" w:space="0" w:color="auto"/>
            </w:tcBorders>
            <w:vAlign w:val="center"/>
          </w:tcPr>
          <w:p w14:paraId="7042C666"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107.9</w:t>
            </w:r>
          </w:p>
        </w:tc>
      </w:tr>
      <w:tr w:rsidR="00170E4B" w:rsidRPr="00170E4B" w14:paraId="5FC49079" w14:textId="77777777" w:rsidTr="00617AA4">
        <w:trPr>
          <w:trHeight w:val="433"/>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4DACE051" w14:textId="77777777" w:rsidR="00170E4B" w:rsidRPr="00170E4B" w:rsidRDefault="00170E4B" w:rsidP="00170E4B">
            <w:pPr>
              <w:spacing w:after="0" w:line="240" w:lineRule="auto"/>
              <w:ind w:left="105"/>
              <w:jc w:val="left"/>
              <w:rPr>
                <w:rFonts w:eastAsia="Times New Roman" w:cs="Calibri"/>
                <w:sz w:val="20"/>
                <w:szCs w:val="20"/>
              </w:rPr>
            </w:pPr>
            <w:r w:rsidRPr="00170E4B">
              <w:rPr>
                <w:rFonts w:eastAsia="Times New Roman" w:cs="Calibri"/>
                <w:sz w:val="20"/>
                <w:szCs w:val="20"/>
              </w:rPr>
              <w:lastRenderedPageBreak/>
              <w:t>ոչ ռեզիդենտների կողմից ձեռքբերված պետական գանձապետական պարտատոմսեր</w:t>
            </w:r>
          </w:p>
        </w:tc>
        <w:tc>
          <w:tcPr>
            <w:tcW w:w="1073" w:type="dxa"/>
            <w:tcBorders>
              <w:top w:val="nil"/>
              <w:left w:val="nil"/>
              <w:bottom w:val="single" w:sz="4" w:space="0" w:color="auto"/>
              <w:right w:val="single" w:sz="4" w:space="0" w:color="auto"/>
            </w:tcBorders>
            <w:shd w:val="clear" w:color="auto" w:fill="auto"/>
            <w:vAlign w:val="center"/>
            <w:hideMark/>
          </w:tcPr>
          <w:p w14:paraId="7C2651CC"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7.0</w:t>
            </w:r>
          </w:p>
        </w:tc>
        <w:tc>
          <w:tcPr>
            <w:tcW w:w="1159" w:type="dxa"/>
            <w:tcBorders>
              <w:top w:val="nil"/>
              <w:left w:val="nil"/>
              <w:bottom w:val="single" w:sz="4" w:space="0" w:color="auto"/>
              <w:right w:val="single" w:sz="4" w:space="0" w:color="auto"/>
            </w:tcBorders>
            <w:shd w:val="clear" w:color="auto" w:fill="auto"/>
            <w:vAlign w:val="center"/>
            <w:hideMark/>
          </w:tcPr>
          <w:p w14:paraId="651CFF29"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3.3</w:t>
            </w:r>
          </w:p>
        </w:tc>
        <w:tc>
          <w:tcPr>
            <w:tcW w:w="1489" w:type="dxa"/>
            <w:tcBorders>
              <w:top w:val="nil"/>
              <w:left w:val="nil"/>
              <w:bottom w:val="single" w:sz="4" w:space="0" w:color="auto"/>
              <w:right w:val="single" w:sz="4" w:space="0" w:color="auto"/>
            </w:tcBorders>
            <w:shd w:val="clear" w:color="auto" w:fill="auto"/>
            <w:vAlign w:val="center"/>
            <w:hideMark/>
          </w:tcPr>
          <w:p w14:paraId="2475B212"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6.8</w:t>
            </w:r>
          </w:p>
        </w:tc>
        <w:tc>
          <w:tcPr>
            <w:tcW w:w="1505" w:type="dxa"/>
            <w:tcBorders>
              <w:top w:val="nil"/>
              <w:left w:val="nil"/>
              <w:bottom w:val="single" w:sz="4" w:space="0" w:color="auto"/>
              <w:right w:val="single" w:sz="4" w:space="0" w:color="auto"/>
            </w:tcBorders>
            <w:shd w:val="clear" w:color="auto" w:fill="auto"/>
            <w:vAlign w:val="center"/>
            <w:hideMark/>
          </w:tcPr>
          <w:p w14:paraId="523D1EC6"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3.3</w:t>
            </w:r>
          </w:p>
        </w:tc>
        <w:tc>
          <w:tcPr>
            <w:tcW w:w="719" w:type="dxa"/>
            <w:tcBorders>
              <w:top w:val="nil"/>
              <w:left w:val="nil"/>
              <w:bottom w:val="single" w:sz="4" w:space="0" w:color="auto"/>
              <w:right w:val="single" w:sz="4" w:space="0" w:color="auto"/>
            </w:tcBorders>
            <w:vAlign w:val="center"/>
          </w:tcPr>
          <w:p w14:paraId="0DD281A7" w14:textId="77777777" w:rsidR="00170E4B" w:rsidRPr="00170E4B" w:rsidRDefault="00170E4B" w:rsidP="00170E4B">
            <w:pPr>
              <w:spacing w:after="0" w:line="240" w:lineRule="auto"/>
              <w:ind w:left="-71" w:right="-32"/>
              <w:jc w:val="center"/>
              <w:rPr>
                <w:rFonts w:eastAsia="Times New Roman" w:cs="Calibri"/>
                <w:sz w:val="20"/>
                <w:szCs w:val="20"/>
              </w:rPr>
            </w:pPr>
            <w:r w:rsidRPr="00170E4B">
              <w:rPr>
                <w:rFonts w:eastAsia="Times New Roman" w:cs="Calibri"/>
                <w:sz w:val="20"/>
                <w:szCs w:val="20"/>
              </w:rPr>
              <w:t>98.5</w:t>
            </w:r>
          </w:p>
        </w:tc>
      </w:tr>
      <w:tr w:rsidR="00170E4B" w:rsidRPr="00170E4B" w14:paraId="234EB411" w14:textId="77777777" w:rsidTr="00617AA4">
        <w:trPr>
          <w:trHeight w:val="172"/>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12E763A0" w14:textId="77777777" w:rsidR="00170E4B" w:rsidRPr="00170E4B" w:rsidRDefault="00170E4B" w:rsidP="00170E4B">
            <w:pPr>
              <w:spacing w:after="0" w:line="240" w:lineRule="auto"/>
              <w:ind w:left="123"/>
              <w:jc w:val="left"/>
              <w:rPr>
                <w:rFonts w:eastAsia="Times New Roman" w:cs="Calibri"/>
                <w:sz w:val="20"/>
                <w:szCs w:val="20"/>
              </w:rPr>
            </w:pPr>
            <w:r w:rsidRPr="00170E4B">
              <w:rPr>
                <w:rFonts w:eastAsia="Times New Roman" w:cs="Calibri"/>
                <w:sz w:val="20"/>
                <w:szCs w:val="20"/>
              </w:rPr>
              <w:t>ոչ ռեզիդենտների կողմից ձեռքբերված արտարժութային պետական պարտատոմսեր</w:t>
            </w:r>
          </w:p>
        </w:tc>
        <w:tc>
          <w:tcPr>
            <w:tcW w:w="1073" w:type="dxa"/>
            <w:tcBorders>
              <w:top w:val="nil"/>
              <w:left w:val="nil"/>
              <w:bottom w:val="single" w:sz="4" w:space="0" w:color="auto"/>
              <w:right w:val="single" w:sz="4" w:space="0" w:color="auto"/>
            </w:tcBorders>
            <w:shd w:val="clear" w:color="auto" w:fill="auto"/>
            <w:vAlign w:val="center"/>
            <w:hideMark/>
          </w:tcPr>
          <w:p w14:paraId="51E5B9A8"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973.7</w:t>
            </w:r>
          </w:p>
        </w:tc>
        <w:tc>
          <w:tcPr>
            <w:tcW w:w="1159" w:type="dxa"/>
            <w:tcBorders>
              <w:top w:val="nil"/>
              <w:left w:val="nil"/>
              <w:bottom w:val="single" w:sz="4" w:space="0" w:color="auto"/>
              <w:right w:val="single" w:sz="4" w:space="0" w:color="auto"/>
            </w:tcBorders>
            <w:shd w:val="clear" w:color="auto" w:fill="auto"/>
            <w:vAlign w:val="center"/>
            <w:hideMark/>
          </w:tcPr>
          <w:p w14:paraId="75103546"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467.1</w:t>
            </w:r>
          </w:p>
        </w:tc>
        <w:tc>
          <w:tcPr>
            <w:tcW w:w="1489" w:type="dxa"/>
            <w:tcBorders>
              <w:top w:val="nil"/>
              <w:left w:val="nil"/>
              <w:bottom w:val="single" w:sz="4" w:space="0" w:color="auto"/>
              <w:right w:val="single" w:sz="4" w:space="0" w:color="auto"/>
            </w:tcBorders>
            <w:shd w:val="clear" w:color="auto" w:fill="auto"/>
            <w:vAlign w:val="center"/>
            <w:hideMark/>
          </w:tcPr>
          <w:p w14:paraId="09D8B711"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910.7</w:t>
            </w:r>
          </w:p>
        </w:tc>
        <w:tc>
          <w:tcPr>
            <w:tcW w:w="1505" w:type="dxa"/>
            <w:tcBorders>
              <w:top w:val="nil"/>
              <w:left w:val="nil"/>
              <w:bottom w:val="single" w:sz="4" w:space="0" w:color="auto"/>
              <w:right w:val="single" w:sz="4" w:space="0" w:color="auto"/>
            </w:tcBorders>
            <w:shd w:val="clear" w:color="auto" w:fill="auto"/>
            <w:vAlign w:val="center"/>
            <w:hideMark/>
          </w:tcPr>
          <w:p w14:paraId="59F3CBBC"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444.1</w:t>
            </w:r>
          </w:p>
        </w:tc>
        <w:tc>
          <w:tcPr>
            <w:tcW w:w="719" w:type="dxa"/>
            <w:tcBorders>
              <w:top w:val="nil"/>
              <w:left w:val="nil"/>
              <w:bottom w:val="single" w:sz="4" w:space="0" w:color="auto"/>
              <w:right w:val="single" w:sz="4" w:space="0" w:color="auto"/>
            </w:tcBorders>
            <w:vAlign w:val="center"/>
          </w:tcPr>
          <w:p w14:paraId="78DBCCDA"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95.1</w:t>
            </w:r>
          </w:p>
        </w:tc>
      </w:tr>
      <w:tr w:rsidR="00170E4B" w:rsidRPr="00170E4B" w14:paraId="6D377CC4" w14:textId="77777777" w:rsidTr="00077A64">
        <w:trPr>
          <w:trHeight w:val="421"/>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1D5EC72C" w14:textId="77777777" w:rsidR="00170E4B" w:rsidRPr="00170E4B" w:rsidRDefault="00170E4B" w:rsidP="00170E4B">
            <w:pPr>
              <w:spacing w:after="0" w:line="240" w:lineRule="auto"/>
              <w:ind w:left="150"/>
              <w:jc w:val="left"/>
              <w:rPr>
                <w:rFonts w:eastAsia="Times New Roman" w:cs="Calibri"/>
                <w:sz w:val="20"/>
                <w:szCs w:val="20"/>
                <w:lang w:val="en-US"/>
              </w:rPr>
            </w:pPr>
            <w:r w:rsidRPr="00170E4B">
              <w:rPr>
                <w:rFonts w:eastAsia="Times New Roman" w:cs="Calibri"/>
                <w:sz w:val="20"/>
                <w:szCs w:val="20"/>
                <w:lang w:val="en-US"/>
              </w:rPr>
              <w:t>արտաքին երաշխիքներ</w:t>
            </w:r>
          </w:p>
        </w:tc>
        <w:tc>
          <w:tcPr>
            <w:tcW w:w="1073" w:type="dxa"/>
            <w:tcBorders>
              <w:top w:val="nil"/>
              <w:left w:val="nil"/>
              <w:bottom w:val="single" w:sz="4" w:space="0" w:color="auto"/>
              <w:right w:val="single" w:sz="4" w:space="0" w:color="auto"/>
            </w:tcBorders>
            <w:shd w:val="clear" w:color="auto" w:fill="auto"/>
            <w:vAlign w:val="center"/>
            <w:hideMark/>
          </w:tcPr>
          <w:p w14:paraId="580B920A"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7.8</w:t>
            </w:r>
          </w:p>
        </w:tc>
        <w:tc>
          <w:tcPr>
            <w:tcW w:w="1159" w:type="dxa"/>
            <w:tcBorders>
              <w:top w:val="nil"/>
              <w:left w:val="nil"/>
              <w:bottom w:val="single" w:sz="4" w:space="0" w:color="auto"/>
              <w:right w:val="single" w:sz="4" w:space="0" w:color="auto"/>
            </w:tcBorders>
            <w:shd w:val="clear" w:color="auto" w:fill="auto"/>
            <w:vAlign w:val="center"/>
            <w:hideMark/>
          </w:tcPr>
          <w:p w14:paraId="4EEE662B"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3.8</w:t>
            </w:r>
          </w:p>
        </w:tc>
        <w:tc>
          <w:tcPr>
            <w:tcW w:w="1489" w:type="dxa"/>
            <w:tcBorders>
              <w:top w:val="nil"/>
              <w:left w:val="nil"/>
              <w:bottom w:val="single" w:sz="4" w:space="0" w:color="auto"/>
              <w:right w:val="single" w:sz="4" w:space="0" w:color="auto"/>
            </w:tcBorders>
            <w:shd w:val="clear" w:color="auto" w:fill="auto"/>
            <w:vAlign w:val="center"/>
            <w:hideMark/>
          </w:tcPr>
          <w:p w14:paraId="2AD265FA" w14:textId="77777777" w:rsidR="00170E4B" w:rsidRPr="00170E4B" w:rsidRDefault="00170E4B" w:rsidP="00170E4B">
            <w:pPr>
              <w:spacing w:after="0" w:line="240" w:lineRule="auto"/>
              <w:ind w:left="-59" w:right="-63"/>
              <w:jc w:val="center"/>
              <w:rPr>
                <w:rFonts w:eastAsia="Times New Roman" w:cs="Calibri"/>
                <w:b/>
                <w:sz w:val="20"/>
                <w:szCs w:val="20"/>
                <w:lang w:val="en-US"/>
              </w:rPr>
            </w:pPr>
            <w:r w:rsidRPr="00170E4B">
              <w:rPr>
                <w:rFonts w:eastAsia="Times New Roman" w:cs="Calibri"/>
                <w:b/>
                <w:sz w:val="20"/>
                <w:szCs w:val="20"/>
                <w:lang w:val="en-US"/>
              </w:rPr>
              <w:t>8.2</w:t>
            </w:r>
          </w:p>
        </w:tc>
        <w:tc>
          <w:tcPr>
            <w:tcW w:w="1505" w:type="dxa"/>
            <w:tcBorders>
              <w:top w:val="nil"/>
              <w:left w:val="nil"/>
              <w:bottom w:val="single" w:sz="4" w:space="0" w:color="auto"/>
              <w:right w:val="single" w:sz="4" w:space="0" w:color="auto"/>
            </w:tcBorders>
            <w:shd w:val="clear" w:color="auto" w:fill="auto"/>
            <w:vAlign w:val="center"/>
            <w:hideMark/>
          </w:tcPr>
          <w:p w14:paraId="649EDFF1"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4.0</w:t>
            </w:r>
          </w:p>
        </w:tc>
        <w:tc>
          <w:tcPr>
            <w:tcW w:w="719" w:type="dxa"/>
            <w:tcBorders>
              <w:top w:val="nil"/>
              <w:left w:val="nil"/>
              <w:bottom w:val="single" w:sz="4" w:space="0" w:color="auto"/>
              <w:right w:val="single" w:sz="4" w:space="0" w:color="auto"/>
            </w:tcBorders>
            <w:vAlign w:val="center"/>
          </w:tcPr>
          <w:p w14:paraId="3E01FC43" w14:textId="77777777" w:rsidR="00170E4B" w:rsidRPr="00170E4B" w:rsidRDefault="00170E4B" w:rsidP="00170E4B">
            <w:pPr>
              <w:spacing w:after="0" w:line="240" w:lineRule="auto"/>
              <w:ind w:left="-71" w:right="-32"/>
              <w:jc w:val="center"/>
              <w:rPr>
                <w:rFonts w:eastAsia="Times New Roman" w:cs="Calibri"/>
                <w:sz w:val="20"/>
                <w:szCs w:val="20"/>
              </w:rPr>
            </w:pPr>
            <w:r w:rsidRPr="00170E4B">
              <w:rPr>
                <w:rFonts w:eastAsia="Times New Roman" w:cs="Calibri"/>
                <w:sz w:val="20"/>
                <w:szCs w:val="20"/>
                <w:lang w:val="en-US"/>
              </w:rPr>
              <w:t>10</w:t>
            </w:r>
            <w:r w:rsidRPr="00170E4B">
              <w:rPr>
                <w:rFonts w:eastAsia="Times New Roman" w:cs="Calibri"/>
                <w:sz w:val="20"/>
                <w:szCs w:val="20"/>
              </w:rPr>
              <w:t>6.1</w:t>
            </w:r>
          </w:p>
        </w:tc>
      </w:tr>
      <w:tr w:rsidR="00170E4B" w:rsidRPr="00170E4B" w14:paraId="39C9347B" w14:textId="77777777" w:rsidTr="00077A64">
        <w:trPr>
          <w:trHeight w:val="478"/>
        </w:trPr>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A50A9" w14:textId="77777777" w:rsidR="00170E4B" w:rsidRPr="00170E4B" w:rsidRDefault="00170E4B" w:rsidP="00170E4B">
            <w:pPr>
              <w:spacing w:after="0" w:line="240" w:lineRule="auto"/>
              <w:jc w:val="left"/>
              <w:rPr>
                <w:rFonts w:eastAsia="Times New Roman" w:cs="Calibri"/>
                <w:b/>
                <w:bCs/>
                <w:i/>
                <w:iCs/>
                <w:sz w:val="20"/>
                <w:szCs w:val="20"/>
                <w:lang w:val="en-US"/>
              </w:rPr>
            </w:pPr>
            <w:r w:rsidRPr="00170E4B">
              <w:rPr>
                <w:rFonts w:eastAsia="Times New Roman" w:cs="Calibri"/>
                <w:b/>
                <w:bCs/>
                <w:i/>
                <w:iCs/>
                <w:sz w:val="20"/>
                <w:szCs w:val="20"/>
                <w:lang w:val="en-US"/>
              </w:rPr>
              <w:t>ներքին պարտք</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514C5" w14:textId="77777777" w:rsidR="00170E4B" w:rsidRPr="00170E4B" w:rsidRDefault="00170E4B" w:rsidP="00170E4B">
            <w:pPr>
              <w:spacing w:after="0" w:line="240" w:lineRule="auto"/>
              <w:ind w:left="-77" w:right="-60"/>
              <w:jc w:val="center"/>
              <w:rPr>
                <w:rFonts w:eastAsia="Times New Roman" w:cs="Calibri"/>
                <w:b/>
                <w:bCs/>
                <w:i/>
                <w:iCs/>
                <w:sz w:val="20"/>
                <w:szCs w:val="20"/>
                <w:lang w:val="en-US"/>
              </w:rPr>
            </w:pPr>
            <w:r w:rsidRPr="00170E4B">
              <w:rPr>
                <w:rFonts w:eastAsia="Times New Roman" w:cs="Calibri"/>
                <w:b/>
                <w:bCs/>
                <w:i/>
                <w:iCs/>
                <w:sz w:val="20"/>
                <w:szCs w:val="20"/>
                <w:lang w:val="en-US"/>
              </w:rPr>
              <w:t>1,536.7</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BE4F" w14:textId="77777777" w:rsidR="00170E4B" w:rsidRPr="00170E4B" w:rsidRDefault="00170E4B" w:rsidP="00170E4B">
            <w:pPr>
              <w:spacing w:after="0" w:line="240" w:lineRule="auto"/>
              <w:ind w:left="-77" w:right="-42"/>
              <w:jc w:val="center"/>
              <w:rPr>
                <w:rFonts w:eastAsia="Times New Roman" w:cs="Calibri"/>
                <w:b/>
                <w:bCs/>
                <w:i/>
                <w:iCs/>
                <w:sz w:val="20"/>
                <w:szCs w:val="20"/>
                <w:lang w:val="en-US"/>
              </w:rPr>
            </w:pPr>
            <w:r w:rsidRPr="00170E4B">
              <w:rPr>
                <w:rFonts w:eastAsia="Times New Roman" w:cs="Calibri"/>
                <w:b/>
                <w:bCs/>
                <w:i/>
                <w:iCs/>
                <w:sz w:val="20"/>
                <w:szCs w:val="20"/>
                <w:lang w:val="en-US"/>
              </w:rPr>
              <w:t>737.2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902D" w14:textId="77777777" w:rsidR="00170E4B" w:rsidRPr="00170E4B" w:rsidRDefault="00170E4B" w:rsidP="00170E4B">
            <w:pPr>
              <w:spacing w:after="0" w:line="240" w:lineRule="auto"/>
              <w:ind w:left="-59" w:right="-63"/>
              <w:jc w:val="center"/>
              <w:rPr>
                <w:rFonts w:eastAsia="Times New Roman" w:cs="Calibri"/>
                <w:b/>
                <w:bCs/>
                <w:i/>
                <w:iCs/>
                <w:sz w:val="20"/>
                <w:szCs w:val="20"/>
                <w:lang w:val="en-US"/>
              </w:rPr>
            </w:pPr>
            <w:r w:rsidRPr="00170E4B">
              <w:rPr>
                <w:rFonts w:eastAsia="Times New Roman" w:cs="Calibri"/>
                <w:b/>
                <w:bCs/>
                <w:i/>
                <w:iCs/>
                <w:sz w:val="20"/>
                <w:szCs w:val="20"/>
                <w:lang w:val="en-US"/>
              </w:rPr>
              <w:t>1,877.8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EE005"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915.7</w:t>
            </w:r>
          </w:p>
        </w:tc>
        <w:tc>
          <w:tcPr>
            <w:tcW w:w="719" w:type="dxa"/>
            <w:tcBorders>
              <w:top w:val="single" w:sz="4" w:space="0" w:color="auto"/>
              <w:left w:val="single" w:sz="4" w:space="0" w:color="auto"/>
              <w:bottom w:val="single" w:sz="4" w:space="0" w:color="auto"/>
              <w:right w:val="single" w:sz="4" w:space="0" w:color="auto"/>
            </w:tcBorders>
            <w:vAlign w:val="center"/>
          </w:tcPr>
          <w:p w14:paraId="00B4F936" w14:textId="77777777" w:rsidR="00170E4B" w:rsidRPr="00170E4B" w:rsidRDefault="00170E4B" w:rsidP="00170E4B">
            <w:pPr>
              <w:spacing w:after="0" w:line="240" w:lineRule="auto"/>
              <w:ind w:left="-71" w:right="-32"/>
              <w:jc w:val="center"/>
              <w:rPr>
                <w:rFonts w:eastAsia="Times New Roman" w:cs="Calibri"/>
                <w:b/>
                <w:sz w:val="20"/>
                <w:szCs w:val="20"/>
                <w:lang w:val="en-US"/>
              </w:rPr>
            </w:pPr>
            <w:r w:rsidRPr="00170E4B">
              <w:rPr>
                <w:rFonts w:eastAsia="Times New Roman" w:cs="Calibri"/>
                <w:b/>
                <w:sz w:val="20"/>
                <w:szCs w:val="20"/>
                <w:lang w:val="en-US"/>
              </w:rPr>
              <w:t>124.2</w:t>
            </w:r>
          </w:p>
        </w:tc>
      </w:tr>
      <w:tr w:rsidR="00170E4B" w:rsidRPr="00170E4B" w14:paraId="6F7DD837" w14:textId="77777777" w:rsidTr="00077A64">
        <w:trPr>
          <w:trHeight w:val="350"/>
        </w:trPr>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1E6F"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այդ թվում`</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4E6F8621"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277978EE"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7A210D3C" w14:textId="77777777" w:rsidR="00170E4B" w:rsidRPr="00170E4B" w:rsidRDefault="00170E4B" w:rsidP="00170E4B">
            <w:pPr>
              <w:spacing w:after="0" w:line="240" w:lineRule="auto"/>
              <w:ind w:left="-59" w:right="-63"/>
              <w:jc w:val="center"/>
              <w:rPr>
                <w:rFonts w:eastAsia="Times New Roman" w:cs="Calibri"/>
                <w:sz w:val="20"/>
                <w:szCs w:val="20"/>
                <w:lang w:val="en-US"/>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6105C1A3" w14:textId="77777777" w:rsidR="00170E4B" w:rsidRPr="00170E4B" w:rsidRDefault="00170E4B" w:rsidP="00170E4B">
            <w:pPr>
              <w:spacing w:after="0" w:line="240" w:lineRule="auto"/>
              <w:ind w:left="-71" w:right="-32"/>
              <w:jc w:val="center"/>
              <w:rPr>
                <w:rFonts w:eastAsia="Times New Roman" w:cs="Calibri"/>
                <w:sz w:val="20"/>
                <w:szCs w:val="20"/>
                <w:lang w:val="en-US"/>
              </w:rPr>
            </w:pPr>
          </w:p>
        </w:tc>
        <w:tc>
          <w:tcPr>
            <w:tcW w:w="719" w:type="dxa"/>
            <w:tcBorders>
              <w:top w:val="single" w:sz="4" w:space="0" w:color="auto"/>
              <w:left w:val="nil"/>
              <w:bottom w:val="single" w:sz="4" w:space="0" w:color="auto"/>
              <w:right w:val="single" w:sz="4" w:space="0" w:color="auto"/>
            </w:tcBorders>
            <w:vAlign w:val="center"/>
          </w:tcPr>
          <w:p w14:paraId="34E27A62"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4285ADC7" w14:textId="77777777" w:rsidTr="002F56CA">
        <w:trPr>
          <w:trHeight w:val="411"/>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49DCB549"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ներքին վարկեր և փոխառություններ</w:t>
            </w:r>
          </w:p>
        </w:tc>
        <w:tc>
          <w:tcPr>
            <w:tcW w:w="1073" w:type="dxa"/>
            <w:tcBorders>
              <w:top w:val="nil"/>
              <w:left w:val="nil"/>
              <w:bottom w:val="single" w:sz="4" w:space="0" w:color="auto"/>
              <w:right w:val="single" w:sz="4" w:space="0" w:color="auto"/>
            </w:tcBorders>
            <w:shd w:val="clear" w:color="auto" w:fill="auto"/>
            <w:vAlign w:val="center"/>
            <w:hideMark/>
          </w:tcPr>
          <w:p w14:paraId="33237C60"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w:t>
            </w:r>
          </w:p>
        </w:tc>
        <w:tc>
          <w:tcPr>
            <w:tcW w:w="1159" w:type="dxa"/>
            <w:tcBorders>
              <w:top w:val="nil"/>
              <w:left w:val="nil"/>
              <w:bottom w:val="single" w:sz="4" w:space="0" w:color="auto"/>
              <w:right w:val="single" w:sz="4" w:space="0" w:color="auto"/>
            </w:tcBorders>
            <w:shd w:val="clear" w:color="auto" w:fill="auto"/>
            <w:vAlign w:val="center"/>
            <w:hideMark/>
          </w:tcPr>
          <w:p w14:paraId="736733F5"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w:t>
            </w:r>
          </w:p>
        </w:tc>
        <w:tc>
          <w:tcPr>
            <w:tcW w:w="1489" w:type="dxa"/>
            <w:tcBorders>
              <w:top w:val="nil"/>
              <w:left w:val="nil"/>
              <w:bottom w:val="single" w:sz="4" w:space="0" w:color="auto"/>
              <w:right w:val="single" w:sz="4" w:space="0" w:color="auto"/>
            </w:tcBorders>
            <w:shd w:val="clear" w:color="auto" w:fill="auto"/>
            <w:vAlign w:val="center"/>
            <w:hideMark/>
          </w:tcPr>
          <w:p w14:paraId="594129F9"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w:t>
            </w:r>
          </w:p>
        </w:tc>
        <w:tc>
          <w:tcPr>
            <w:tcW w:w="1505" w:type="dxa"/>
            <w:tcBorders>
              <w:top w:val="nil"/>
              <w:left w:val="nil"/>
              <w:bottom w:val="single" w:sz="4" w:space="0" w:color="auto"/>
              <w:right w:val="single" w:sz="4" w:space="0" w:color="auto"/>
            </w:tcBorders>
            <w:shd w:val="clear" w:color="auto" w:fill="auto"/>
            <w:vAlign w:val="center"/>
            <w:hideMark/>
          </w:tcPr>
          <w:p w14:paraId="33F42BEB"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w:t>
            </w:r>
          </w:p>
        </w:tc>
        <w:tc>
          <w:tcPr>
            <w:tcW w:w="719" w:type="dxa"/>
            <w:tcBorders>
              <w:top w:val="nil"/>
              <w:left w:val="nil"/>
              <w:bottom w:val="single" w:sz="4" w:space="0" w:color="auto"/>
              <w:right w:val="single" w:sz="4" w:space="0" w:color="auto"/>
            </w:tcBorders>
            <w:vAlign w:val="center"/>
          </w:tcPr>
          <w:p w14:paraId="3945B6E1"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72E47448" w14:textId="77777777" w:rsidTr="00617AA4">
        <w:trPr>
          <w:trHeight w:val="7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1D68958B" w14:textId="77777777" w:rsidR="00170E4B" w:rsidRPr="00170E4B" w:rsidRDefault="00170E4B" w:rsidP="00170E4B">
            <w:pPr>
              <w:spacing w:after="0" w:line="240" w:lineRule="auto"/>
              <w:ind w:left="105"/>
              <w:jc w:val="left"/>
              <w:rPr>
                <w:rFonts w:eastAsia="Times New Roman" w:cs="Calibri"/>
                <w:sz w:val="20"/>
                <w:szCs w:val="20"/>
              </w:rPr>
            </w:pPr>
            <w:r w:rsidRPr="00170E4B">
              <w:rPr>
                <w:rFonts w:eastAsia="Times New Roman" w:cs="Calibri"/>
                <w:sz w:val="20"/>
                <w:szCs w:val="20"/>
              </w:rPr>
              <w:t>ռեզիդենտների կողմից ձեռքբերված պետական գանձապետական պարտատոմսեր</w:t>
            </w:r>
          </w:p>
        </w:tc>
        <w:tc>
          <w:tcPr>
            <w:tcW w:w="1073" w:type="dxa"/>
            <w:tcBorders>
              <w:top w:val="nil"/>
              <w:left w:val="nil"/>
              <w:bottom w:val="single" w:sz="4" w:space="0" w:color="auto"/>
              <w:right w:val="single" w:sz="4" w:space="0" w:color="auto"/>
            </w:tcBorders>
            <w:shd w:val="clear" w:color="auto" w:fill="auto"/>
            <w:vAlign w:val="center"/>
            <w:hideMark/>
          </w:tcPr>
          <w:p w14:paraId="503DBEB3"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1,412.8</w:t>
            </w:r>
          </w:p>
        </w:tc>
        <w:tc>
          <w:tcPr>
            <w:tcW w:w="1159" w:type="dxa"/>
            <w:tcBorders>
              <w:top w:val="nil"/>
              <w:left w:val="nil"/>
              <w:bottom w:val="single" w:sz="4" w:space="0" w:color="auto"/>
              <w:right w:val="single" w:sz="4" w:space="0" w:color="auto"/>
            </w:tcBorders>
            <w:shd w:val="clear" w:color="auto" w:fill="auto"/>
            <w:vAlign w:val="center"/>
            <w:hideMark/>
          </w:tcPr>
          <w:p w14:paraId="6BC9C49F"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677.7</w:t>
            </w:r>
          </w:p>
        </w:tc>
        <w:tc>
          <w:tcPr>
            <w:tcW w:w="1489" w:type="dxa"/>
            <w:tcBorders>
              <w:top w:val="nil"/>
              <w:left w:val="nil"/>
              <w:bottom w:val="single" w:sz="4" w:space="0" w:color="auto"/>
              <w:right w:val="single" w:sz="4" w:space="0" w:color="auto"/>
            </w:tcBorders>
            <w:shd w:val="clear" w:color="auto" w:fill="auto"/>
            <w:vAlign w:val="center"/>
            <w:hideMark/>
          </w:tcPr>
          <w:p w14:paraId="368901AC"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1,788.5</w:t>
            </w:r>
          </w:p>
        </w:tc>
        <w:tc>
          <w:tcPr>
            <w:tcW w:w="1505" w:type="dxa"/>
            <w:tcBorders>
              <w:top w:val="nil"/>
              <w:left w:val="nil"/>
              <w:bottom w:val="single" w:sz="4" w:space="0" w:color="auto"/>
              <w:right w:val="single" w:sz="4" w:space="0" w:color="auto"/>
            </w:tcBorders>
            <w:shd w:val="clear" w:color="auto" w:fill="auto"/>
            <w:vAlign w:val="center"/>
            <w:hideMark/>
          </w:tcPr>
          <w:p w14:paraId="4111EB57" w14:textId="77777777" w:rsidR="00170E4B" w:rsidRPr="00170E4B" w:rsidRDefault="00170E4B" w:rsidP="00170E4B">
            <w:pPr>
              <w:spacing w:after="120"/>
              <w:jc w:val="center"/>
              <w:rPr>
                <w:rFonts w:eastAsia="Times New Roman" w:cs="Times New Roman"/>
                <w:sz w:val="20"/>
                <w:szCs w:val="20"/>
                <w:lang w:val="en-US"/>
              </w:rPr>
            </w:pPr>
            <w:r w:rsidRPr="00170E4B">
              <w:rPr>
                <w:rFonts w:eastAsia="Times New Roman" w:cs="Times New Roman"/>
                <w:sz w:val="20"/>
                <w:szCs w:val="20"/>
              </w:rPr>
              <w:t>872.1</w:t>
            </w:r>
          </w:p>
        </w:tc>
        <w:tc>
          <w:tcPr>
            <w:tcW w:w="719" w:type="dxa"/>
            <w:tcBorders>
              <w:top w:val="nil"/>
              <w:left w:val="nil"/>
              <w:bottom w:val="single" w:sz="4" w:space="0" w:color="auto"/>
              <w:right w:val="single" w:sz="4" w:space="0" w:color="auto"/>
            </w:tcBorders>
            <w:vAlign w:val="center"/>
          </w:tcPr>
          <w:p w14:paraId="677E49DC" w14:textId="77777777" w:rsidR="00170E4B" w:rsidRPr="00170E4B" w:rsidRDefault="00170E4B" w:rsidP="00170E4B">
            <w:pPr>
              <w:spacing w:after="0" w:line="240" w:lineRule="auto"/>
              <w:ind w:right="-32"/>
              <w:jc w:val="center"/>
              <w:rPr>
                <w:rFonts w:eastAsia="Times New Roman" w:cs="Calibri"/>
                <w:sz w:val="20"/>
                <w:szCs w:val="20"/>
                <w:lang w:val="en-US"/>
              </w:rPr>
            </w:pPr>
            <w:r w:rsidRPr="00170E4B">
              <w:rPr>
                <w:rFonts w:eastAsia="Times New Roman" w:cs="Calibri"/>
                <w:sz w:val="20"/>
                <w:szCs w:val="20"/>
                <w:lang w:val="en-US"/>
              </w:rPr>
              <w:t>128.7</w:t>
            </w:r>
          </w:p>
        </w:tc>
      </w:tr>
      <w:tr w:rsidR="00170E4B" w:rsidRPr="00170E4B" w14:paraId="6011A791" w14:textId="77777777" w:rsidTr="00617AA4">
        <w:trPr>
          <w:trHeight w:val="7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414DD58F" w14:textId="77777777" w:rsidR="00170E4B" w:rsidRPr="00170E4B" w:rsidRDefault="00170E4B" w:rsidP="00170E4B">
            <w:pPr>
              <w:spacing w:after="0" w:line="240" w:lineRule="auto"/>
              <w:ind w:left="105"/>
              <w:jc w:val="left"/>
              <w:rPr>
                <w:rFonts w:eastAsia="Times New Roman" w:cs="Calibri"/>
                <w:sz w:val="20"/>
                <w:szCs w:val="20"/>
              </w:rPr>
            </w:pPr>
            <w:r w:rsidRPr="00170E4B">
              <w:rPr>
                <w:rFonts w:eastAsia="Times New Roman" w:cs="Calibri"/>
                <w:sz w:val="20"/>
                <w:szCs w:val="20"/>
              </w:rPr>
              <w:t>ռեզիդենտների կողմից ձեռքբերված արտարժութային պետական պարտատոմսեր</w:t>
            </w:r>
          </w:p>
        </w:tc>
        <w:tc>
          <w:tcPr>
            <w:tcW w:w="1073" w:type="dxa"/>
            <w:tcBorders>
              <w:top w:val="nil"/>
              <w:left w:val="nil"/>
              <w:bottom w:val="single" w:sz="4" w:space="0" w:color="auto"/>
              <w:right w:val="single" w:sz="4" w:space="0" w:color="auto"/>
            </w:tcBorders>
            <w:shd w:val="clear" w:color="auto" w:fill="auto"/>
            <w:vAlign w:val="center"/>
            <w:hideMark/>
          </w:tcPr>
          <w:p w14:paraId="62069BE6"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124.0</w:t>
            </w:r>
          </w:p>
        </w:tc>
        <w:tc>
          <w:tcPr>
            <w:tcW w:w="1159" w:type="dxa"/>
            <w:tcBorders>
              <w:top w:val="nil"/>
              <w:left w:val="nil"/>
              <w:bottom w:val="single" w:sz="4" w:space="0" w:color="auto"/>
              <w:right w:val="single" w:sz="4" w:space="0" w:color="auto"/>
            </w:tcBorders>
            <w:shd w:val="clear" w:color="auto" w:fill="auto"/>
            <w:vAlign w:val="center"/>
            <w:hideMark/>
          </w:tcPr>
          <w:p w14:paraId="3297B54D" w14:textId="77777777" w:rsidR="00170E4B" w:rsidRPr="00170E4B" w:rsidRDefault="00170E4B" w:rsidP="00170E4B">
            <w:pPr>
              <w:spacing w:after="0" w:line="240" w:lineRule="auto"/>
              <w:ind w:left="-77" w:right="-42"/>
              <w:jc w:val="center"/>
              <w:rPr>
                <w:rFonts w:eastAsia="Times New Roman" w:cs="Calibri"/>
                <w:i/>
                <w:iCs/>
                <w:sz w:val="20"/>
                <w:szCs w:val="20"/>
                <w:lang w:val="en-US"/>
              </w:rPr>
            </w:pPr>
            <w:r w:rsidRPr="00170E4B">
              <w:rPr>
                <w:rFonts w:eastAsia="Times New Roman" w:cs="Calibri"/>
                <w:i/>
                <w:iCs/>
                <w:sz w:val="20"/>
                <w:szCs w:val="20"/>
                <w:lang w:val="en-US"/>
              </w:rPr>
              <w:t>59.5</w:t>
            </w:r>
          </w:p>
        </w:tc>
        <w:tc>
          <w:tcPr>
            <w:tcW w:w="1489" w:type="dxa"/>
            <w:tcBorders>
              <w:top w:val="nil"/>
              <w:left w:val="nil"/>
              <w:bottom w:val="single" w:sz="4" w:space="0" w:color="auto"/>
              <w:right w:val="single" w:sz="4" w:space="0" w:color="auto"/>
            </w:tcBorders>
            <w:shd w:val="clear" w:color="auto" w:fill="auto"/>
            <w:vAlign w:val="center"/>
            <w:hideMark/>
          </w:tcPr>
          <w:p w14:paraId="01131049"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89.3</w:t>
            </w:r>
          </w:p>
        </w:tc>
        <w:tc>
          <w:tcPr>
            <w:tcW w:w="1505" w:type="dxa"/>
            <w:tcBorders>
              <w:top w:val="nil"/>
              <w:left w:val="nil"/>
              <w:bottom w:val="single" w:sz="4" w:space="0" w:color="auto"/>
              <w:right w:val="single" w:sz="4" w:space="0" w:color="auto"/>
            </w:tcBorders>
            <w:shd w:val="clear" w:color="auto" w:fill="auto"/>
            <w:vAlign w:val="center"/>
            <w:hideMark/>
          </w:tcPr>
          <w:p w14:paraId="536474AB" w14:textId="77777777" w:rsidR="00170E4B" w:rsidRPr="00170E4B" w:rsidRDefault="00170E4B" w:rsidP="00170E4B">
            <w:pPr>
              <w:spacing w:after="120"/>
              <w:ind w:firstLine="567"/>
              <w:jc w:val="center"/>
              <w:rPr>
                <w:rFonts w:eastAsia="Times New Roman" w:cs="Times New Roman"/>
                <w:b/>
                <w:sz w:val="20"/>
                <w:szCs w:val="20"/>
              </w:rPr>
            </w:pPr>
            <w:r w:rsidRPr="00170E4B">
              <w:rPr>
                <w:rFonts w:eastAsia="Times New Roman" w:cs="Times New Roman"/>
                <w:i/>
                <w:iCs/>
                <w:sz w:val="20"/>
                <w:szCs w:val="20"/>
              </w:rPr>
              <w:t>43.5</w:t>
            </w:r>
          </w:p>
        </w:tc>
        <w:tc>
          <w:tcPr>
            <w:tcW w:w="719" w:type="dxa"/>
            <w:tcBorders>
              <w:top w:val="nil"/>
              <w:left w:val="nil"/>
              <w:bottom w:val="single" w:sz="4" w:space="0" w:color="auto"/>
              <w:right w:val="single" w:sz="4" w:space="0" w:color="auto"/>
            </w:tcBorders>
            <w:vAlign w:val="center"/>
          </w:tcPr>
          <w:p w14:paraId="4FDCAE25" w14:textId="77777777" w:rsidR="00170E4B" w:rsidRPr="00170E4B" w:rsidRDefault="00170E4B" w:rsidP="00170E4B">
            <w:pPr>
              <w:spacing w:after="0" w:line="240" w:lineRule="auto"/>
              <w:ind w:left="-71" w:right="-32"/>
              <w:jc w:val="center"/>
              <w:rPr>
                <w:rFonts w:eastAsia="Times New Roman" w:cs="Calibri"/>
                <w:i/>
                <w:iCs/>
                <w:sz w:val="20"/>
                <w:szCs w:val="20"/>
              </w:rPr>
            </w:pPr>
            <w:r w:rsidRPr="00170E4B">
              <w:rPr>
                <w:rFonts w:eastAsia="Times New Roman" w:cs="Calibri"/>
                <w:i/>
                <w:iCs/>
                <w:sz w:val="20"/>
                <w:szCs w:val="20"/>
                <w:lang w:val="en-US"/>
              </w:rPr>
              <w:t>73</w:t>
            </w:r>
            <w:r w:rsidRPr="00170E4B">
              <w:rPr>
                <w:rFonts w:eastAsia="Times New Roman" w:cs="Calibri"/>
                <w:i/>
                <w:iCs/>
                <w:sz w:val="20"/>
                <w:szCs w:val="20"/>
              </w:rPr>
              <w:t>.2</w:t>
            </w:r>
          </w:p>
        </w:tc>
      </w:tr>
      <w:tr w:rsidR="00170E4B" w:rsidRPr="00170E4B" w14:paraId="5A9E53BE" w14:textId="77777777" w:rsidTr="002F56CA">
        <w:trPr>
          <w:trHeight w:val="41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2056559F"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ներքին երաշխիքներ</w:t>
            </w:r>
          </w:p>
        </w:tc>
        <w:tc>
          <w:tcPr>
            <w:tcW w:w="1073" w:type="dxa"/>
            <w:tcBorders>
              <w:top w:val="nil"/>
              <w:left w:val="nil"/>
              <w:bottom w:val="single" w:sz="4" w:space="0" w:color="auto"/>
              <w:right w:val="single" w:sz="4" w:space="0" w:color="auto"/>
            </w:tcBorders>
            <w:shd w:val="clear" w:color="auto" w:fill="auto"/>
            <w:vAlign w:val="center"/>
            <w:hideMark/>
          </w:tcPr>
          <w:p w14:paraId="2B1F767A"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w:t>
            </w:r>
          </w:p>
        </w:tc>
        <w:tc>
          <w:tcPr>
            <w:tcW w:w="1159" w:type="dxa"/>
            <w:tcBorders>
              <w:top w:val="nil"/>
              <w:left w:val="nil"/>
              <w:bottom w:val="single" w:sz="4" w:space="0" w:color="auto"/>
              <w:right w:val="single" w:sz="4" w:space="0" w:color="auto"/>
            </w:tcBorders>
            <w:shd w:val="clear" w:color="auto" w:fill="auto"/>
            <w:vAlign w:val="center"/>
            <w:hideMark/>
          </w:tcPr>
          <w:p w14:paraId="7110E542"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w:t>
            </w:r>
          </w:p>
        </w:tc>
        <w:tc>
          <w:tcPr>
            <w:tcW w:w="1489" w:type="dxa"/>
            <w:tcBorders>
              <w:top w:val="nil"/>
              <w:left w:val="nil"/>
              <w:bottom w:val="single" w:sz="4" w:space="0" w:color="auto"/>
              <w:right w:val="single" w:sz="4" w:space="0" w:color="auto"/>
            </w:tcBorders>
            <w:shd w:val="clear" w:color="auto" w:fill="auto"/>
            <w:vAlign w:val="center"/>
            <w:hideMark/>
          </w:tcPr>
          <w:p w14:paraId="303804FF"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w:t>
            </w:r>
          </w:p>
        </w:tc>
        <w:tc>
          <w:tcPr>
            <w:tcW w:w="1505" w:type="dxa"/>
            <w:tcBorders>
              <w:top w:val="nil"/>
              <w:left w:val="nil"/>
              <w:bottom w:val="single" w:sz="4" w:space="0" w:color="auto"/>
              <w:right w:val="single" w:sz="4" w:space="0" w:color="auto"/>
            </w:tcBorders>
            <w:shd w:val="clear" w:color="auto" w:fill="auto"/>
            <w:vAlign w:val="center"/>
            <w:hideMark/>
          </w:tcPr>
          <w:p w14:paraId="70247364" w14:textId="77777777" w:rsidR="00170E4B" w:rsidRPr="00170E4B" w:rsidRDefault="00170E4B" w:rsidP="00170E4B">
            <w:pPr>
              <w:spacing w:after="0" w:line="240" w:lineRule="auto"/>
              <w:ind w:left="-71" w:right="-32"/>
              <w:jc w:val="center"/>
              <w:rPr>
                <w:rFonts w:eastAsia="Times New Roman" w:cs="Calibri"/>
                <w:sz w:val="20"/>
                <w:szCs w:val="20"/>
                <w:lang w:val="en-US"/>
              </w:rPr>
            </w:pPr>
            <w:r w:rsidRPr="00170E4B">
              <w:rPr>
                <w:rFonts w:eastAsia="Times New Roman" w:cs="Calibri"/>
                <w:sz w:val="20"/>
                <w:szCs w:val="20"/>
                <w:lang w:val="en-US"/>
              </w:rPr>
              <w:t>-</w:t>
            </w:r>
          </w:p>
        </w:tc>
        <w:tc>
          <w:tcPr>
            <w:tcW w:w="719" w:type="dxa"/>
            <w:tcBorders>
              <w:top w:val="nil"/>
              <w:left w:val="nil"/>
              <w:bottom w:val="single" w:sz="4" w:space="0" w:color="auto"/>
              <w:right w:val="single" w:sz="4" w:space="0" w:color="auto"/>
            </w:tcBorders>
            <w:vAlign w:val="center"/>
          </w:tcPr>
          <w:p w14:paraId="416BAB7B"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7BB6B1B2" w14:textId="77777777" w:rsidTr="00077A64">
        <w:trPr>
          <w:trHeight w:val="457"/>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06FF737F" w14:textId="77777777" w:rsidR="00170E4B" w:rsidRPr="00170E4B" w:rsidRDefault="00170E4B" w:rsidP="00170E4B">
            <w:pPr>
              <w:spacing w:after="0" w:line="240" w:lineRule="auto"/>
              <w:jc w:val="left"/>
              <w:rPr>
                <w:rFonts w:eastAsia="Times New Roman" w:cs="Calibri"/>
                <w:b/>
                <w:bCs/>
                <w:sz w:val="20"/>
                <w:szCs w:val="20"/>
              </w:rPr>
            </w:pPr>
            <w:r w:rsidRPr="00170E4B">
              <w:rPr>
                <w:rFonts w:eastAsia="Times New Roman" w:cs="Calibri"/>
                <w:b/>
                <w:bCs/>
                <w:sz w:val="20"/>
                <w:szCs w:val="20"/>
              </w:rPr>
              <w:t>ՀՀ կենտրոնական բանկի արտաքին պարտք</w:t>
            </w:r>
          </w:p>
        </w:tc>
        <w:tc>
          <w:tcPr>
            <w:tcW w:w="1073" w:type="dxa"/>
            <w:tcBorders>
              <w:top w:val="nil"/>
              <w:left w:val="nil"/>
              <w:bottom w:val="single" w:sz="4" w:space="0" w:color="auto"/>
              <w:right w:val="single" w:sz="4" w:space="0" w:color="auto"/>
            </w:tcBorders>
            <w:shd w:val="clear" w:color="auto" w:fill="auto"/>
            <w:vAlign w:val="center"/>
            <w:hideMark/>
          </w:tcPr>
          <w:p w14:paraId="10FE8FF4" w14:textId="77777777" w:rsidR="00170E4B" w:rsidRPr="00170E4B" w:rsidRDefault="00170E4B" w:rsidP="00170E4B">
            <w:pPr>
              <w:spacing w:after="0" w:line="240" w:lineRule="auto"/>
              <w:ind w:left="-77" w:right="-60"/>
              <w:jc w:val="center"/>
              <w:rPr>
                <w:rFonts w:eastAsia="Times New Roman" w:cs="Calibri"/>
                <w:b/>
                <w:bCs/>
                <w:sz w:val="20"/>
                <w:szCs w:val="20"/>
                <w:lang w:val="en-US"/>
              </w:rPr>
            </w:pPr>
            <w:r w:rsidRPr="00170E4B">
              <w:rPr>
                <w:rFonts w:eastAsia="Times New Roman" w:cs="Calibri"/>
                <w:b/>
                <w:bCs/>
                <w:sz w:val="20"/>
                <w:szCs w:val="20"/>
                <w:lang w:val="en-US"/>
              </w:rPr>
              <w:t>489.3</w:t>
            </w:r>
          </w:p>
        </w:tc>
        <w:tc>
          <w:tcPr>
            <w:tcW w:w="1159" w:type="dxa"/>
            <w:tcBorders>
              <w:top w:val="nil"/>
              <w:left w:val="nil"/>
              <w:bottom w:val="single" w:sz="4" w:space="0" w:color="auto"/>
              <w:right w:val="single" w:sz="4" w:space="0" w:color="auto"/>
            </w:tcBorders>
            <w:shd w:val="clear" w:color="auto" w:fill="auto"/>
            <w:vAlign w:val="center"/>
            <w:hideMark/>
          </w:tcPr>
          <w:p w14:paraId="10E53BB1" w14:textId="77777777" w:rsidR="00170E4B" w:rsidRPr="00170E4B" w:rsidRDefault="00170E4B" w:rsidP="00170E4B">
            <w:pPr>
              <w:spacing w:after="0" w:line="240" w:lineRule="auto"/>
              <w:ind w:left="-77" w:right="-42"/>
              <w:jc w:val="center"/>
              <w:rPr>
                <w:rFonts w:eastAsia="Times New Roman" w:cs="Calibri"/>
                <w:b/>
                <w:bCs/>
                <w:sz w:val="20"/>
                <w:szCs w:val="20"/>
                <w:lang w:val="en-US"/>
              </w:rPr>
            </w:pPr>
            <w:r w:rsidRPr="00170E4B">
              <w:rPr>
                <w:rFonts w:eastAsia="Times New Roman" w:cs="Calibri"/>
                <w:b/>
                <w:bCs/>
                <w:sz w:val="20"/>
                <w:szCs w:val="20"/>
                <w:lang w:val="en-US"/>
              </w:rPr>
              <w:t>234.7</w:t>
            </w:r>
          </w:p>
        </w:tc>
        <w:tc>
          <w:tcPr>
            <w:tcW w:w="1489" w:type="dxa"/>
            <w:tcBorders>
              <w:top w:val="nil"/>
              <w:left w:val="nil"/>
              <w:bottom w:val="single" w:sz="4" w:space="0" w:color="auto"/>
              <w:right w:val="single" w:sz="4" w:space="0" w:color="auto"/>
            </w:tcBorders>
            <w:shd w:val="clear" w:color="auto" w:fill="auto"/>
            <w:vAlign w:val="center"/>
            <w:hideMark/>
          </w:tcPr>
          <w:p w14:paraId="452FA3AE" w14:textId="77777777" w:rsidR="00170E4B" w:rsidRPr="00170E4B" w:rsidRDefault="00170E4B" w:rsidP="00170E4B">
            <w:pPr>
              <w:spacing w:after="0" w:line="240" w:lineRule="auto"/>
              <w:ind w:left="-59" w:right="-63"/>
              <w:jc w:val="center"/>
              <w:rPr>
                <w:rFonts w:eastAsia="Times New Roman" w:cs="Calibri"/>
                <w:b/>
                <w:bCs/>
                <w:sz w:val="20"/>
                <w:szCs w:val="20"/>
                <w:lang w:val="en-US"/>
              </w:rPr>
            </w:pPr>
            <w:r w:rsidRPr="00170E4B">
              <w:rPr>
                <w:rFonts w:eastAsia="Times New Roman" w:cs="Calibri"/>
                <w:b/>
                <w:bCs/>
                <w:sz w:val="20"/>
                <w:szCs w:val="20"/>
                <w:lang w:val="en-US"/>
              </w:rPr>
              <w:t>480.1</w:t>
            </w:r>
          </w:p>
        </w:tc>
        <w:tc>
          <w:tcPr>
            <w:tcW w:w="1505" w:type="dxa"/>
            <w:tcBorders>
              <w:top w:val="nil"/>
              <w:left w:val="nil"/>
              <w:bottom w:val="single" w:sz="4" w:space="0" w:color="auto"/>
              <w:right w:val="single" w:sz="4" w:space="0" w:color="auto"/>
            </w:tcBorders>
            <w:shd w:val="clear" w:color="auto" w:fill="auto"/>
            <w:vAlign w:val="center"/>
            <w:hideMark/>
          </w:tcPr>
          <w:p w14:paraId="4FA734C2" w14:textId="77777777" w:rsidR="00170E4B" w:rsidRPr="00170E4B" w:rsidRDefault="00170E4B" w:rsidP="00170E4B">
            <w:pPr>
              <w:spacing w:after="120"/>
              <w:ind w:firstLine="567"/>
              <w:jc w:val="center"/>
              <w:rPr>
                <w:rFonts w:eastAsia="Times New Roman" w:cs="Times New Roman"/>
                <w:b/>
                <w:bCs/>
                <w:sz w:val="20"/>
                <w:szCs w:val="20"/>
                <w:lang w:val="en-US"/>
              </w:rPr>
            </w:pPr>
            <w:r w:rsidRPr="00170E4B">
              <w:rPr>
                <w:rFonts w:eastAsia="Times New Roman" w:cs="Times New Roman"/>
                <w:b/>
                <w:bCs/>
                <w:sz w:val="20"/>
                <w:szCs w:val="20"/>
              </w:rPr>
              <w:t>234.1</w:t>
            </w:r>
          </w:p>
        </w:tc>
        <w:tc>
          <w:tcPr>
            <w:tcW w:w="719" w:type="dxa"/>
            <w:tcBorders>
              <w:top w:val="nil"/>
              <w:left w:val="nil"/>
              <w:bottom w:val="single" w:sz="4" w:space="0" w:color="auto"/>
              <w:right w:val="single" w:sz="4" w:space="0" w:color="auto"/>
            </w:tcBorders>
            <w:vAlign w:val="center"/>
          </w:tcPr>
          <w:p w14:paraId="5C9FDB8E" w14:textId="77777777" w:rsidR="00170E4B" w:rsidRPr="00170E4B" w:rsidRDefault="00170E4B" w:rsidP="00170E4B">
            <w:pPr>
              <w:spacing w:after="0" w:line="240" w:lineRule="auto"/>
              <w:ind w:left="-71" w:right="-32"/>
              <w:jc w:val="center"/>
              <w:rPr>
                <w:rFonts w:eastAsia="Times New Roman" w:cs="Calibri"/>
                <w:b/>
                <w:bCs/>
                <w:sz w:val="20"/>
                <w:szCs w:val="20"/>
                <w:lang w:val="en-US"/>
              </w:rPr>
            </w:pPr>
            <w:r w:rsidRPr="00170E4B">
              <w:rPr>
                <w:rFonts w:eastAsia="Times New Roman" w:cs="Calibri"/>
                <w:b/>
                <w:bCs/>
                <w:sz w:val="20"/>
                <w:szCs w:val="20"/>
                <w:lang w:val="en-US"/>
              </w:rPr>
              <w:t>99.7</w:t>
            </w:r>
          </w:p>
        </w:tc>
      </w:tr>
      <w:tr w:rsidR="00170E4B" w:rsidRPr="00170E4B" w14:paraId="56ED682B" w14:textId="77777777" w:rsidTr="002F56CA">
        <w:trPr>
          <w:trHeight w:val="408"/>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2ACBF513" w14:textId="77777777" w:rsidR="00170E4B" w:rsidRPr="00170E4B" w:rsidRDefault="00170E4B" w:rsidP="00170E4B">
            <w:pPr>
              <w:spacing w:after="0" w:line="240" w:lineRule="auto"/>
              <w:jc w:val="left"/>
              <w:rPr>
                <w:rFonts w:eastAsia="Times New Roman" w:cs="Calibri"/>
                <w:sz w:val="20"/>
                <w:szCs w:val="20"/>
                <w:lang w:val="en-US"/>
              </w:rPr>
            </w:pPr>
            <w:r w:rsidRPr="00170E4B">
              <w:rPr>
                <w:rFonts w:eastAsia="Times New Roman" w:cs="Calibri"/>
                <w:sz w:val="20"/>
                <w:szCs w:val="20"/>
                <w:lang w:val="en-US"/>
              </w:rPr>
              <w:t>որից</w:t>
            </w:r>
          </w:p>
        </w:tc>
        <w:tc>
          <w:tcPr>
            <w:tcW w:w="1073" w:type="dxa"/>
            <w:tcBorders>
              <w:top w:val="nil"/>
              <w:left w:val="nil"/>
              <w:bottom w:val="single" w:sz="4" w:space="0" w:color="auto"/>
              <w:right w:val="single" w:sz="4" w:space="0" w:color="auto"/>
            </w:tcBorders>
            <w:shd w:val="clear" w:color="auto" w:fill="auto"/>
            <w:vAlign w:val="center"/>
            <w:hideMark/>
          </w:tcPr>
          <w:p w14:paraId="6D8593AB" w14:textId="77777777" w:rsidR="00170E4B" w:rsidRPr="00170E4B" w:rsidRDefault="00170E4B" w:rsidP="00170E4B">
            <w:pPr>
              <w:spacing w:after="0" w:line="240" w:lineRule="auto"/>
              <w:ind w:left="-77" w:right="-60"/>
              <w:jc w:val="center"/>
              <w:rPr>
                <w:rFonts w:eastAsia="Times New Roman" w:cs="Calibri"/>
                <w:sz w:val="20"/>
                <w:szCs w:val="20"/>
                <w:lang w:val="en-US"/>
              </w:rPr>
            </w:pPr>
          </w:p>
        </w:tc>
        <w:tc>
          <w:tcPr>
            <w:tcW w:w="1159" w:type="dxa"/>
            <w:tcBorders>
              <w:top w:val="nil"/>
              <w:left w:val="nil"/>
              <w:bottom w:val="single" w:sz="4" w:space="0" w:color="auto"/>
              <w:right w:val="single" w:sz="4" w:space="0" w:color="auto"/>
            </w:tcBorders>
            <w:shd w:val="clear" w:color="auto" w:fill="auto"/>
            <w:vAlign w:val="center"/>
            <w:hideMark/>
          </w:tcPr>
          <w:p w14:paraId="387F090C" w14:textId="77777777" w:rsidR="00170E4B" w:rsidRPr="00170E4B" w:rsidRDefault="00170E4B" w:rsidP="00170E4B">
            <w:pPr>
              <w:spacing w:after="0" w:line="240" w:lineRule="auto"/>
              <w:ind w:left="-77" w:right="-42"/>
              <w:jc w:val="center"/>
              <w:rPr>
                <w:rFonts w:eastAsia="Times New Roman" w:cs="Calibri"/>
                <w:sz w:val="20"/>
                <w:szCs w:val="20"/>
                <w:lang w:val="en-US"/>
              </w:rPr>
            </w:pPr>
          </w:p>
        </w:tc>
        <w:tc>
          <w:tcPr>
            <w:tcW w:w="1489" w:type="dxa"/>
            <w:tcBorders>
              <w:top w:val="nil"/>
              <w:left w:val="nil"/>
              <w:bottom w:val="single" w:sz="4" w:space="0" w:color="auto"/>
              <w:right w:val="single" w:sz="4" w:space="0" w:color="auto"/>
            </w:tcBorders>
            <w:shd w:val="clear" w:color="auto" w:fill="auto"/>
            <w:vAlign w:val="center"/>
            <w:hideMark/>
          </w:tcPr>
          <w:p w14:paraId="7C8AE9FF" w14:textId="77777777" w:rsidR="00170E4B" w:rsidRPr="00170E4B" w:rsidRDefault="00170E4B" w:rsidP="00170E4B">
            <w:pPr>
              <w:spacing w:after="0" w:line="240" w:lineRule="auto"/>
              <w:ind w:left="-59" w:right="-63"/>
              <w:jc w:val="center"/>
              <w:rPr>
                <w:rFonts w:eastAsia="Times New Roman" w:cs="Calibri"/>
                <w:sz w:val="20"/>
                <w:szCs w:val="20"/>
                <w:lang w:val="en-US"/>
              </w:rPr>
            </w:pPr>
          </w:p>
        </w:tc>
        <w:tc>
          <w:tcPr>
            <w:tcW w:w="1505" w:type="dxa"/>
            <w:tcBorders>
              <w:top w:val="nil"/>
              <w:left w:val="nil"/>
              <w:bottom w:val="single" w:sz="4" w:space="0" w:color="auto"/>
              <w:right w:val="single" w:sz="4" w:space="0" w:color="auto"/>
            </w:tcBorders>
            <w:shd w:val="clear" w:color="auto" w:fill="auto"/>
            <w:vAlign w:val="center"/>
            <w:hideMark/>
          </w:tcPr>
          <w:p w14:paraId="783FD744" w14:textId="77777777" w:rsidR="00170E4B" w:rsidRPr="00170E4B" w:rsidRDefault="00170E4B" w:rsidP="00170E4B">
            <w:pPr>
              <w:spacing w:after="0" w:line="240" w:lineRule="auto"/>
              <w:ind w:left="-71" w:right="-32"/>
              <w:jc w:val="center"/>
              <w:rPr>
                <w:rFonts w:eastAsia="Times New Roman" w:cs="Calibri"/>
                <w:sz w:val="20"/>
                <w:szCs w:val="20"/>
                <w:lang w:val="en-US"/>
              </w:rPr>
            </w:pPr>
          </w:p>
        </w:tc>
        <w:tc>
          <w:tcPr>
            <w:tcW w:w="719" w:type="dxa"/>
            <w:tcBorders>
              <w:top w:val="nil"/>
              <w:left w:val="nil"/>
              <w:bottom w:val="single" w:sz="4" w:space="0" w:color="auto"/>
              <w:right w:val="single" w:sz="4" w:space="0" w:color="auto"/>
            </w:tcBorders>
            <w:vAlign w:val="center"/>
          </w:tcPr>
          <w:p w14:paraId="443240D1" w14:textId="77777777" w:rsidR="00170E4B" w:rsidRPr="00170E4B" w:rsidRDefault="00170E4B" w:rsidP="00170E4B">
            <w:pPr>
              <w:spacing w:after="0" w:line="240" w:lineRule="auto"/>
              <w:ind w:left="-71" w:right="-32"/>
              <w:jc w:val="center"/>
              <w:rPr>
                <w:rFonts w:eastAsia="Times New Roman" w:cs="Calibri"/>
                <w:sz w:val="20"/>
                <w:szCs w:val="20"/>
                <w:lang w:val="en-US"/>
              </w:rPr>
            </w:pPr>
          </w:p>
        </w:tc>
      </w:tr>
      <w:tr w:rsidR="00170E4B" w:rsidRPr="00170E4B" w14:paraId="7CA83BBE" w14:textId="77777777" w:rsidTr="00617AA4">
        <w:trPr>
          <w:trHeight w:val="70"/>
        </w:trPr>
        <w:tc>
          <w:tcPr>
            <w:tcW w:w="46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21615" w14:textId="77777777" w:rsidR="00170E4B" w:rsidRPr="00170E4B" w:rsidRDefault="00170E4B" w:rsidP="00170E4B">
            <w:pPr>
              <w:spacing w:after="0" w:line="240" w:lineRule="auto"/>
              <w:jc w:val="left"/>
              <w:rPr>
                <w:rFonts w:eastAsia="Times New Roman" w:cs="Calibri"/>
                <w:sz w:val="20"/>
                <w:szCs w:val="20"/>
              </w:rPr>
            </w:pPr>
            <w:r w:rsidRPr="00170E4B">
              <w:rPr>
                <w:rFonts w:eastAsia="Times New Roman" w:cs="Calibri"/>
                <w:sz w:val="20"/>
                <w:szCs w:val="20"/>
              </w:rPr>
              <w:t>ՀՀ կառավարության երաշխիքով տրամադրված վարկեր</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6CD60303" w14:textId="77777777" w:rsidR="00170E4B" w:rsidRPr="00170E4B" w:rsidRDefault="00170E4B" w:rsidP="00170E4B">
            <w:pPr>
              <w:spacing w:after="0" w:line="240" w:lineRule="auto"/>
              <w:ind w:left="-77" w:right="-60"/>
              <w:jc w:val="center"/>
              <w:rPr>
                <w:rFonts w:eastAsia="Times New Roman" w:cs="Calibri"/>
                <w:sz w:val="20"/>
                <w:szCs w:val="20"/>
                <w:lang w:val="en-US"/>
              </w:rPr>
            </w:pPr>
            <w:r w:rsidRPr="00170E4B">
              <w:rPr>
                <w:rFonts w:eastAsia="Times New Roman" w:cs="Calibri"/>
                <w:sz w:val="20"/>
                <w:szCs w:val="20"/>
                <w:lang w:val="en-US"/>
              </w:rPr>
              <w:t>129.0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693E6CC5" w14:textId="77777777" w:rsidR="00170E4B" w:rsidRPr="00170E4B" w:rsidRDefault="00170E4B" w:rsidP="00170E4B">
            <w:pPr>
              <w:spacing w:after="0" w:line="240" w:lineRule="auto"/>
              <w:ind w:left="-77" w:right="-42"/>
              <w:jc w:val="center"/>
              <w:rPr>
                <w:rFonts w:eastAsia="Times New Roman" w:cs="Calibri"/>
                <w:sz w:val="20"/>
                <w:szCs w:val="20"/>
                <w:lang w:val="en-US"/>
              </w:rPr>
            </w:pPr>
            <w:r w:rsidRPr="00170E4B">
              <w:rPr>
                <w:rFonts w:eastAsia="Times New Roman" w:cs="Calibri"/>
                <w:sz w:val="20"/>
                <w:szCs w:val="20"/>
                <w:lang w:val="en-US"/>
              </w:rPr>
              <w:t>61.9</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ADFA3F3" w14:textId="77777777" w:rsidR="00170E4B" w:rsidRPr="00170E4B" w:rsidRDefault="00170E4B" w:rsidP="00170E4B">
            <w:pPr>
              <w:spacing w:after="0" w:line="240" w:lineRule="auto"/>
              <w:ind w:left="-59" w:right="-63"/>
              <w:jc w:val="center"/>
              <w:rPr>
                <w:rFonts w:eastAsia="Times New Roman" w:cs="Calibri"/>
                <w:sz w:val="20"/>
                <w:szCs w:val="20"/>
                <w:lang w:val="en-US"/>
              </w:rPr>
            </w:pPr>
            <w:r w:rsidRPr="00170E4B">
              <w:rPr>
                <w:rFonts w:eastAsia="Times New Roman" w:cs="Calibri"/>
                <w:sz w:val="20"/>
                <w:szCs w:val="20"/>
                <w:lang w:val="en-US"/>
              </w:rPr>
              <w:t>123.3</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10A167B7" w14:textId="77777777" w:rsidR="00170E4B" w:rsidRPr="00170E4B" w:rsidRDefault="00170E4B" w:rsidP="00170E4B">
            <w:pPr>
              <w:spacing w:after="120"/>
              <w:ind w:firstLine="567"/>
              <w:jc w:val="center"/>
              <w:rPr>
                <w:rFonts w:eastAsia="Times New Roman" w:cs="Times New Roman"/>
                <w:sz w:val="20"/>
                <w:szCs w:val="20"/>
                <w:lang w:val="en-US"/>
              </w:rPr>
            </w:pPr>
            <w:r w:rsidRPr="00170E4B">
              <w:rPr>
                <w:rFonts w:eastAsia="Times New Roman" w:cs="Times New Roman"/>
                <w:sz w:val="20"/>
                <w:szCs w:val="20"/>
              </w:rPr>
              <w:t>60.1</w:t>
            </w:r>
          </w:p>
        </w:tc>
        <w:tc>
          <w:tcPr>
            <w:tcW w:w="719" w:type="dxa"/>
            <w:tcBorders>
              <w:top w:val="single" w:sz="4" w:space="0" w:color="auto"/>
              <w:left w:val="nil"/>
              <w:bottom w:val="single" w:sz="4" w:space="0" w:color="auto"/>
              <w:right w:val="single" w:sz="4" w:space="0" w:color="auto"/>
            </w:tcBorders>
            <w:vAlign w:val="center"/>
          </w:tcPr>
          <w:p w14:paraId="1B148111" w14:textId="77777777" w:rsidR="00170E4B" w:rsidRPr="00170E4B" w:rsidRDefault="00170E4B" w:rsidP="00170E4B">
            <w:pPr>
              <w:spacing w:after="0" w:line="240" w:lineRule="auto"/>
              <w:ind w:left="-71" w:right="-32"/>
              <w:jc w:val="center"/>
              <w:rPr>
                <w:rFonts w:eastAsia="Times New Roman" w:cs="Calibri"/>
                <w:sz w:val="20"/>
                <w:szCs w:val="20"/>
              </w:rPr>
            </w:pPr>
            <w:r w:rsidRPr="00170E4B">
              <w:rPr>
                <w:rFonts w:eastAsia="Times New Roman" w:cs="Calibri"/>
                <w:sz w:val="20"/>
                <w:szCs w:val="20"/>
                <w:lang w:val="en-US"/>
              </w:rPr>
              <w:t>97.</w:t>
            </w:r>
            <w:r w:rsidRPr="00170E4B">
              <w:rPr>
                <w:rFonts w:eastAsia="Times New Roman" w:cs="Calibri"/>
                <w:sz w:val="20"/>
                <w:szCs w:val="20"/>
              </w:rPr>
              <w:t>2</w:t>
            </w:r>
          </w:p>
        </w:tc>
      </w:tr>
      <w:tr w:rsidR="00170E4B" w:rsidRPr="00170E4B" w14:paraId="7DE1A62C" w14:textId="77777777" w:rsidTr="00077A64">
        <w:trPr>
          <w:trHeight w:val="449"/>
        </w:trPr>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8EEAB" w14:textId="77777777" w:rsidR="00170E4B" w:rsidRPr="00170E4B" w:rsidRDefault="00170E4B" w:rsidP="00170E4B">
            <w:pPr>
              <w:spacing w:after="0" w:line="240" w:lineRule="auto"/>
              <w:ind w:firstLineChars="200" w:firstLine="400"/>
              <w:jc w:val="left"/>
              <w:rPr>
                <w:rFonts w:eastAsia="Times New Roman" w:cs="Calibri"/>
                <w:b/>
                <w:bCs/>
                <w:sz w:val="20"/>
                <w:szCs w:val="20"/>
                <w:lang w:val="en-US"/>
              </w:rPr>
            </w:pPr>
            <w:r w:rsidRPr="00170E4B">
              <w:rPr>
                <w:rFonts w:eastAsia="Times New Roman" w:cs="Calibri"/>
                <w:b/>
                <w:bCs/>
                <w:sz w:val="20"/>
                <w:szCs w:val="20"/>
                <w:lang w:val="en-US"/>
              </w:rPr>
              <w:t>ՀՀ պետական պարտք</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3AB8FFB2" w14:textId="77777777" w:rsidR="00170E4B" w:rsidRPr="00170E4B" w:rsidRDefault="00170E4B" w:rsidP="00170E4B">
            <w:pPr>
              <w:spacing w:after="0" w:line="240" w:lineRule="auto"/>
              <w:ind w:left="-77" w:right="-60"/>
              <w:jc w:val="center"/>
              <w:rPr>
                <w:rFonts w:eastAsia="Times New Roman" w:cs="Calibri"/>
                <w:b/>
                <w:bCs/>
                <w:i/>
                <w:iCs/>
                <w:sz w:val="20"/>
                <w:szCs w:val="20"/>
                <w:lang w:val="en-US"/>
              </w:rPr>
            </w:pPr>
            <w:r w:rsidRPr="00170E4B">
              <w:rPr>
                <w:rFonts w:eastAsia="Times New Roman" w:cs="Calibri"/>
                <w:b/>
                <w:bCs/>
                <w:i/>
                <w:iCs/>
                <w:sz w:val="20"/>
                <w:szCs w:val="20"/>
                <w:lang w:val="en-US"/>
              </w:rPr>
              <w:t>7,321.3</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663626E1" w14:textId="77777777" w:rsidR="00170E4B" w:rsidRPr="00170E4B" w:rsidRDefault="00170E4B" w:rsidP="00170E4B">
            <w:pPr>
              <w:spacing w:after="0" w:line="240" w:lineRule="auto"/>
              <w:ind w:left="-77" w:right="-42"/>
              <w:jc w:val="center"/>
              <w:rPr>
                <w:rFonts w:eastAsia="Times New Roman" w:cs="Calibri"/>
                <w:b/>
                <w:bCs/>
                <w:i/>
                <w:iCs/>
                <w:sz w:val="20"/>
                <w:szCs w:val="20"/>
                <w:lang w:val="en-US"/>
              </w:rPr>
            </w:pPr>
            <w:r w:rsidRPr="00170E4B">
              <w:rPr>
                <w:rFonts w:eastAsia="Times New Roman" w:cs="Calibri"/>
                <w:b/>
                <w:bCs/>
                <w:i/>
                <w:iCs/>
                <w:sz w:val="20"/>
                <w:szCs w:val="20"/>
                <w:lang w:val="en-US"/>
              </w:rPr>
              <w:t>3,512.0</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467E7010" w14:textId="77777777" w:rsidR="00170E4B" w:rsidRPr="00170E4B" w:rsidRDefault="00170E4B" w:rsidP="00170E4B">
            <w:pPr>
              <w:spacing w:after="0" w:line="240" w:lineRule="auto"/>
              <w:ind w:left="-77" w:right="-42"/>
              <w:jc w:val="right"/>
              <w:rPr>
                <w:rFonts w:eastAsia="Times New Roman" w:cs="Calibri"/>
                <w:b/>
                <w:bCs/>
                <w:i/>
                <w:iCs/>
                <w:sz w:val="20"/>
                <w:szCs w:val="20"/>
                <w:lang w:val="en-US"/>
              </w:rPr>
            </w:pPr>
            <w:r w:rsidRPr="00170E4B">
              <w:rPr>
                <w:rFonts w:eastAsia="Times New Roman" w:cs="Calibri"/>
                <w:b/>
                <w:bCs/>
                <w:i/>
                <w:iCs/>
                <w:sz w:val="20"/>
                <w:szCs w:val="20"/>
                <w:lang w:val="en-US"/>
              </w:rPr>
              <w:t>7,854.6</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7B9DE5FC"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en-US"/>
              </w:rPr>
              <w:t>3,830.1</w:t>
            </w:r>
          </w:p>
        </w:tc>
        <w:tc>
          <w:tcPr>
            <w:tcW w:w="719" w:type="dxa"/>
            <w:tcBorders>
              <w:top w:val="single" w:sz="4" w:space="0" w:color="auto"/>
              <w:left w:val="nil"/>
              <w:bottom w:val="single" w:sz="4" w:space="0" w:color="auto"/>
              <w:right w:val="single" w:sz="4" w:space="0" w:color="auto"/>
            </w:tcBorders>
            <w:vAlign w:val="center"/>
          </w:tcPr>
          <w:p w14:paraId="738CDC05" w14:textId="77777777" w:rsidR="00170E4B" w:rsidRPr="00170E4B" w:rsidRDefault="00170E4B" w:rsidP="00170E4B">
            <w:pPr>
              <w:spacing w:after="0" w:line="240" w:lineRule="auto"/>
              <w:ind w:left="-71" w:right="-32"/>
              <w:jc w:val="center"/>
              <w:rPr>
                <w:rFonts w:eastAsia="Times New Roman" w:cs="Calibri"/>
                <w:b/>
                <w:bCs/>
                <w:i/>
                <w:iCs/>
                <w:sz w:val="20"/>
                <w:szCs w:val="20"/>
                <w:lang w:val="en-US"/>
              </w:rPr>
            </w:pPr>
            <w:r w:rsidRPr="00170E4B">
              <w:rPr>
                <w:rFonts w:eastAsia="Times New Roman" w:cs="Calibri"/>
                <w:b/>
                <w:bCs/>
                <w:i/>
                <w:iCs/>
                <w:sz w:val="20"/>
                <w:szCs w:val="20"/>
                <w:lang w:val="en-US"/>
              </w:rPr>
              <w:t>109.1</w:t>
            </w:r>
          </w:p>
        </w:tc>
      </w:tr>
      <w:tr w:rsidR="00170E4B" w:rsidRPr="00170E4B" w14:paraId="05BD27E1" w14:textId="77777777" w:rsidTr="002F56CA">
        <w:trPr>
          <w:trHeight w:val="420"/>
        </w:trPr>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0D7A6" w14:textId="77777777" w:rsidR="00170E4B" w:rsidRPr="00170E4B" w:rsidRDefault="00170E4B" w:rsidP="00170E4B">
            <w:pPr>
              <w:spacing w:after="0" w:line="240" w:lineRule="auto"/>
              <w:ind w:firstLineChars="200" w:firstLine="400"/>
              <w:jc w:val="left"/>
              <w:rPr>
                <w:rFonts w:eastAsia="Times New Roman" w:cs="Calibri"/>
                <w:sz w:val="20"/>
                <w:szCs w:val="20"/>
                <w:lang w:val="en-US"/>
              </w:rPr>
            </w:pPr>
            <w:r w:rsidRPr="00170E4B">
              <w:rPr>
                <w:rFonts w:eastAsia="Times New Roman" w:cs="Calibri"/>
                <w:sz w:val="20"/>
                <w:szCs w:val="20"/>
                <w:lang w:val="en-US"/>
              </w:rPr>
              <w:t>այդ թվում`</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1F4DEA47" w14:textId="77777777" w:rsidR="00170E4B" w:rsidRPr="00170E4B" w:rsidRDefault="00170E4B" w:rsidP="00170E4B">
            <w:pPr>
              <w:spacing w:after="0" w:line="240" w:lineRule="auto"/>
              <w:jc w:val="center"/>
              <w:rPr>
                <w:rFonts w:eastAsia="Times New Roman" w:cs="Calibri"/>
                <w:sz w:val="20"/>
                <w:szCs w:val="20"/>
                <w:lang w:val="en-US"/>
              </w:rPr>
            </w:pPr>
          </w:p>
        </w:tc>
        <w:tc>
          <w:tcPr>
            <w:tcW w:w="1159" w:type="dxa"/>
            <w:tcBorders>
              <w:top w:val="single" w:sz="4" w:space="0" w:color="auto"/>
              <w:left w:val="nil"/>
              <w:bottom w:val="single" w:sz="4" w:space="0" w:color="auto"/>
              <w:right w:val="single" w:sz="4" w:space="0" w:color="auto"/>
            </w:tcBorders>
            <w:shd w:val="clear" w:color="auto" w:fill="auto"/>
            <w:vAlign w:val="center"/>
            <w:hideMark/>
          </w:tcPr>
          <w:p w14:paraId="0B2159A6" w14:textId="77777777" w:rsidR="00170E4B" w:rsidRPr="00170E4B" w:rsidRDefault="00170E4B" w:rsidP="00170E4B">
            <w:pPr>
              <w:spacing w:after="0" w:line="240" w:lineRule="auto"/>
              <w:jc w:val="center"/>
              <w:rPr>
                <w:rFonts w:eastAsia="Times New Roman" w:cs="Calibri"/>
                <w:sz w:val="20"/>
                <w:szCs w:val="20"/>
                <w:lang w:val="en-US"/>
              </w:rPr>
            </w:pP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1978DD18" w14:textId="77777777" w:rsidR="00170E4B" w:rsidRPr="00170E4B" w:rsidRDefault="00170E4B" w:rsidP="00170E4B">
            <w:pPr>
              <w:spacing w:after="0" w:line="240" w:lineRule="auto"/>
              <w:ind w:left="-59" w:right="-63"/>
              <w:jc w:val="center"/>
              <w:rPr>
                <w:rFonts w:eastAsia="Times New Roman" w:cs="Calibri"/>
                <w:sz w:val="20"/>
                <w:szCs w:val="20"/>
                <w:lang w:val="en-US"/>
              </w:rPr>
            </w:pPr>
          </w:p>
        </w:tc>
        <w:tc>
          <w:tcPr>
            <w:tcW w:w="1505" w:type="dxa"/>
            <w:tcBorders>
              <w:top w:val="single" w:sz="4" w:space="0" w:color="auto"/>
              <w:left w:val="nil"/>
              <w:bottom w:val="single" w:sz="4" w:space="0" w:color="auto"/>
              <w:right w:val="single" w:sz="4" w:space="0" w:color="auto"/>
            </w:tcBorders>
            <w:shd w:val="clear" w:color="auto" w:fill="auto"/>
            <w:vAlign w:val="center"/>
            <w:hideMark/>
          </w:tcPr>
          <w:p w14:paraId="4CC6A681" w14:textId="77777777" w:rsidR="00170E4B" w:rsidRPr="00170E4B" w:rsidRDefault="00170E4B" w:rsidP="00170E4B">
            <w:pPr>
              <w:spacing w:after="0" w:line="240" w:lineRule="auto"/>
              <w:jc w:val="center"/>
              <w:rPr>
                <w:rFonts w:eastAsia="Times New Roman" w:cs="Calibri"/>
                <w:sz w:val="20"/>
                <w:szCs w:val="20"/>
                <w:lang w:val="en-US"/>
              </w:rPr>
            </w:pPr>
          </w:p>
        </w:tc>
        <w:tc>
          <w:tcPr>
            <w:tcW w:w="719" w:type="dxa"/>
            <w:tcBorders>
              <w:top w:val="single" w:sz="4" w:space="0" w:color="auto"/>
              <w:left w:val="nil"/>
              <w:bottom w:val="single" w:sz="4" w:space="0" w:color="auto"/>
              <w:right w:val="single" w:sz="4" w:space="0" w:color="auto"/>
            </w:tcBorders>
            <w:vAlign w:val="center"/>
          </w:tcPr>
          <w:p w14:paraId="7BEE72F5" w14:textId="77777777" w:rsidR="00170E4B" w:rsidRPr="00170E4B" w:rsidRDefault="00170E4B" w:rsidP="00170E4B">
            <w:pPr>
              <w:spacing w:after="0" w:line="240" w:lineRule="auto"/>
              <w:jc w:val="center"/>
              <w:rPr>
                <w:rFonts w:eastAsia="Times New Roman" w:cs="Calibri"/>
                <w:sz w:val="20"/>
                <w:szCs w:val="20"/>
                <w:lang w:val="en-US"/>
              </w:rPr>
            </w:pPr>
          </w:p>
        </w:tc>
      </w:tr>
      <w:tr w:rsidR="00170E4B" w:rsidRPr="00170E4B" w14:paraId="5FA93FC7" w14:textId="77777777" w:rsidTr="002F56CA">
        <w:trPr>
          <w:trHeight w:val="27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44AF946A" w14:textId="77777777" w:rsidR="00170E4B" w:rsidRPr="00170E4B" w:rsidRDefault="00170E4B" w:rsidP="00170E4B">
            <w:pPr>
              <w:spacing w:after="0" w:line="240" w:lineRule="auto"/>
              <w:ind w:firstLineChars="255" w:firstLine="510"/>
              <w:jc w:val="left"/>
              <w:rPr>
                <w:rFonts w:eastAsia="Times New Roman" w:cs="Calibri"/>
                <w:sz w:val="20"/>
                <w:szCs w:val="20"/>
                <w:lang w:val="en-US"/>
              </w:rPr>
            </w:pPr>
            <w:r w:rsidRPr="00170E4B">
              <w:rPr>
                <w:rFonts w:eastAsia="Times New Roman" w:cs="Calibri"/>
                <w:sz w:val="20"/>
                <w:szCs w:val="20"/>
                <w:lang w:val="en-US"/>
              </w:rPr>
              <w:t>ՀՀ արտաքին պետական պարտք</w:t>
            </w:r>
          </w:p>
        </w:tc>
        <w:tc>
          <w:tcPr>
            <w:tcW w:w="1073" w:type="dxa"/>
            <w:tcBorders>
              <w:top w:val="nil"/>
              <w:left w:val="nil"/>
              <w:bottom w:val="single" w:sz="4" w:space="0" w:color="auto"/>
              <w:right w:val="single" w:sz="4" w:space="0" w:color="auto"/>
            </w:tcBorders>
            <w:shd w:val="clear" w:color="auto" w:fill="auto"/>
            <w:vAlign w:val="center"/>
            <w:hideMark/>
          </w:tcPr>
          <w:p w14:paraId="1EDD90C2"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5,784.5</w:t>
            </w:r>
          </w:p>
        </w:tc>
        <w:tc>
          <w:tcPr>
            <w:tcW w:w="1159" w:type="dxa"/>
            <w:tcBorders>
              <w:top w:val="nil"/>
              <w:left w:val="nil"/>
              <w:bottom w:val="single" w:sz="4" w:space="0" w:color="auto"/>
              <w:right w:val="single" w:sz="4" w:space="0" w:color="auto"/>
            </w:tcBorders>
            <w:shd w:val="clear" w:color="auto" w:fill="auto"/>
            <w:vAlign w:val="center"/>
            <w:hideMark/>
          </w:tcPr>
          <w:p w14:paraId="35072BAF"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2,774.8</w:t>
            </w:r>
          </w:p>
        </w:tc>
        <w:tc>
          <w:tcPr>
            <w:tcW w:w="1489" w:type="dxa"/>
            <w:tcBorders>
              <w:top w:val="nil"/>
              <w:left w:val="nil"/>
              <w:bottom w:val="single" w:sz="4" w:space="0" w:color="auto"/>
              <w:right w:val="single" w:sz="4" w:space="0" w:color="auto"/>
            </w:tcBorders>
            <w:shd w:val="clear" w:color="auto" w:fill="auto"/>
            <w:vAlign w:val="center"/>
            <w:hideMark/>
          </w:tcPr>
          <w:p w14:paraId="6F239DCE" w14:textId="77777777" w:rsidR="00170E4B" w:rsidRPr="00170E4B" w:rsidRDefault="00170E4B" w:rsidP="00170E4B">
            <w:pPr>
              <w:spacing w:after="120"/>
              <w:ind w:firstLine="567"/>
              <w:jc w:val="center"/>
              <w:rPr>
                <w:rFonts w:eastAsia="Times New Roman" w:cs="Times New Roman"/>
                <w:sz w:val="20"/>
                <w:szCs w:val="20"/>
                <w:lang w:val="en-US"/>
              </w:rPr>
            </w:pPr>
            <w:r w:rsidRPr="00170E4B">
              <w:rPr>
                <w:rFonts w:eastAsia="Times New Roman" w:cs="Times New Roman"/>
                <w:sz w:val="20"/>
                <w:szCs w:val="20"/>
              </w:rPr>
              <w:t>5,976.8</w:t>
            </w:r>
          </w:p>
        </w:tc>
        <w:tc>
          <w:tcPr>
            <w:tcW w:w="1505" w:type="dxa"/>
            <w:tcBorders>
              <w:top w:val="nil"/>
              <w:left w:val="nil"/>
              <w:bottom w:val="single" w:sz="4" w:space="0" w:color="auto"/>
              <w:right w:val="single" w:sz="4" w:space="0" w:color="auto"/>
            </w:tcBorders>
            <w:shd w:val="clear" w:color="auto" w:fill="auto"/>
            <w:vAlign w:val="center"/>
            <w:hideMark/>
          </w:tcPr>
          <w:p w14:paraId="4469E1BF"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2,914.4</w:t>
            </w:r>
          </w:p>
        </w:tc>
        <w:tc>
          <w:tcPr>
            <w:tcW w:w="719" w:type="dxa"/>
            <w:tcBorders>
              <w:top w:val="nil"/>
              <w:left w:val="nil"/>
              <w:bottom w:val="single" w:sz="4" w:space="0" w:color="auto"/>
              <w:right w:val="single" w:sz="4" w:space="0" w:color="auto"/>
            </w:tcBorders>
            <w:vAlign w:val="center"/>
          </w:tcPr>
          <w:p w14:paraId="2D06243F" w14:textId="77777777" w:rsidR="00170E4B" w:rsidRPr="00170E4B" w:rsidRDefault="00170E4B" w:rsidP="00170E4B">
            <w:pPr>
              <w:spacing w:after="0" w:line="240" w:lineRule="auto"/>
              <w:jc w:val="center"/>
              <w:rPr>
                <w:rFonts w:eastAsia="Times New Roman" w:cs="Calibri"/>
                <w:sz w:val="20"/>
                <w:szCs w:val="20"/>
              </w:rPr>
            </w:pPr>
            <w:r w:rsidRPr="00170E4B">
              <w:rPr>
                <w:rFonts w:eastAsia="Times New Roman" w:cs="Calibri"/>
                <w:sz w:val="20"/>
                <w:szCs w:val="20"/>
                <w:lang w:val="en-US"/>
              </w:rPr>
              <w:t>105.</w:t>
            </w:r>
            <w:r w:rsidRPr="00170E4B">
              <w:rPr>
                <w:rFonts w:eastAsia="Times New Roman" w:cs="Calibri"/>
                <w:sz w:val="20"/>
                <w:szCs w:val="20"/>
              </w:rPr>
              <w:t>0</w:t>
            </w:r>
          </w:p>
        </w:tc>
      </w:tr>
      <w:tr w:rsidR="00170E4B" w:rsidRPr="00170E4B" w14:paraId="62533334" w14:textId="77777777" w:rsidTr="002F56CA">
        <w:trPr>
          <w:trHeight w:val="27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7B00ACA7" w14:textId="77777777" w:rsidR="00170E4B" w:rsidRPr="00170E4B" w:rsidRDefault="00170E4B" w:rsidP="00170E4B">
            <w:pPr>
              <w:spacing w:after="0" w:line="240" w:lineRule="auto"/>
              <w:ind w:firstLineChars="255" w:firstLine="510"/>
              <w:jc w:val="left"/>
              <w:rPr>
                <w:rFonts w:eastAsia="Times New Roman" w:cs="Calibri"/>
                <w:sz w:val="20"/>
                <w:szCs w:val="20"/>
                <w:lang w:val="en-US"/>
              </w:rPr>
            </w:pPr>
            <w:r w:rsidRPr="00170E4B">
              <w:rPr>
                <w:rFonts w:eastAsia="Times New Roman" w:cs="Calibri"/>
                <w:sz w:val="20"/>
                <w:szCs w:val="20"/>
                <w:lang w:val="en-US"/>
              </w:rPr>
              <w:t>ՀՀ ներքին պետական պարտք</w:t>
            </w:r>
          </w:p>
        </w:tc>
        <w:tc>
          <w:tcPr>
            <w:tcW w:w="1073" w:type="dxa"/>
            <w:tcBorders>
              <w:top w:val="nil"/>
              <w:left w:val="nil"/>
              <w:bottom w:val="single" w:sz="4" w:space="0" w:color="auto"/>
              <w:right w:val="single" w:sz="4" w:space="0" w:color="auto"/>
            </w:tcBorders>
            <w:shd w:val="clear" w:color="auto" w:fill="auto"/>
            <w:vAlign w:val="center"/>
            <w:hideMark/>
          </w:tcPr>
          <w:p w14:paraId="63EC6A11"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1,536.7</w:t>
            </w:r>
          </w:p>
        </w:tc>
        <w:tc>
          <w:tcPr>
            <w:tcW w:w="1159" w:type="dxa"/>
            <w:tcBorders>
              <w:top w:val="nil"/>
              <w:left w:val="nil"/>
              <w:bottom w:val="single" w:sz="4" w:space="0" w:color="auto"/>
              <w:right w:val="single" w:sz="4" w:space="0" w:color="auto"/>
            </w:tcBorders>
            <w:shd w:val="clear" w:color="auto" w:fill="auto"/>
            <w:vAlign w:val="center"/>
            <w:hideMark/>
          </w:tcPr>
          <w:p w14:paraId="7FAE017D"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737.2</w:t>
            </w:r>
          </w:p>
        </w:tc>
        <w:tc>
          <w:tcPr>
            <w:tcW w:w="1489" w:type="dxa"/>
            <w:tcBorders>
              <w:top w:val="nil"/>
              <w:left w:val="nil"/>
              <w:bottom w:val="single" w:sz="4" w:space="0" w:color="auto"/>
              <w:right w:val="single" w:sz="4" w:space="0" w:color="auto"/>
            </w:tcBorders>
            <w:shd w:val="clear" w:color="auto" w:fill="auto"/>
            <w:vAlign w:val="center"/>
            <w:hideMark/>
          </w:tcPr>
          <w:p w14:paraId="517C0727" w14:textId="77777777" w:rsidR="00170E4B" w:rsidRPr="00170E4B" w:rsidRDefault="00170E4B" w:rsidP="00170E4B">
            <w:pPr>
              <w:spacing w:after="120"/>
              <w:ind w:firstLine="567"/>
              <w:jc w:val="center"/>
              <w:rPr>
                <w:rFonts w:eastAsia="Times New Roman" w:cs="Times New Roman"/>
                <w:sz w:val="20"/>
                <w:szCs w:val="20"/>
                <w:lang w:val="en-US"/>
              </w:rPr>
            </w:pPr>
            <w:r w:rsidRPr="00170E4B">
              <w:rPr>
                <w:rFonts w:eastAsia="Times New Roman" w:cs="Times New Roman"/>
                <w:sz w:val="20"/>
                <w:szCs w:val="20"/>
              </w:rPr>
              <w:t>1,877.8</w:t>
            </w:r>
          </w:p>
        </w:tc>
        <w:tc>
          <w:tcPr>
            <w:tcW w:w="1505" w:type="dxa"/>
            <w:tcBorders>
              <w:top w:val="nil"/>
              <w:left w:val="nil"/>
              <w:bottom w:val="single" w:sz="4" w:space="0" w:color="auto"/>
              <w:right w:val="single" w:sz="4" w:space="0" w:color="auto"/>
            </w:tcBorders>
            <w:shd w:val="clear" w:color="auto" w:fill="auto"/>
            <w:vAlign w:val="center"/>
            <w:hideMark/>
          </w:tcPr>
          <w:p w14:paraId="1E2B4EFE"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915.7</w:t>
            </w:r>
          </w:p>
        </w:tc>
        <w:tc>
          <w:tcPr>
            <w:tcW w:w="719" w:type="dxa"/>
            <w:tcBorders>
              <w:top w:val="nil"/>
              <w:left w:val="nil"/>
              <w:bottom w:val="single" w:sz="4" w:space="0" w:color="auto"/>
              <w:right w:val="single" w:sz="4" w:space="0" w:color="auto"/>
            </w:tcBorders>
            <w:vAlign w:val="center"/>
          </w:tcPr>
          <w:p w14:paraId="7E82285B"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124.2</w:t>
            </w:r>
          </w:p>
        </w:tc>
      </w:tr>
      <w:tr w:rsidR="00170E4B" w:rsidRPr="00170E4B" w14:paraId="67F1BEF1" w14:textId="77777777" w:rsidTr="002F56CA">
        <w:trPr>
          <w:trHeight w:val="375"/>
        </w:trPr>
        <w:tc>
          <w:tcPr>
            <w:tcW w:w="4657" w:type="dxa"/>
            <w:tcBorders>
              <w:top w:val="nil"/>
              <w:left w:val="nil"/>
              <w:bottom w:val="nil"/>
              <w:right w:val="nil"/>
            </w:tcBorders>
            <w:shd w:val="clear" w:color="auto" w:fill="auto"/>
            <w:noWrap/>
            <w:vAlign w:val="center"/>
            <w:hideMark/>
          </w:tcPr>
          <w:p w14:paraId="2CE02D61" w14:textId="77777777" w:rsidR="00170E4B" w:rsidRPr="00170E4B" w:rsidRDefault="00170E4B" w:rsidP="00170E4B">
            <w:pPr>
              <w:spacing w:after="0" w:line="240" w:lineRule="auto"/>
              <w:jc w:val="left"/>
              <w:rPr>
                <w:rFonts w:eastAsia="Times New Roman" w:cs="Calibri"/>
                <w:sz w:val="20"/>
                <w:szCs w:val="20"/>
                <w:lang w:val="en-US"/>
              </w:rPr>
            </w:pPr>
          </w:p>
          <w:p w14:paraId="2F39B3C3" w14:textId="77777777" w:rsidR="00170E4B" w:rsidRPr="00170E4B" w:rsidRDefault="00170E4B" w:rsidP="00170E4B">
            <w:pPr>
              <w:spacing w:after="0" w:line="240" w:lineRule="auto"/>
              <w:jc w:val="left"/>
              <w:rPr>
                <w:rFonts w:eastAsia="Times New Roman" w:cs="Calibri"/>
                <w:sz w:val="20"/>
                <w:szCs w:val="20"/>
                <w:lang w:val="en-US"/>
              </w:rPr>
            </w:pPr>
          </w:p>
        </w:tc>
        <w:tc>
          <w:tcPr>
            <w:tcW w:w="1073" w:type="dxa"/>
            <w:tcBorders>
              <w:top w:val="nil"/>
              <w:left w:val="nil"/>
              <w:bottom w:val="nil"/>
              <w:right w:val="nil"/>
            </w:tcBorders>
            <w:shd w:val="clear" w:color="auto" w:fill="auto"/>
            <w:noWrap/>
            <w:vAlign w:val="center"/>
            <w:hideMark/>
          </w:tcPr>
          <w:p w14:paraId="53B20B4B" w14:textId="77777777" w:rsidR="00170E4B" w:rsidRPr="00170E4B" w:rsidRDefault="00170E4B" w:rsidP="00170E4B">
            <w:pPr>
              <w:spacing w:after="0" w:line="240" w:lineRule="auto"/>
              <w:jc w:val="center"/>
              <w:rPr>
                <w:rFonts w:eastAsia="Times New Roman" w:cs="Times New Roman"/>
                <w:sz w:val="20"/>
                <w:szCs w:val="20"/>
                <w:lang w:val="en-US"/>
              </w:rPr>
            </w:pPr>
          </w:p>
        </w:tc>
        <w:tc>
          <w:tcPr>
            <w:tcW w:w="1159" w:type="dxa"/>
            <w:tcBorders>
              <w:top w:val="nil"/>
              <w:left w:val="nil"/>
              <w:bottom w:val="nil"/>
              <w:right w:val="nil"/>
            </w:tcBorders>
            <w:shd w:val="clear" w:color="auto" w:fill="auto"/>
            <w:noWrap/>
            <w:vAlign w:val="center"/>
            <w:hideMark/>
          </w:tcPr>
          <w:p w14:paraId="706812B6" w14:textId="77777777" w:rsidR="00170E4B" w:rsidRPr="00170E4B" w:rsidRDefault="00170E4B" w:rsidP="00170E4B">
            <w:pPr>
              <w:spacing w:after="0" w:line="240" w:lineRule="auto"/>
              <w:jc w:val="center"/>
              <w:rPr>
                <w:rFonts w:eastAsia="Times New Roman" w:cs="Times New Roman"/>
                <w:sz w:val="20"/>
                <w:szCs w:val="20"/>
                <w:lang w:val="en-US"/>
              </w:rPr>
            </w:pPr>
          </w:p>
        </w:tc>
        <w:tc>
          <w:tcPr>
            <w:tcW w:w="1489" w:type="dxa"/>
            <w:tcBorders>
              <w:top w:val="nil"/>
              <w:left w:val="nil"/>
              <w:bottom w:val="nil"/>
              <w:right w:val="nil"/>
            </w:tcBorders>
            <w:shd w:val="clear" w:color="auto" w:fill="auto"/>
            <w:noWrap/>
            <w:vAlign w:val="center"/>
            <w:hideMark/>
          </w:tcPr>
          <w:p w14:paraId="63A2C17B" w14:textId="77777777" w:rsidR="00170E4B" w:rsidRPr="00170E4B" w:rsidRDefault="00170E4B" w:rsidP="00170E4B">
            <w:pPr>
              <w:spacing w:after="0" w:line="240" w:lineRule="auto"/>
              <w:ind w:left="-59" w:right="-63"/>
              <w:jc w:val="center"/>
              <w:rPr>
                <w:rFonts w:eastAsia="Times New Roman" w:cs="Times New Roman"/>
                <w:sz w:val="20"/>
                <w:szCs w:val="20"/>
                <w:lang w:val="en-US"/>
              </w:rPr>
            </w:pPr>
          </w:p>
        </w:tc>
        <w:tc>
          <w:tcPr>
            <w:tcW w:w="1505" w:type="dxa"/>
            <w:tcBorders>
              <w:top w:val="nil"/>
              <w:left w:val="nil"/>
              <w:bottom w:val="nil"/>
              <w:right w:val="nil"/>
            </w:tcBorders>
            <w:shd w:val="clear" w:color="auto" w:fill="auto"/>
            <w:noWrap/>
            <w:vAlign w:val="center"/>
            <w:hideMark/>
          </w:tcPr>
          <w:p w14:paraId="75E58524" w14:textId="77777777" w:rsidR="00170E4B" w:rsidRPr="00170E4B" w:rsidRDefault="00170E4B" w:rsidP="00170E4B">
            <w:pPr>
              <w:spacing w:after="0" w:line="240" w:lineRule="auto"/>
              <w:jc w:val="center"/>
              <w:rPr>
                <w:rFonts w:eastAsia="Times New Roman" w:cs="Times New Roman"/>
                <w:sz w:val="20"/>
                <w:szCs w:val="20"/>
                <w:lang w:val="en-US"/>
              </w:rPr>
            </w:pPr>
          </w:p>
        </w:tc>
        <w:tc>
          <w:tcPr>
            <w:tcW w:w="719" w:type="dxa"/>
            <w:tcBorders>
              <w:top w:val="nil"/>
              <w:left w:val="nil"/>
              <w:bottom w:val="nil"/>
              <w:right w:val="nil"/>
            </w:tcBorders>
            <w:vAlign w:val="center"/>
          </w:tcPr>
          <w:p w14:paraId="0131A0C8" w14:textId="77777777" w:rsidR="00170E4B" w:rsidRPr="00170E4B" w:rsidRDefault="00170E4B" w:rsidP="00170E4B">
            <w:pPr>
              <w:spacing w:after="0" w:line="240" w:lineRule="auto"/>
              <w:jc w:val="center"/>
              <w:rPr>
                <w:rFonts w:eastAsia="Times New Roman" w:cs="Times New Roman"/>
                <w:sz w:val="20"/>
                <w:szCs w:val="20"/>
                <w:lang w:val="en-US"/>
              </w:rPr>
            </w:pPr>
          </w:p>
        </w:tc>
      </w:tr>
      <w:tr w:rsidR="00170E4B" w:rsidRPr="00170E4B" w14:paraId="2C1B846A" w14:textId="77777777" w:rsidTr="002F56CA">
        <w:trPr>
          <w:trHeight w:val="441"/>
        </w:trPr>
        <w:tc>
          <w:tcPr>
            <w:tcW w:w="4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71CC9" w14:textId="77777777" w:rsidR="00170E4B" w:rsidRPr="00170E4B" w:rsidRDefault="00170E4B" w:rsidP="00D44C67">
            <w:pPr>
              <w:spacing w:after="0" w:line="240" w:lineRule="auto"/>
              <w:jc w:val="left"/>
              <w:rPr>
                <w:rFonts w:eastAsia="Times New Roman" w:cs="Calibri"/>
                <w:b/>
                <w:bCs/>
                <w:sz w:val="20"/>
                <w:szCs w:val="20"/>
                <w:lang w:val="en-US"/>
              </w:rPr>
            </w:pPr>
            <w:r w:rsidRPr="00170E4B">
              <w:rPr>
                <w:rFonts w:eastAsia="Times New Roman" w:cs="Calibri"/>
                <w:b/>
                <w:bCs/>
                <w:sz w:val="20"/>
                <w:szCs w:val="20"/>
                <w:lang w:val="en-US"/>
              </w:rPr>
              <w:t>ՀՀ պետական պարտք</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14:paraId="1D582C47" w14:textId="77777777" w:rsidR="00170E4B" w:rsidRPr="00170E4B" w:rsidRDefault="00170E4B" w:rsidP="00170E4B">
            <w:pPr>
              <w:spacing w:after="0" w:line="240" w:lineRule="auto"/>
              <w:jc w:val="center"/>
              <w:rPr>
                <w:rFonts w:eastAsia="Times New Roman" w:cs="Calibri"/>
                <w:b/>
                <w:bCs/>
                <w:i/>
                <w:iCs/>
                <w:sz w:val="20"/>
                <w:szCs w:val="20"/>
                <w:lang w:val="en-US"/>
              </w:rPr>
            </w:pPr>
            <w:r w:rsidRPr="00170E4B">
              <w:rPr>
                <w:rFonts w:eastAsia="Times New Roman" w:cs="Calibri"/>
                <w:b/>
                <w:bCs/>
                <w:i/>
                <w:iCs/>
                <w:sz w:val="20"/>
                <w:szCs w:val="20"/>
                <w:lang w:val="en-US"/>
              </w:rPr>
              <w:t>7,321.3</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AA770CA" w14:textId="77777777" w:rsidR="00170E4B" w:rsidRPr="00170E4B" w:rsidRDefault="00170E4B" w:rsidP="00170E4B">
            <w:pPr>
              <w:spacing w:after="0" w:line="240" w:lineRule="auto"/>
              <w:jc w:val="center"/>
              <w:rPr>
                <w:rFonts w:eastAsia="Times New Roman" w:cs="Calibri"/>
                <w:b/>
                <w:bCs/>
                <w:i/>
                <w:iCs/>
                <w:sz w:val="20"/>
                <w:szCs w:val="20"/>
                <w:lang w:val="en-US"/>
              </w:rPr>
            </w:pPr>
            <w:r w:rsidRPr="00170E4B">
              <w:rPr>
                <w:rFonts w:eastAsia="Times New Roman" w:cs="Calibri"/>
                <w:b/>
                <w:bCs/>
                <w:i/>
                <w:iCs/>
                <w:sz w:val="20"/>
                <w:szCs w:val="20"/>
                <w:lang w:val="en-US"/>
              </w:rPr>
              <w:t>3,512.0</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649EDCC8" w14:textId="0E905287" w:rsidR="00170E4B" w:rsidRPr="00170E4B" w:rsidRDefault="00170E4B" w:rsidP="00170E4B">
            <w:pPr>
              <w:spacing w:after="0" w:line="240" w:lineRule="auto"/>
              <w:ind w:left="-59" w:right="-63"/>
              <w:jc w:val="center"/>
              <w:rPr>
                <w:rFonts w:eastAsia="Times New Roman" w:cs="Calibri"/>
                <w:b/>
                <w:bCs/>
                <w:i/>
                <w:iCs/>
                <w:sz w:val="20"/>
                <w:szCs w:val="20"/>
              </w:rPr>
            </w:pPr>
            <w:r w:rsidRPr="00170E4B">
              <w:rPr>
                <w:rFonts w:eastAsia="Times New Roman" w:cs="Calibri"/>
                <w:b/>
                <w:bCs/>
                <w:i/>
                <w:iCs/>
                <w:sz w:val="20"/>
                <w:szCs w:val="20"/>
                <w:lang w:val="en-US"/>
              </w:rPr>
              <w:t>7,</w:t>
            </w:r>
            <w:r w:rsidRPr="00170E4B">
              <w:rPr>
                <w:rFonts w:eastAsia="Times New Roman" w:cs="Calibri"/>
                <w:b/>
                <w:bCs/>
                <w:i/>
                <w:iCs/>
                <w:sz w:val="20"/>
                <w:szCs w:val="20"/>
              </w:rPr>
              <w:t>854.6</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3D88D7F9" w14:textId="77777777" w:rsidR="00170E4B" w:rsidRPr="00170E4B" w:rsidRDefault="00170E4B" w:rsidP="00170E4B">
            <w:pPr>
              <w:spacing w:after="0" w:line="240" w:lineRule="auto"/>
              <w:jc w:val="center"/>
              <w:rPr>
                <w:rFonts w:eastAsia="Times New Roman" w:cs="Calibri"/>
                <w:b/>
                <w:bCs/>
                <w:i/>
                <w:iCs/>
                <w:sz w:val="20"/>
                <w:szCs w:val="20"/>
                <w:lang w:val="en-US"/>
              </w:rPr>
            </w:pPr>
            <w:r w:rsidRPr="00170E4B">
              <w:rPr>
                <w:rFonts w:eastAsia="Times New Roman" w:cs="Calibri"/>
                <w:b/>
                <w:bCs/>
                <w:i/>
                <w:iCs/>
                <w:sz w:val="20"/>
                <w:szCs w:val="20"/>
                <w:lang w:val="en-US"/>
              </w:rPr>
              <w:t>3,830.1</w:t>
            </w:r>
          </w:p>
        </w:tc>
        <w:tc>
          <w:tcPr>
            <w:tcW w:w="719" w:type="dxa"/>
            <w:tcBorders>
              <w:top w:val="single" w:sz="4" w:space="0" w:color="auto"/>
              <w:left w:val="nil"/>
              <w:bottom w:val="single" w:sz="4" w:space="0" w:color="auto"/>
              <w:right w:val="single" w:sz="4" w:space="0" w:color="auto"/>
            </w:tcBorders>
            <w:vAlign w:val="center"/>
          </w:tcPr>
          <w:p w14:paraId="45D233D6" w14:textId="77777777" w:rsidR="00170E4B" w:rsidRPr="00170E4B" w:rsidRDefault="00170E4B" w:rsidP="00170E4B">
            <w:pPr>
              <w:spacing w:after="0" w:line="240" w:lineRule="auto"/>
              <w:jc w:val="center"/>
              <w:rPr>
                <w:rFonts w:eastAsia="Times New Roman" w:cs="Calibri"/>
                <w:b/>
                <w:bCs/>
                <w:i/>
                <w:iCs/>
                <w:sz w:val="20"/>
                <w:szCs w:val="20"/>
                <w:lang w:val="en-US"/>
              </w:rPr>
            </w:pPr>
            <w:r w:rsidRPr="00170E4B">
              <w:rPr>
                <w:rFonts w:eastAsia="Times New Roman" w:cs="Calibri"/>
                <w:b/>
                <w:bCs/>
                <w:i/>
                <w:iCs/>
                <w:sz w:val="20"/>
                <w:szCs w:val="20"/>
                <w:lang w:val="en-US"/>
              </w:rPr>
              <w:t>109.1</w:t>
            </w:r>
          </w:p>
        </w:tc>
      </w:tr>
      <w:tr w:rsidR="00170E4B" w:rsidRPr="00170E4B" w14:paraId="609F5253" w14:textId="77777777" w:rsidTr="00261E0D">
        <w:trPr>
          <w:trHeight w:val="390"/>
        </w:trPr>
        <w:tc>
          <w:tcPr>
            <w:tcW w:w="4657" w:type="dxa"/>
            <w:tcBorders>
              <w:top w:val="nil"/>
              <w:left w:val="single" w:sz="4" w:space="0" w:color="auto"/>
              <w:bottom w:val="single" w:sz="4" w:space="0" w:color="auto"/>
              <w:right w:val="single" w:sz="4" w:space="0" w:color="auto"/>
            </w:tcBorders>
            <w:shd w:val="clear" w:color="auto" w:fill="auto"/>
            <w:noWrap/>
            <w:vAlign w:val="center"/>
            <w:hideMark/>
          </w:tcPr>
          <w:p w14:paraId="36B3B106" w14:textId="77777777" w:rsidR="00170E4B" w:rsidRPr="00170E4B" w:rsidRDefault="00170E4B" w:rsidP="00170E4B">
            <w:pPr>
              <w:spacing w:after="0" w:line="240" w:lineRule="auto"/>
              <w:ind w:firstLineChars="200" w:firstLine="400"/>
              <w:jc w:val="left"/>
              <w:rPr>
                <w:rFonts w:eastAsia="Times New Roman" w:cs="Calibri"/>
                <w:sz w:val="20"/>
                <w:szCs w:val="20"/>
                <w:lang w:val="en-US"/>
              </w:rPr>
            </w:pPr>
            <w:r w:rsidRPr="00170E4B">
              <w:rPr>
                <w:rFonts w:eastAsia="Times New Roman" w:cs="Calibri"/>
                <w:sz w:val="20"/>
                <w:szCs w:val="20"/>
              </w:rPr>
              <w:t>ո</w:t>
            </w:r>
            <w:r w:rsidRPr="00170E4B">
              <w:rPr>
                <w:rFonts w:eastAsia="Times New Roman" w:cs="Calibri"/>
                <w:sz w:val="20"/>
                <w:szCs w:val="20"/>
                <w:lang w:val="en-US"/>
              </w:rPr>
              <w:t>րից`</w:t>
            </w:r>
          </w:p>
        </w:tc>
        <w:tc>
          <w:tcPr>
            <w:tcW w:w="1073" w:type="dxa"/>
            <w:tcBorders>
              <w:top w:val="nil"/>
              <w:left w:val="nil"/>
              <w:bottom w:val="single" w:sz="4" w:space="0" w:color="auto"/>
              <w:right w:val="single" w:sz="4" w:space="0" w:color="auto"/>
            </w:tcBorders>
            <w:shd w:val="clear" w:color="auto" w:fill="auto"/>
            <w:vAlign w:val="center"/>
            <w:hideMark/>
          </w:tcPr>
          <w:p w14:paraId="269AF6D8" w14:textId="77777777" w:rsidR="00170E4B" w:rsidRPr="00170E4B" w:rsidRDefault="00170E4B" w:rsidP="00170E4B">
            <w:pPr>
              <w:spacing w:after="0" w:line="240" w:lineRule="auto"/>
              <w:jc w:val="center"/>
              <w:rPr>
                <w:rFonts w:eastAsia="Times New Roman" w:cs="Calibri"/>
                <w:sz w:val="20"/>
                <w:szCs w:val="20"/>
                <w:lang w:val="en-US"/>
              </w:rPr>
            </w:pPr>
          </w:p>
        </w:tc>
        <w:tc>
          <w:tcPr>
            <w:tcW w:w="1159" w:type="dxa"/>
            <w:tcBorders>
              <w:top w:val="nil"/>
              <w:left w:val="nil"/>
              <w:bottom w:val="single" w:sz="4" w:space="0" w:color="auto"/>
              <w:right w:val="single" w:sz="4" w:space="0" w:color="auto"/>
            </w:tcBorders>
            <w:shd w:val="clear" w:color="auto" w:fill="auto"/>
            <w:vAlign w:val="center"/>
            <w:hideMark/>
          </w:tcPr>
          <w:p w14:paraId="21FC70C5" w14:textId="77777777" w:rsidR="00170E4B" w:rsidRPr="00170E4B" w:rsidRDefault="00170E4B" w:rsidP="00170E4B">
            <w:pPr>
              <w:spacing w:after="0" w:line="240" w:lineRule="auto"/>
              <w:jc w:val="center"/>
              <w:rPr>
                <w:rFonts w:eastAsia="Times New Roman" w:cs="Calibri"/>
                <w:sz w:val="20"/>
                <w:szCs w:val="20"/>
                <w:lang w:val="en-US"/>
              </w:rPr>
            </w:pPr>
          </w:p>
        </w:tc>
        <w:tc>
          <w:tcPr>
            <w:tcW w:w="1489" w:type="dxa"/>
            <w:tcBorders>
              <w:top w:val="nil"/>
              <w:left w:val="nil"/>
              <w:bottom w:val="single" w:sz="4" w:space="0" w:color="auto"/>
              <w:right w:val="single" w:sz="4" w:space="0" w:color="auto"/>
            </w:tcBorders>
            <w:shd w:val="clear" w:color="auto" w:fill="auto"/>
            <w:vAlign w:val="center"/>
            <w:hideMark/>
          </w:tcPr>
          <w:p w14:paraId="6C7F0729" w14:textId="77777777" w:rsidR="00170E4B" w:rsidRPr="00170E4B" w:rsidRDefault="00170E4B" w:rsidP="00170E4B">
            <w:pPr>
              <w:spacing w:after="0" w:line="240" w:lineRule="auto"/>
              <w:jc w:val="center"/>
              <w:rPr>
                <w:rFonts w:eastAsia="Times New Roman" w:cs="Calibri"/>
                <w:sz w:val="20"/>
                <w:szCs w:val="20"/>
                <w:lang w:val="en-US"/>
              </w:rPr>
            </w:pPr>
          </w:p>
        </w:tc>
        <w:tc>
          <w:tcPr>
            <w:tcW w:w="1505" w:type="dxa"/>
            <w:tcBorders>
              <w:top w:val="nil"/>
              <w:left w:val="nil"/>
              <w:bottom w:val="single" w:sz="4" w:space="0" w:color="auto"/>
              <w:right w:val="single" w:sz="4" w:space="0" w:color="auto"/>
            </w:tcBorders>
            <w:shd w:val="clear" w:color="auto" w:fill="auto"/>
            <w:vAlign w:val="center"/>
            <w:hideMark/>
          </w:tcPr>
          <w:p w14:paraId="6042A8AD" w14:textId="77777777" w:rsidR="00170E4B" w:rsidRPr="00170E4B" w:rsidRDefault="00170E4B" w:rsidP="00170E4B">
            <w:pPr>
              <w:spacing w:after="0" w:line="240" w:lineRule="auto"/>
              <w:jc w:val="center"/>
              <w:rPr>
                <w:rFonts w:eastAsia="Times New Roman" w:cs="Calibri"/>
                <w:sz w:val="20"/>
                <w:szCs w:val="20"/>
                <w:lang w:val="en-US"/>
              </w:rPr>
            </w:pPr>
          </w:p>
        </w:tc>
        <w:tc>
          <w:tcPr>
            <w:tcW w:w="719" w:type="dxa"/>
            <w:tcBorders>
              <w:top w:val="nil"/>
              <w:left w:val="nil"/>
              <w:bottom w:val="single" w:sz="4" w:space="0" w:color="auto"/>
              <w:right w:val="single" w:sz="4" w:space="0" w:color="auto"/>
            </w:tcBorders>
            <w:vAlign w:val="center"/>
          </w:tcPr>
          <w:p w14:paraId="784DED8E" w14:textId="77777777" w:rsidR="00170E4B" w:rsidRPr="00170E4B" w:rsidRDefault="00170E4B" w:rsidP="00170E4B">
            <w:pPr>
              <w:spacing w:after="0" w:line="240" w:lineRule="auto"/>
              <w:jc w:val="center"/>
              <w:rPr>
                <w:rFonts w:eastAsia="Times New Roman" w:cs="Calibri"/>
                <w:sz w:val="20"/>
                <w:szCs w:val="20"/>
                <w:lang w:val="en-US"/>
              </w:rPr>
            </w:pPr>
          </w:p>
        </w:tc>
      </w:tr>
      <w:tr w:rsidR="00170E4B" w:rsidRPr="00170E4B" w14:paraId="14399621" w14:textId="77777777" w:rsidTr="002F56CA">
        <w:trPr>
          <w:trHeight w:val="270"/>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5B26302A" w14:textId="77777777" w:rsidR="00170E4B" w:rsidRPr="00170E4B" w:rsidRDefault="00170E4B" w:rsidP="00170E4B">
            <w:pPr>
              <w:spacing w:after="0" w:line="240" w:lineRule="auto"/>
              <w:ind w:firstLineChars="210" w:firstLine="420"/>
              <w:jc w:val="left"/>
              <w:rPr>
                <w:rFonts w:eastAsia="Times New Roman" w:cs="Calibri"/>
                <w:sz w:val="20"/>
                <w:szCs w:val="20"/>
                <w:lang w:val="en-US"/>
              </w:rPr>
            </w:pPr>
            <w:r w:rsidRPr="00170E4B">
              <w:rPr>
                <w:rFonts w:eastAsia="Times New Roman" w:cs="Calibri"/>
                <w:sz w:val="20"/>
                <w:szCs w:val="20"/>
                <w:lang w:val="en-US"/>
              </w:rPr>
              <w:t>ՀՀ դրամով ներգրավված պարտք</w:t>
            </w:r>
          </w:p>
        </w:tc>
        <w:tc>
          <w:tcPr>
            <w:tcW w:w="1073" w:type="dxa"/>
            <w:tcBorders>
              <w:top w:val="nil"/>
              <w:left w:val="nil"/>
              <w:bottom w:val="single" w:sz="4" w:space="0" w:color="auto"/>
              <w:right w:val="single" w:sz="4" w:space="0" w:color="auto"/>
            </w:tcBorders>
            <w:shd w:val="clear" w:color="auto" w:fill="auto"/>
            <w:vAlign w:val="center"/>
            <w:hideMark/>
          </w:tcPr>
          <w:p w14:paraId="63129851"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1,419.7</w:t>
            </w:r>
          </w:p>
        </w:tc>
        <w:tc>
          <w:tcPr>
            <w:tcW w:w="1159" w:type="dxa"/>
            <w:tcBorders>
              <w:top w:val="nil"/>
              <w:left w:val="nil"/>
              <w:bottom w:val="single" w:sz="4" w:space="0" w:color="auto"/>
              <w:right w:val="single" w:sz="4" w:space="0" w:color="auto"/>
            </w:tcBorders>
            <w:shd w:val="clear" w:color="auto" w:fill="auto"/>
            <w:vAlign w:val="center"/>
            <w:hideMark/>
          </w:tcPr>
          <w:p w14:paraId="5B6A4C31"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681.0</w:t>
            </w:r>
          </w:p>
        </w:tc>
        <w:tc>
          <w:tcPr>
            <w:tcW w:w="1489" w:type="dxa"/>
            <w:tcBorders>
              <w:top w:val="nil"/>
              <w:left w:val="nil"/>
              <w:bottom w:val="single" w:sz="4" w:space="0" w:color="auto"/>
              <w:right w:val="single" w:sz="4" w:space="0" w:color="auto"/>
            </w:tcBorders>
            <w:shd w:val="clear" w:color="auto" w:fill="auto"/>
            <w:vAlign w:val="center"/>
            <w:hideMark/>
          </w:tcPr>
          <w:p w14:paraId="17F9DBCE" w14:textId="77777777" w:rsidR="00170E4B" w:rsidRPr="00170E4B" w:rsidRDefault="00170E4B" w:rsidP="00170E4B">
            <w:pPr>
              <w:spacing w:after="0" w:line="240" w:lineRule="auto"/>
              <w:jc w:val="center"/>
              <w:rPr>
                <w:rFonts w:eastAsia="Times New Roman" w:cs="Calibri"/>
                <w:b/>
                <w:sz w:val="20"/>
                <w:szCs w:val="20"/>
              </w:rPr>
            </w:pPr>
            <w:r w:rsidRPr="00170E4B">
              <w:rPr>
                <w:rFonts w:eastAsia="Times New Roman" w:cs="Calibri"/>
                <w:b/>
                <w:sz w:val="20"/>
                <w:szCs w:val="20"/>
                <w:lang w:val="en-US"/>
              </w:rPr>
              <w:t>1,</w:t>
            </w:r>
            <w:r w:rsidRPr="00170E4B">
              <w:rPr>
                <w:rFonts w:eastAsia="Times New Roman" w:cs="Calibri"/>
                <w:b/>
                <w:sz w:val="20"/>
                <w:szCs w:val="20"/>
              </w:rPr>
              <w:t>795.3</w:t>
            </w:r>
          </w:p>
        </w:tc>
        <w:tc>
          <w:tcPr>
            <w:tcW w:w="1505" w:type="dxa"/>
            <w:tcBorders>
              <w:top w:val="nil"/>
              <w:left w:val="nil"/>
              <w:bottom w:val="single" w:sz="4" w:space="0" w:color="auto"/>
              <w:right w:val="single" w:sz="4" w:space="0" w:color="auto"/>
            </w:tcBorders>
            <w:shd w:val="clear" w:color="auto" w:fill="auto"/>
            <w:vAlign w:val="center"/>
            <w:hideMark/>
          </w:tcPr>
          <w:p w14:paraId="677225CE"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875.4</w:t>
            </w:r>
          </w:p>
        </w:tc>
        <w:tc>
          <w:tcPr>
            <w:tcW w:w="719" w:type="dxa"/>
            <w:tcBorders>
              <w:top w:val="nil"/>
              <w:left w:val="nil"/>
              <w:bottom w:val="single" w:sz="4" w:space="0" w:color="auto"/>
              <w:right w:val="single" w:sz="4" w:space="0" w:color="auto"/>
            </w:tcBorders>
            <w:vAlign w:val="center"/>
          </w:tcPr>
          <w:p w14:paraId="212143FA" w14:textId="77777777" w:rsidR="00170E4B" w:rsidRPr="00170E4B" w:rsidRDefault="00170E4B" w:rsidP="00170E4B">
            <w:pPr>
              <w:spacing w:after="0" w:line="240" w:lineRule="auto"/>
              <w:jc w:val="center"/>
              <w:rPr>
                <w:rFonts w:eastAsia="Times New Roman" w:cs="Calibri"/>
                <w:sz w:val="20"/>
                <w:szCs w:val="20"/>
              </w:rPr>
            </w:pPr>
            <w:r w:rsidRPr="00170E4B">
              <w:rPr>
                <w:rFonts w:eastAsia="Times New Roman" w:cs="Calibri"/>
                <w:sz w:val="20"/>
                <w:szCs w:val="20"/>
                <w:lang w:val="en-US"/>
              </w:rPr>
              <w:t>128.</w:t>
            </w:r>
            <w:r w:rsidRPr="00170E4B">
              <w:rPr>
                <w:rFonts w:eastAsia="Times New Roman" w:cs="Calibri"/>
                <w:sz w:val="20"/>
                <w:szCs w:val="20"/>
              </w:rPr>
              <w:t>5</w:t>
            </w:r>
          </w:p>
        </w:tc>
      </w:tr>
      <w:tr w:rsidR="00170E4B" w:rsidRPr="00170E4B" w14:paraId="0FD02C33" w14:textId="77777777" w:rsidTr="00D633D1">
        <w:trPr>
          <w:trHeight w:val="231"/>
        </w:trPr>
        <w:tc>
          <w:tcPr>
            <w:tcW w:w="4657" w:type="dxa"/>
            <w:tcBorders>
              <w:top w:val="nil"/>
              <w:left w:val="single" w:sz="4" w:space="0" w:color="auto"/>
              <w:bottom w:val="single" w:sz="4" w:space="0" w:color="auto"/>
              <w:right w:val="single" w:sz="4" w:space="0" w:color="auto"/>
            </w:tcBorders>
            <w:shd w:val="clear" w:color="auto" w:fill="auto"/>
            <w:vAlign w:val="center"/>
            <w:hideMark/>
          </w:tcPr>
          <w:p w14:paraId="00412E55" w14:textId="77777777" w:rsidR="00170E4B" w:rsidRPr="00170E4B" w:rsidRDefault="00170E4B" w:rsidP="00170E4B">
            <w:pPr>
              <w:spacing w:after="0" w:line="240" w:lineRule="auto"/>
              <w:ind w:left="420"/>
              <w:jc w:val="left"/>
              <w:rPr>
                <w:rFonts w:eastAsia="Times New Roman" w:cs="Calibri"/>
                <w:sz w:val="20"/>
                <w:szCs w:val="20"/>
                <w:lang w:val="en-US"/>
              </w:rPr>
            </w:pPr>
            <w:r w:rsidRPr="00170E4B">
              <w:rPr>
                <w:rFonts w:eastAsia="Times New Roman" w:cs="Calibri"/>
                <w:sz w:val="20"/>
                <w:szCs w:val="20"/>
                <w:lang w:val="en-US"/>
              </w:rPr>
              <w:t>արտարժույթով ներգրավված պարտք</w:t>
            </w:r>
          </w:p>
        </w:tc>
        <w:tc>
          <w:tcPr>
            <w:tcW w:w="1073" w:type="dxa"/>
            <w:tcBorders>
              <w:top w:val="nil"/>
              <w:left w:val="nil"/>
              <w:bottom w:val="single" w:sz="4" w:space="0" w:color="auto"/>
              <w:right w:val="single" w:sz="4" w:space="0" w:color="auto"/>
            </w:tcBorders>
            <w:shd w:val="clear" w:color="auto" w:fill="auto"/>
            <w:vAlign w:val="center"/>
            <w:hideMark/>
          </w:tcPr>
          <w:p w14:paraId="5F9B2B26"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5,901.5</w:t>
            </w:r>
          </w:p>
        </w:tc>
        <w:tc>
          <w:tcPr>
            <w:tcW w:w="1159" w:type="dxa"/>
            <w:tcBorders>
              <w:top w:val="nil"/>
              <w:left w:val="nil"/>
              <w:bottom w:val="single" w:sz="4" w:space="0" w:color="auto"/>
              <w:right w:val="single" w:sz="4" w:space="0" w:color="auto"/>
            </w:tcBorders>
            <w:shd w:val="clear" w:color="auto" w:fill="auto"/>
            <w:vAlign w:val="center"/>
            <w:hideMark/>
          </w:tcPr>
          <w:p w14:paraId="5ED33A74"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2,831.0</w:t>
            </w:r>
          </w:p>
        </w:tc>
        <w:tc>
          <w:tcPr>
            <w:tcW w:w="1489" w:type="dxa"/>
            <w:tcBorders>
              <w:top w:val="nil"/>
              <w:left w:val="nil"/>
              <w:bottom w:val="single" w:sz="4" w:space="0" w:color="auto"/>
              <w:right w:val="single" w:sz="4" w:space="0" w:color="auto"/>
            </w:tcBorders>
            <w:shd w:val="clear" w:color="auto" w:fill="auto"/>
            <w:vAlign w:val="center"/>
            <w:hideMark/>
          </w:tcPr>
          <w:p w14:paraId="687660B6" w14:textId="77777777" w:rsidR="00170E4B" w:rsidRPr="00170E4B" w:rsidRDefault="00170E4B" w:rsidP="00170E4B">
            <w:pPr>
              <w:spacing w:after="0" w:line="240" w:lineRule="auto"/>
              <w:jc w:val="center"/>
              <w:rPr>
                <w:rFonts w:eastAsia="Times New Roman" w:cs="Calibri"/>
                <w:b/>
                <w:sz w:val="20"/>
                <w:szCs w:val="20"/>
              </w:rPr>
            </w:pPr>
            <w:r w:rsidRPr="00170E4B">
              <w:rPr>
                <w:rFonts w:eastAsia="Times New Roman" w:cs="Calibri"/>
                <w:b/>
                <w:sz w:val="20"/>
                <w:szCs w:val="20"/>
                <w:lang w:val="en-US"/>
              </w:rPr>
              <w:t>6,</w:t>
            </w:r>
            <w:r w:rsidRPr="00170E4B">
              <w:rPr>
                <w:rFonts w:eastAsia="Times New Roman" w:cs="Calibri"/>
                <w:b/>
                <w:sz w:val="20"/>
                <w:szCs w:val="20"/>
              </w:rPr>
              <w:t>059.3</w:t>
            </w:r>
          </w:p>
        </w:tc>
        <w:tc>
          <w:tcPr>
            <w:tcW w:w="1505" w:type="dxa"/>
            <w:tcBorders>
              <w:top w:val="nil"/>
              <w:left w:val="nil"/>
              <w:bottom w:val="single" w:sz="4" w:space="0" w:color="auto"/>
              <w:right w:val="single" w:sz="4" w:space="0" w:color="auto"/>
            </w:tcBorders>
            <w:shd w:val="clear" w:color="auto" w:fill="auto"/>
            <w:vAlign w:val="center"/>
            <w:hideMark/>
          </w:tcPr>
          <w:p w14:paraId="20690787" w14:textId="77777777" w:rsidR="00170E4B" w:rsidRPr="00170E4B" w:rsidRDefault="00170E4B" w:rsidP="00170E4B">
            <w:pPr>
              <w:spacing w:after="120"/>
              <w:ind w:firstLine="567"/>
              <w:jc w:val="center"/>
              <w:rPr>
                <w:rFonts w:eastAsia="Times New Roman" w:cs="Times New Roman"/>
                <w:b/>
                <w:sz w:val="20"/>
                <w:szCs w:val="20"/>
                <w:lang w:val="en-US"/>
              </w:rPr>
            </w:pPr>
            <w:r w:rsidRPr="00170E4B">
              <w:rPr>
                <w:rFonts w:eastAsia="Times New Roman" w:cs="Times New Roman"/>
                <w:b/>
                <w:sz w:val="20"/>
                <w:szCs w:val="20"/>
              </w:rPr>
              <w:t>2,954.6</w:t>
            </w:r>
          </w:p>
        </w:tc>
        <w:tc>
          <w:tcPr>
            <w:tcW w:w="719" w:type="dxa"/>
            <w:tcBorders>
              <w:top w:val="nil"/>
              <w:left w:val="nil"/>
              <w:bottom w:val="single" w:sz="4" w:space="0" w:color="auto"/>
              <w:right w:val="single" w:sz="4" w:space="0" w:color="auto"/>
            </w:tcBorders>
            <w:vAlign w:val="center"/>
          </w:tcPr>
          <w:p w14:paraId="78527E9C" w14:textId="77777777" w:rsidR="00170E4B" w:rsidRPr="00170E4B" w:rsidRDefault="00170E4B" w:rsidP="00170E4B">
            <w:pPr>
              <w:spacing w:after="0" w:line="240" w:lineRule="auto"/>
              <w:jc w:val="center"/>
              <w:rPr>
                <w:rFonts w:eastAsia="Times New Roman" w:cs="Calibri"/>
                <w:sz w:val="20"/>
                <w:szCs w:val="20"/>
                <w:lang w:val="en-US"/>
              </w:rPr>
            </w:pPr>
            <w:r w:rsidRPr="00170E4B">
              <w:rPr>
                <w:rFonts w:eastAsia="Times New Roman" w:cs="Calibri"/>
                <w:sz w:val="20"/>
                <w:szCs w:val="20"/>
                <w:lang w:val="en-US"/>
              </w:rPr>
              <w:t>104.4</w:t>
            </w:r>
          </w:p>
        </w:tc>
      </w:tr>
    </w:tbl>
    <w:p w14:paraId="403C4804" w14:textId="77777777" w:rsidR="00170E4B" w:rsidRPr="00170E4B" w:rsidRDefault="00170E4B" w:rsidP="00170E4B">
      <w:pPr>
        <w:spacing w:after="120"/>
        <w:ind w:firstLine="567"/>
        <w:rPr>
          <w:rFonts w:eastAsia="Times New Roman" w:cs="Times New Roman"/>
          <w:bCs/>
        </w:rPr>
      </w:pPr>
    </w:p>
    <w:p w14:paraId="14F41028"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2020թ. սեպտեմբերի 30-ի դրությամբ ՀՀ պետական պարտքը կազմել է 3,830.1 մլրդ. դրամ, 2019թ. դեկտեմբերի 31-ի նկատմամբ այն աճել է  9.1%-ով կամ 318.0 մլրդ դրամով։ ՀՀ պետական պարտքի 76.1%-ը բաժին է ընկնում ՀՀ արտաքին պետական պարտքին, իսկ 23.9%-ը՝ ՀՀ ներքին պետական պարտքին։ Միաժամանակ՝ ՀՀ պետական պարտքի 77.1%-</w:t>
      </w:r>
      <w:r w:rsidRPr="00170E4B">
        <w:rPr>
          <w:rFonts w:eastAsia="Times New Roman" w:cs="Times New Roman"/>
          <w:bCs/>
        </w:rPr>
        <w:lastRenderedPageBreak/>
        <w:t>ը բաժին է ընկնում արտարժույթով ներգրավված պարտքերին, իսկ 22.9%-ը՝ ՀՀ դրամով ներգրավված պարտքերին։</w:t>
      </w:r>
    </w:p>
    <w:p w14:paraId="721C872D" w14:textId="77777777" w:rsidR="00170E4B" w:rsidRPr="00170E4B" w:rsidRDefault="00170E4B" w:rsidP="00170E4B">
      <w:pPr>
        <w:spacing w:after="120"/>
        <w:ind w:firstLine="567"/>
        <w:rPr>
          <w:rFonts w:eastAsia="Times New Roman" w:cs="Times New Roman"/>
          <w:bCs/>
        </w:rPr>
      </w:pPr>
    </w:p>
    <w:p w14:paraId="4B7AAF79"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ՀՀ կառավարության պարտքը կազմել է 3,595.9 մլրդ. ՀՀ դրամ, 2019թ. դեկտեմբերի 31-ի նկատմամբ այն աճել է 9.7%-ով կամ 318.7 մլրդ դրամով։</w:t>
      </w:r>
    </w:p>
    <w:p w14:paraId="7987D37F"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sz w:val="20"/>
          <w:szCs w:val="20"/>
        </w:rPr>
        <w:t xml:space="preserve"> </w:t>
      </w:r>
      <w:r w:rsidRPr="00170E4B">
        <w:rPr>
          <w:rFonts w:eastAsia="Times New Roman" w:cs="Times New Roman"/>
          <w:bCs/>
        </w:rPr>
        <w:t>ՀՀ Կենտրոնական բանկի արտաքին պարտքը կազմել է 234.1 մլրդ. ՀՀ դրամ, 2019թ. դեկտեմբերի 31-ի նկատմամբ այն նվազել է 0.3%-ով կամ 620.2 մլն դրամով։</w:t>
      </w:r>
    </w:p>
    <w:p w14:paraId="6AC9B6AE" w14:textId="77777777" w:rsidR="00170E4B" w:rsidRPr="00170E4B" w:rsidRDefault="00170E4B" w:rsidP="00170E4B">
      <w:pPr>
        <w:spacing w:after="120"/>
        <w:ind w:firstLine="567"/>
        <w:rPr>
          <w:rFonts w:eastAsia="Times New Roman" w:cs="Times New Roman"/>
          <w:bCs/>
        </w:rPr>
      </w:pPr>
    </w:p>
    <w:p w14:paraId="577221AD"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ՀՀ կառավարության արտաքին պարտքը կազմել է 2,680.3 մլրդ ՀՀ դրամ, 2019թ. դեկտեմբերի 31-ի նկատմամբ այն աճել է 5.5%-ով կամ 140.2 մլրդ դրամով:</w:t>
      </w:r>
    </w:p>
    <w:p w14:paraId="5082DC6A" w14:textId="77777777" w:rsidR="00170E4B" w:rsidRPr="00170E4B" w:rsidRDefault="00170E4B" w:rsidP="00170E4B">
      <w:pPr>
        <w:spacing w:after="120"/>
        <w:ind w:firstLine="567"/>
        <w:rPr>
          <w:rFonts w:eastAsia="Times New Roman" w:cs="Times New Roman"/>
          <w:bCs/>
        </w:rPr>
      </w:pPr>
    </w:p>
    <w:p w14:paraId="474E9DEF"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ՀՀ կառավարության ներքին պարտքը կազմել է 915.7 մլն դրամ, 2019թ. դեկտեմբերի 31-ի նկատմամբ այն աճել է 178.5 մլրդ դրամով կամ 24.2%-ով։</w:t>
      </w:r>
    </w:p>
    <w:p w14:paraId="2E0DA1FB" w14:textId="77777777" w:rsidR="00170E4B" w:rsidRPr="00170E4B" w:rsidRDefault="00170E4B" w:rsidP="00170E4B">
      <w:pPr>
        <w:spacing w:after="120"/>
        <w:ind w:firstLine="567"/>
        <w:rPr>
          <w:rFonts w:eastAsia="Times New Roman" w:cs="Times New Roman"/>
          <w:bCs/>
        </w:rPr>
      </w:pPr>
    </w:p>
    <w:p w14:paraId="5C0BF0F3"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2020թ.-ի սեպտեմբերի 30-ի դրությամբ ՀՀ կառավարության պարտքի</w:t>
      </w:r>
      <w:r w:rsidRPr="00170E4B">
        <w:rPr>
          <w:rFonts w:eastAsia="Times New Roman" w:cs="Calibri"/>
          <w:bCs/>
          <w:i/>
          <w:iCs/>
          <w:sz w:val="20"/>
          <w:szCs w:val="20"/>
        </w:rPr>
        <w:t xml:space="preserve"> </w:t>
      </w:r>
      <w:r w:rsidRPr="00170E4B">
        <w:rPr>
          <w:rFonts w:eastAsia="Times New Roman" w:cs="Times New Roman"/>
          <w:bCs/>
        </w:rPr>
        <w:t>74.5%-ը բաժին է ընկել կառավարության արտաքին պարտքին, իսկ</w:t>
      </w:r>
      <w:r w:rsidRPr="00170E4B">
        <w:rPr>
          <w:rFonts w:eastAsia="Times New Roman" w:cs="Times New Roman"/>
          <w:bCs/>
          <w:i/>
          <w:iCs/>
          <w:sz w:val="20"/>
          <w:szCs w:val="20"/>
        </w:rPr>
        <w:t xml:space="preserve"> </w:t>
      </w:r>
      <w:r w:rsidRPr="00170E4B">
        <w:rPr>
          <w:rFonts w:eastAsia="Times New Roman" w:cs="Times New Roman"/>
          <w:bCs/>
        </w:rPr>
        <w:t>25.5 %-ը` ներքին պարտքին: Իսկ ՀՀ կառավարության արտաքին պարտքի կառուցվածքում</w:t>
      </w:r>
      <w:r w:rsidRPr="00170E4B">
        <w:rPr>
          <w:rFonts w:eastAsia="Times New Roman" w:cs="Calibri"/>
          <w:bCs/>
          <w:sz w:val="20"/>
          <w:szCs w:val="20"/>
        </w:rPr>
        <w:t xml:space="preserve"> </w:t>
      </w:r>
      <w:r w:rsidRPr="00170E4B">
        <w:rPr>
          <w:rFonts w:eastAsia="Times New Roman" w:cs="Times New Roman"/>
          <w:bCs/>
        </w:rPr>
        <w:t>83.2 %-ը կազմել են արտաքին վարկերը և փոխառությունները, իսկ 16.6%-ը՝ ոչ ռեզիդենտների կողմից ձեռքբերված արտարժութային պետական պարտատոմսերը։ ՀՀ կառավարության ներքին պարտքի 95.2%-ը կազմել են ռեզիդենտների կողմից ձեռքբերված պետական գանձապետական պարտատոմսերը, իսկ 4.8%-ը՝ ռեզիդենտների կողմից ձեռքբերված արտարժութային պետական պարտատոմսերը:</w:t>
      </w:r>
    </w:p>
    <w:p w14:paraId="51278127" w14:textId="77777777" w:rsidR="00170E4B" w:rsidRPr="00170E4B" w:rsidRDefault="00170E4B" w:rsidP="00170E4B">
      <w:pPr>
        <w:spacing w:after="120"/>
        <w:ind w:firstLine="567"/>
        <w:rPr>
          <w:rFonts w:eastAsia="Times New Roman" w:cs="Times New Roman"/>
          <w:bCs/>
        </w:rPr>
      </w:pPr>
    </w:p>
    <w:p w14:paraId="5AC6D767" w14:textId="4F1A2C91" w:rsidR="00170E4B" w:rsidRPr="002220FF" w:rsidRDefault="00170E4B" w:rsidP="002220FF">
      <w:pPr>
        <w:spacing w:after="120"/>
        <w:ind w:firstLine="567"/>
        <w:rPr>
          <w:rFonts w:eastAsia="Times New Roman" w:cs="Times New Roman"/>
          <w:bCs/>
        </w:rPr>
      </w:pPr>
      <w:r w:rsidRPr="00170E4B">
        <w:rPr>
          <w:rFonts w:eastAsia="Times New Roman" w:cs="Times New Roman"/>
          <w:bCs/>
        </w:rPr>
        <w:t>2020</w:t>
      </w:r>
      <w:r w:rsidR="00E67516">
        <w:rPr>
          <w:rFonts w:eastAsia="Times New Roman" w:cs="Times New Roman"/>
          <w:bCs/>
        </w:rPr>
        <w:t xml:space="preserve"> թվական</w:t>
      </w:r>
      <w:r w:rsidRPr="00170E4B">
        <w:rPr>
          <w:rFonts w:eastAsia="Times New Roman" w:cs="Times New Roman"/>
          <w:bCs/>
        </w:rPr>
        <w:t>ի սեպտեմբերի 30-ի դրությամբ ՀՀ կառավարության արտաքին վարկերի գծով պարտքի կառուցվածքն ըստ վարկատուների հետևյալն է</w:t>
      </w:r>
      <w:r w:rsidRPr="00170E4B">
        <w:rPr>
          <w:rFonts w:eastAsia="Times New Roman" w:cs="Cambria Math"/>
          <w:bCs/>
        </w:rPr>
        <w:t>.</w:t>
      </w:r>
      <w:r w:rsidRPr="00170E4B">
        <w:rPr>
          <w:rFonts w:eastAsia="Times New Roman" w:cs="Times New Roman"/>
          <w:sz w:val="22"/>
          <w:szCs w:val="22"/>
        </w:rPr>
        <w:t xml:space="preserve">                              </w:t>
      </w:r>
    </w:p>
    <w:p w14:paraId="25576F45" w14:textId="6DA6951C" w:rsidR="00170E4B" w:rsidRPr="00170E4B" w:rsidRDefault="00170E4B" w:rsidP="00170E4B">
      <w:pPr>
        <w:spacing w:after="0"/>
        <w:ind w:firstLine="720"/>
        <w:jc w:val="right"/>
        <w:rPr>
          <w:rFonts w:eastAsia="Times New Roman" w:cs="Times New Roman"/>
          <w:sz w:val="22"/>
          <w:szCs w:val="22"/>
        </w:rPr>
      </w:pPr>
      <w:r w:rsidRPr="00170E4B">
        <w:rPr>
          <w:rFonts w:eastAsia="Times New Roman" w:cs="Times New Roman"/>
          <w:sz w:val="22"/>
          <w:szCs w:val="22"/>
        </w:rPr>
        <w:t>(</w:t>
      </w:r>
      <w:r w:rsidRPr="00170E4B">
        <w:rPr>
          <w:rFonts w:eastAsia="Times New Roman" w:cs="Times New Roman"/>
          <w:sz w:val="22"/>
          <w:szCs w:val="22"/>
          <w:lang w:val="en-US"/>
        </w:rPr>
        <w:t xml:space="preserve">Աղյուսակ </w:t>
      </w:r>
      <w:r w:rsidRPr="00170E4B">
        <w:rPr>
          <w:rFonts w:eastAsia="Times New Roman" w:cs="Times New Roman"/>
          <w:sz w:val="22"/>
          <w:szCs w:val="22"/>
        </w:rPr>
        <w:t>11)</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1350"/>
        <w:gridCol w:w="1402"/>
      </w:tblGrid>
      <w:tr w:rsidR="00170E4B" w:rsidRPr="00170E4B" w14:paraId="174A55DC" w14:textId="77777777" w:rsidTr="002F56CA">
        <w:trPr>
          <w:trHeight w:val="343"/>
        </w:trPr>
        <w:tc>
          <w:tcPr>
            <w:tcW w:w="7290" w:type="dxa"/>
            <w:tcBorders>
              <w:top w:val="nil"/>
              <w:left w:val="nil"/>
              <w:bottom w:val="single" w:sz="4" w:space="0" w:color="auto"/>
              <w:right w:val="nil"/>
            </w:tcBorders>
            <w:shd w:val="clear" w:color="auto" w:fill="auto"/>
            <w:vAlign w:val="center"/>
            <w:hideMark/>
          </w:tcPr>
          <w:p w14:paraId="26546064" w14:textId="77777777" w:rsidR="00170E4B" w:rsidRPr="00170E4B" w:rsidRDefault="00170E4B" w:rsidP="00170E4B">
            <w:pPr>
              <w:spacing w:after="0" w:line="240" w:lineRule="auto"/>
              <w:jc w:val="left"/>
              <w:rPr>
                <w:rFonts w:eastAsia="Times New Roman" w:cs="Times New Roman"/>
                <w:lang w:val="en-US"/>
              </w:rPr>
            </w:pPr>
          </w:p>
        </w:tc>
        <w:tc>
          <w:tcPr>
            <w:tcW w:w="2752" w:type="dxa"/>
            <w:gridSpan w:val="2"/>
            <w:tcBorders>
              <w:top w:val="nil"/>
              <w:left w:val="nil"/>
              <w:bottom w:val="single" w:sz="4" w:space="0" w:color="auto"/>
              <w:right w:val="nil"/>
            </w:tcBorders>
            <w:shd w:val="clear" w:color="auto" w:fill="auto"/>
            <w:vAlign w:val="center"/>
            <w:hideMark/>
          </w:tcPr>
          <w:p w14:paraId="0E02AA42" w14:textId="77777777" w:rsidR="00170E4B" w:rsidRPr="00170E4B" w:rsidRDefault="00170E4B" w:rsidP="00170E4B">
            <w:pPr>
              <w:spacing w:after="0" w:line="240" w:lineRule="auto"/>
              <w:jc w:val="right"/>
              <w:rPr>
                <w:rFonts w:eastAsia="Times New Roman" w:cs="Calibri"/>
                <w:lang w:val="en-US"/>
              </w:rPr>
            </w:pPr>
            <w:r w:rsidRPr="00170E4B">
              <w:rPr>
                <w:rFonts w:eastAsia="Times New Roman" w:cs="Calibri"/>
                <w:bCs/>
                <w:sz w:val="22"/>
                <w:szCs w:val="22"/>
                <w:lang w:val="en-US"/>
              </w:rPr>
              <w:t>մլն ԱՄՆ դոլար</w:t>
            </w:r>
          </w:p>
        </w:tc>
      </w:tr>
      <w:tr w:rsidR="00170E4B" w:rsidRPr="00170E4B" w14:paraId="185CA0B1" w14:textId="77777777" w:rsidTr="002F56CA">
        <w:trPr>
          <w:trHeight w:val="573"/>
        </w:trPr>
        <w:tc>
          <w:tcPr>
            <w:tcW w:w="7290" w:type="dxa"/>
            <w:tcBorders>
              <w:top w:val="single" w:sz="4" w:space="0" w:color="auto"/>
            </w:tcBorders>
            <w:shd w:val="clear" w:color="auto" w:fill="auto"/>
            <w:vAlign w:val="center"/>
          </w:tcPr>
          <w:p w14:paraId="19CC8F06" w14:textId="77777777" w:rsidR="00170E4B" w:rsidRPr="00170E4B" w:rsidRDefault="00170E4B" w:rsidP="00170E4B">
            <w:pPr>
              <w:spacing w:after="0" w:line="240" w:lineRule="auto"/>
              <w:jc w:val="left"/>
              <w:rPr>
                <w:rFonts w:eastAsia="Times New Roman" w:cs="Times New Roman"/>
              </w:rPr>
            </w:pPr>
            <w:r w:rsidRPr="00170E4B">
              <w:rPr>
                <w:rFonts w:eastAsia="Times New Roman" w:cs="Calibri"/>
                <w:b/>
                <w:bCs/>
                <w:sz w:val="22"/>
                <w:szCs w:val="22"/>
              </w:rPr>
              <w:t>ՀՀ կառավարության արտաքին վարկերի գծով պարտքը</w:t>
            </w:r>
          </w:p>
        </w:tc>
        <w:tc>
          <w:tcPr>
            <w:tcW w:w="1350" w:type="dxa"/>
            <w:tcBorders>
              <w:top w:val="single" w:sz="4" w:space="0" w:color="auto"/>
            </w:tcBorders>
            <w:shd w:val="clear" w:color="auto" w:fill="auto"/>
            <w:vAlign w:val="center"/>
          </w:tcPr>
          <w:p w14:paraId="57979233"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31.12.2019</w:t>
            </w:r>
          </w:p>
        </w:tc>
        <w:tc>
          <w:tcPr>
            <w:tcW w:w="1396" w:type="dxa"/>
            <w:tcBorders>
              <w:top w:val="single" w:sz="4" w:space="0" w:color="auto"/>
            </w:tcBorders>
            <w:shd w:val="clear" w:color="auto" w:fill="auto"/>
            <w:vAlign w:val="center"/>
          </w:tcPr>
          <w:p w14:paraId="6CD09121"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30.09.2020</w:t>
            </w:r>
          </w:p>
        </w:tc>
      </w:tr>
      <w:tr w:rsidR="00170E4B" w:rsidRPr="00170E4B" w14:paraId="667C2048" w14:textId="77777777" w:rsidTr="00ED555C">
        <w:trPr>
          <w:trHeight w:val="442"/>
        </w:trPr>
        <w:tc>
          <w:tcPr>
            <w:tcW w:w="7290" w:type="dxa"/>
            <w:shd w:val="clear" w:color="auto" w:fill="auto"/>
            <w:vAlign w:val="center"/>
            <w:hideMark/>
          </w:tcPr>
          <w:p w14:paraId="348D69F6" w14:textId="77777777" w:rsidR="00170E4B" w:rsidRPr="00170E4B" w:rsidRDefault="00170E4B" w:rsidP="00170E4B">
            <w:pPr>
              <w:spacing w:after="0" w:line="240" w:lineRule="auto"/>
              <w:jc w:val="left"/>
              <w:rPr>
                <w:rFonts w:eastAsia="Times New Roman" w:cs="Calibri"/>
                <w:b/>
                <w:bCs/>
              </w:rPr>
            </w:pPr>
            <w:r w:rsidRPr="00170E4B">
              <w:rPr>
                <w:rFonts w:eastAsia="Times New Roman" w:cs="Calibri"/>
                <w:b/>
                <w:bCs/>
                <w:sz w:val="22"/>
                <w:szCs w:val="22"/>
              </w:rPr>
              <w:lastRenderedPageBreak/>
              <w:t>Ընդամենը</w:t>
            </w:r>
          </w:p>
        </w:tc>
        <w:tc>
          <w:tcPr>
            <w:tcW w:w="1350" w:type="dxa"/>
            <w:shd w:val="clear" w:color="auto" w:fill="auto"/>
            <w:vAlign w:val="center"/>
            <w:hideMark/>
          </w:tcPr>
          <w:p w14:paraId="3026DD08" w14:textId="77777777" w:rsidR="00170E4B" w:rsidRPr="00170E4B" w:rsidRDefault="00170E4B" w:rsidP="00170E4B">
            <w:pPr>
              <w:spacing w:after="0" w:line="240" w:lineRule="auto"/>
              <w:jc w:val="center"/>
              <w:rPr>
                <w:rFonts w:eastAsia="Times New Roman" w:cs="Calibri"/>
                <w:b/>
                <w:bCs/>
                <w:lang w:val="en-US"/>
              </w:rPr>
            </w:pPr>
            <w:r w:rsidRPr="00170E4B">
              <w:rPr>
                <w:rFonts w:eastAsia="Times New Roman" w:cs="Calibri"/>
                <w:b/>
                <w:bCs/>
                <w:sz w:val="22"/>
                <w:szCs w:val="22"/>
                <w:lang w:val="en-US"/>
              </w:rPr>
              <w:t>4,306.7</w:t>
            </w:r>
          </w:p>
        </w:tc>
        <w:tc>
          <w:tcPr>
            <w:tcW w:w="1396" w:type="dxa"/>
            <w:shd w:val="clear" w:color="auto" w:fill="auto"/>
            <w:vAlign w:val="center"/>
            <w:hideMark/>
          </w:tcPr>
          <w:p w14:paraId="5DFA4D80" w14:textId="77777777" w:rsidR="00170E4B" w:rsidRPr="00170E4B" w:rsidRDefault="00170E4B" w:rsidP="00170E4B">
            <w:pPr>
              <w:spacing w:after="0" w:line="240" w:lineRule="auto"/>
              <w:jc w:val="center"/>
              <w:rPr>
                <w:rFonts w:eastAsia="Times New Roman" w:cs="Calibri"/>
                <w:b/>
                <w:bCs/>
                <w:lang w:val="en-US"/>
              </w:rPr>
            </w:pPr>
            <w:r w:rsidRPr="00170E4B">
              <w:rPr>
                <w:rFonts w:eastAsia="Times New Roman" w:cs="Calibri"/>
                <w:b/>
                <w:bCs/>
                <w:sz w:val="22"/>
                <w:szCs w:val="22"/>
                <w:lang w:val="en-US"/>
              </w:rPr>
              <w:t>4,571.0</w:t>
            </w:r>
          </w:p>
        </w:tc>
      </w:tr>
      <w:tr w:rsidR="00170E4B" w:rsidRPr="00170E4B" w14:paraId="5FF6DB32" w14:textId="77777777" w:rsidTr="00ED555C">
        <w:trPr>
          <w:trHeight w:val="421"/>
        </w:trPr>
        <w:tc>
          <w:tcPr>
            <w:tcW w:w="7290" w:type="dxa"/>
            <w:shd w:val="clear" w:color="auto" w:fill="auto"/>
            <w:noWrap/>
            <w:vAlign w:val="center"/>
            <w:hideMark/>
          </w:tcPr>
          <w:p w14:paraId="42EF62DE" w14:textId="77777777" w:rsidR="00170E4B" w:rsidRPr="00170E4B" w:rsidRDefault="00170E4B" w:rsidP="00170E4B">
            <w:pPr>
              <w:spacing w:after="0" w:line="240" w:lineRule="auto"/>
              <w:jc w:val="left"/>
              <w:rPr>
                <w:rFonts w:eastAsia="Times New Roman" w:cs="Calibri"/>
                <w:b/>
                <w:bCs/>
                <w:lang w:val="en-US"/>
              </w:rPr>
            </w:pPr>
            <w:r w:rsidRPr="00170E4B">
              <w:rPr>
                <w:rFonts w:eastAsia="Times New Roman" w:cs="Calibri"/>
                <w:b/>
                <w:bCs/>
                <w:sz w:val="22"/>
                <w:szCs w:val="22"/>
                <w:lang w:val="en-US"/>
              </w:rPr>
              <w:t>Կառուցվածքն ըստ վարկատուների, %</w:t>
            </w:r>
          </w:p>
        </w:tc>
        <w:tc>
          <w:tcPr>
            <w:tcW w:w="1350" w:type="dxa"/>
            <w:shd w:val="clear" w:color="auto" w:fill="auto"/>
            <w:noWrap/>
            <w:vAlign w:val="center"/>
            <w:hideMark/>
          </w:tcPr>
          <w:p w14:paraId="74B0AA06" w14:textId="77777777" w:rsidR="00170E4B" w:rsidRPr="00170E4B" w:rsidRDefault="00170E4B" w:rsidP="00170E4B">
            <w:pPr>
              <w:spacing w:after="0" w:line="240" w:lineRule="auto"/>
              <w:jc w:val="center"/>
              <w:rPr>
                <w:rFonts w:eastAsia="Times New Roman" w:cs="Calibri"/>
                <w:b/>
                <w:bCs/>
                <w:lang w:val="en-US"/>
              </w:rPr>
            </w:pPr>
            <w:r w:rsidRPr="00170E4B">
              <w:rPr>
                <w:rFonts w:eastAsia="Times New Roman" w:cs="Calibri"/>
                <w:b/>
                <w:bCs/>
                <w:sz w:val="22"/>
                <w:szCs w:val="22"/>
                <w:lang w:val="en-US"/>
              </w:rPr>
              <w:t>100.0</w:t>
            </w:r>
          </w:p>
        </w:tc>
        <w:tc>
          <w:tcPr>
            <w:tcW w:w="1396" w:type="dxa"/>
            <w:shd w:val="clear" w:color="auto" w:fill="auto"/>
            <w:noWrap/>
            <w:vAlign w:val="center"/>
            <w:hideMark/>
          </w:tcPr>
          <w:p w14:paraId="38779E0B" w14:textId="77777777" w:rsidR="00170E4B" w:rsidRPr="00170E4B" w:rsidRDefault="00170E4B" w:rsidP="00170E4B">
            <w:pPr>
              <w:spacing w:after="0" w:line="240" w:lineRule="auto"/>
              <w:jc w:val="center"/>
              <w:rPr>
                <w:rFonts w:eastAsia="Times New Roman" w:cs="Calibri"/>
                <w:b/>
                <w:bCs/>
                <w:lang w:val="en-US"/>
              </w:rPr>
            </w:pPr>
            <w:r w:rsidRPr="00170E4B">
              <w:rPr>
                <w:rFonts w:eastAsia="Times New Roman" w:cs="Calibri"/>
                <w:b/>
                <w:bCs/>
                <w:sz w:val="22"/>
                <w:szCs w:val="22"/>
                <w:lang w:val="en-US"/>
              </w:rPr>
              <w:t>100.0</w:t>
            </w:r>
          </w:p>
        </w:tc>
      </w:tr>
      <w:tr w:rsidR="00170E4B" w:rsidRPr="00170E4B" w14:paraId="57E79629" w14:textId="77777777" w:rsidTr="002F56CA">
        <w:trPr>
          <w:trHeight w:val="413"/>
        </w:trPr>
        <w:tc>
          <w:tcPr>
            <w:tcW w:w="7290" w:type="dxa"/>
            <w:shd w:val="clear" w:color="auto" w:fill="auto"/>
            <w:noWrap/>
            <w:vAlign w:val="center"/>
            <w:hideMark/>
          </w:tcPr>
          <w:p w14:paraId="1C43E6C8" w14:textId="77777777" w:rsidR="00170E4B" w:rsidRPr="00170E4B" w:rsidRDefault="00170E4B" w:rsidP="00170E4B">
            <w:pPr>
              <w:spacing w:after="0" w:line="240" w:lineRule="auto"/>
              <w:ind w:left="345"/>
              <w:rPr>
                <w:rFonts w:eastAsia="Times New Roman" w:cs="Calibri"/>
                <w:lang w:val="en-US"/>
              </w:rPr>
            </w:pPr>
            <w:r w:rsidRPr="00170E4B">
              <w:rPr>
                <w:rFonts w:eastAsia="Times New Roman" w:cs="Calibri"/>
                <w:sz w:val="22"/>
                <w:szCs w:val="22"/>
                <w:lang w:val="en-US"/>
              </w:rPr>
              <w:t>այդ թվում`</w:t>
            </w:r>
          </w:p>
        </w:tc>
        <w:tc>
          <w:tcPr>
            <w:tcW w:w="1350" w:type="dxa"/>
            <w:shd w:val="clear" w:color="auto" w:fill="auto"/>
            <w:noWrap/>
            <w:vAlign w:val="center"/>
            <w:hideMark/>
          </w:tcPr>
          <w:p w14:paraId="73F9436C" w14:textId="77777777" w:rsidR="00170E4B" w:rsidRPr="00170E4B" w:rsidRDefault="00170E4B" w:rsidP="00170E4B">
            <w:pPr>
              <w:spacing w:after="0" w:line="240" w:lineRule="auto"/>
              <w:jc w:val="center"/>
              <w:rPr>
                <w:rFonts w:eastAsia="Times New Roman" w:cs="Calibri"/>
                <w:lang w:val="en-US"/>
              </w:rPr>
            </w:pPr>
          </w:p>
        </w:tc>
        <w:tc>
          <w:tcPr>
            <w:tcW w:w="1396" w:type="dxa"/>
            <w:shd w:val="clear" w:color="auto" w:fill="auto"/>
            <w:noWrap/>
            <w:vAlign w:val="center"/>
            <w:hideMark/>
          </w:tcPr>
          <w:p w14:paraId="3C9C6BFD" w14:textId="77777777" w:rsidR="00170E4B" w:rsidRPr="00170E4B" w:rsidRDefault="00170E4B" w:rsidP="00170E4B">
            <w:pPr>
              <w:spacing w:after="0" w:line="240" w:lineRule="auto"/>
              <w:jc w:val="center"/>
              <w:rPr>
                <w:rFonts w:eastAsia="Times New Roman" w:cs="Calibri"/>
                <w:lang w:val="en-US"/>
              </w:rPr>
            </w:pPr>
          </w:p>
        </w:tc>
      </w:tr>
      <w:tr w:rsidR="00170E4B" w:rsidRPr="00170E4B" w14:paraId="755E1774" w14:textId="77777777" w:rsidTr="00ED555C">
        <w:trPr>
          <w:trHeight w:val="419"/>
        </w:trPr>
        <w:tc>
          <w:tcPr>
            <w:tcW w:w="7290" w:type="dxa"/>
            <w:shd w:val="clear" w:color="auto" w:fill="auto"/>
            <w:noWrap/>
            <w:vAlign w:val="center"/>
            <w:hideMark/>
          </w:tcPr>
          <w:p w14:paraId="6A788725" w14:textId="77777777" w:rsidR="00170E4B" w:rsidRPr="00170E4B" w:rsidRDefault="00170E4B" w:rsidP="00170E4B">
            <w:pPr>
              <w:spacing w:after="0" w:line="240" w:lineRule="auto"/>
              <w:ind w:left="165"/>
              <w:jc w:val="left"/>
              <w:rPr>
                <w:rFonts w:eastAsia="Times New Roman" w:cs="Calibri"/>
                <w:b/>
                <w:lang w:val="en-US"/>
              </w:rPr>
            </w:pPr>
            <w:r w:rsidRPr="00170E4B">
              <w:rPr>
                <w:rFonts w:eastAsia="Times New Roman" w:cs="Calibri"/>
                <w:b/>
                <w:sz w:val="22"/>
                <w:szCs w:val="22"/>
                <w:lang w:val="en-US"/>
              </w:rPr>
              <w:t>Միջազգային կազմակերպություններ</w:t>
            </w:r>
          </w:p>
        </w:tc>
        <w:tc>
          <w:tcPr>
            <w:tcW w:w="1350" w:type="dxa"/>
            <w:shd w:val="clear" w:color="auto" w:fill="auto"/>
            <w:noWrap/>
            <w:vAlign w:val="center"/>
            <w:hideMark/>
          </w:tcPr>
          <w:p w14:paraId="2CE597FE"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75.1</w:t>
            </w:r>
          </w:p>
        </w:tc>
        <w:tc>
          <w:tcPr>
            <w:tcW w:w="1396" w:type="dxa"/>
            <w:shd w:val="clear" w:color="auto" w:fill="auto"/>
            <w:noWrap/>
            <w:vAlign w:val="center"/>
            <w:hideMark/>
          </w:tcPr>
          <w:p w14:paraId="7F04C748"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76.9</w:t>
            </w:r>
          </w:p>
        </w:tc>
      </w:tr>
      <w:tr w:rsidR="00170E4B" w:rsidRPr="00170E4B" w14:paraId="71660B3B" w14:textId="77777777" w:rsidTr="002F56CA">
        <w:trPr>
          <w:trHeight w:val="428"/>
        </w:trPr>
        <w:tc>
          <w:tcPr>
            <w:tcW w:w="7290" w:type="dxa"/>
            <w:shd w:val="clear" w:color="auto" w:fill="auto"/>
            <w:noWrap/>
            <w:vAlign w:val="center"/>
            <w:hideMark/>
          </w:tcPr>
          <w:p w14:paraId="35B6B88C" w14:textId="77777777" w:rsidR="00170E4B" w:rsidRPr="00170E4B" w:rsidRDefault="00170E4B" w:rsidP="00170E4B">
            <w:pPr>
              <w:spacing w:after="0" w:line="240" w:lineRule="auto"/>
              <w:ind w:left="345"/>
              <w:rPr>
                <w:rFonts w:eastAsia="Times New Roman" w:cs="Calibri"/>
                <w:lang w:val="en-US"/>
              </w:rPr>
            </w:pPr>
            <w:r w:rsidRPr="00170E4B">
              <w:rPr>
                <w:rFonts w:eastAsia="Times New Roman" w:cs="Calibri"/>
                <w:sz w:val="22"/>
                <w:szCs w:val="22"/>
                <w:lang w:val="en-US"/>
              </w:rPr>
              <w:t>որից`</w:t>
            </w:r>
          </w:p>
        </w:tc>
        <w:tc>
          <w:tcPr>
            <w:tcW w:w="1350" w:type="dxa"/>
            <w:shd w:val="clear" w:color="auto" w:fill="auto"/>
            <w:noWrap/>
            <w:vAlign w:val="center"/>
            <w:hideMark/>
          </w:tcPr>
          <w:p w14:paraId="3DD2B2FE" w14:textId="77777777" w:rsidR="00170E4B" w:rsidRPr="00170E4B" w:rsidRDefault="00170E4B" w:rsidP="00170E4B">
            <w:pPr>
              <w:spacing w:after="0" w:line="240" w:lineRule="auto"/>
              <w:jc w:val="center"/>
              <w:rPr>
                <w:rFonts w:eastAsia="Times New Roman" w:cs="Calibri"/>
                <w:lang w:val="en-US"/>
              </w:rPr>
            </w:pPr>
          </w:p>
        </w:tc>
        <w:tc>
          <w:tcPr>
            <w:tcW w:w="1396" w:type="dxa"/>
            <w:shd w:val="clear" w:color="auto" w:fill="auto"/>
            <w:noWrap/>
            <w:vAlign w:val="center"/>
            <w:hideMark/>
          </w:tcPr>
          <w:p w14:paraId="572995D6" w14:textId="77777777" w:rsidR="00170E4B" w:rsidRPr="00170E4B" w:rsidRDefault="00170E4B" w:rsidP="00170E4B">
            <w:pPr>
              <w:spacing w:after="0" w:line="240" w:lineRule="auto"/>
              <w:jc w:val="center"/>
              <w:rPr>
                <w:rFonts w:eastAsia="Times New Roman" w:cs="Calibri"/>
                <w:lang w:val="en-US"/>
              </w:rPr>
            </w:pPr>
          </w:p>
        </w:tc>
      </w:tr>
      <w:tr w:rsidR="00170E4B" w:rsidRPr="00170E4B" w14:paraId="21884293" w14:textId="77777777" w:rsidTr="002F56CA">
        <w:trPr>
          <w:trHeight w:val="406"/>
        </w:trPr>
        <w:tc>
          <w:tcPr>
            <w:tcW w:w="7290" w:type="dxa"/>
            <w:shd w:val="clear" w:color="auto" w:fill="auto"/>
            <w:noWrap/>
            <w:vAlign w:val="center"/>
            <w:hideMark/>
          </w:tcPr>
          <w:p w14:paraId="72C9C420" w14:textId="77777777" w:rsidR="00170E4B" w:rsidRPr="00170E4B" w:rsidRDefault="00170E4B" w:rsidP="00170E4B">
            <w:pPr>
              <w:spacing w:after="0" w:line="240" w:lineRule="auto"/>
              <w:ind w:left="345"/>
              <w:jc w:val="left"/>
              <w:rPr>
                <w:rFonts w:eastAsia="Times New Roman" w:cs="Calibri"/>
              </w:rPr>
            </w:pPr>
            <w:r w:rsidRPr="00170E4B">
              <w:rPr>
                <w:rFonts w:eastAsia="Times New Roman" w:cs="Calibri"/>
                <w:sz w:val="22"/>
                <w:szCs w:val="22"/>
              </w:rPr>
              <w:t>Վերակառուցման և Զարգացման Միջազգային Բանկ (IBRD)</w:t>
            </w:r>
          </w:p>
        </w:tc>
        <w:tc>
          <w:tcPr>
            <w:tcW w:w="1350" w:type="dxa"/>
            <w:shd w:val="clear" w:color="auto" w:fill="auto"/>
            <w:noWrap/>
            <w:vAlign w:val="center"/>
            <w:hideMark/>
          </w:tcPr>
          <w:p w14:paraId="4175FCD5"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17.8</w:t>
            </w:r>
          </w:p>
        </w:tc>
        <w:tc>
          <w:tcPr>
            <w:tcW w:w="1396" w:type="dxa"/>
            <w:shd w:val="clear" w:color="auto" w:fill="auto"/>
            <w:noWrap/>
            <w:vAlign w:val="center"/>
            <w:hideMark/>
          </w:tcPr>
          <w:p w14:paraId="66713EEF"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17.1</w:t>
            </w:r>
          </w:p>
        </w:tc>
      </w:tr>
      <w:tr w:rsidR="00170E4B" w:rsidRPr="00170E4B" w14:paraId="568180AD" w14:textId="77777777" w:rsidTr="002F56CA">
        <w:trPr>
          <w:trHeight w:val="411"/>
        </w:trPr>
        <w:tc>
          <w:tcPr>
            <w:tcW w:w="7290" w:type="dxa"/>
            <w:shd w:val="clear" w:color="auto" w:fill="auto"/>
            <w:noWrap/>
            <w:vAlign w:val="center"/>
            <w:hideMark/>
          </w:tcPr>
          <w:p w14:paraId="036EBC86" w14:textId="77777777" w:rsidR="00170E4B" w:rsidRPr="00170E4B" w:rsidRDefault="00170E4B" w:rsidP="00170E4B">
            <w:pPr>
              <w:spacing w:after="0" w:line="240" w:lineRule="auto"/>
              <w:ind w:left="345"/>
              <w:jc w:val="left"/>
              <w:rPr>
                <w:rFonts w:eastAsia="Times New Roman" w:cs="Calibri"/>
                <w:lang w:val="en-US"/>
              </w:rPr>
            </w:pPr>
            <w:r w:rsidRPr="00170E4B">
              <w:rPr>
                <w:rFonts w:eastAsia="Times New Roman" w:cs="Calibri"/>
                <w:sz w:val="22"/>
                <w:szCs w:val="22"/>
                <w:lang w:val="en-US"/>
              </w:rPr>
              <w:t>Զարգացման Միջազգային Ընկերակցություն (IDA)</w:t>
            </w:r>
          </w:p>
        </w:tc>
        <w:tc>
          <w:tcPr>
            <w:tcW w:w="1350" w:type="dxa"/>
            <w:shd w:val="clear" w:color="auto" w:fill="auto"/>
            <w:noWrap/>
            <w:vAlign w:val="center"/>
            <w:hideMark/>
          </w:tcPr>
          <w:p w14:paraId="4A432038"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23.5</w:t>
            </w:r>
          </w:p>
        </w:tc>
        <w:tc>
          <w:tcPr>
            <w:tcW w:w="1396" w:type="dxa"/>
            <w:shd w:val="clear" w:color="auto" w:fill="auto"/>
            <w:noWrap/>
            <w:vAlign w:val="center"/>
            <w:hideMark/>
          </w:tcPr>
          <w:p w14:paraId="0C37DF63"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21.6</w:t>
            </w:r>
          </w:p>
        </w:tc>
      </w:tr>
      <w:tr w:rsidR="00170E4B" w:rsidRPr="00170E4B" w14:paraId="2D955905" w14:textId="77777777" w:rsidTr="002F56CA">
        <w:trPr>
          <w:trHeight w:val="417"/>
        </w:trPr>
        <w:tc>
          <w:tcPr>
            <w:tcW w:w="7290" w:type="dxa"/>
            <w:shd w:val="clear" w:color="auto" w:fill="auto"/>
            <w:noWrap/>
            <w:vAlign w:val="center"/>
            <w:hideMark/>
          </w:tcPr>
          <w:p w14:paraId="41325107" w14:textId="77777777" w:rsidR="00170E4B" w:rsidRPr="00170E4B" w:rsidRDefault="00170E4B" w:rsidP="00170E4B">
            <w:pPr>
              <w:spacing w:after="0" w:line="240" w:lineRule="auto"/>
              <w:ind w:left="345"/>
              <w:jc w:val="left"/>
              <w:rPr>
                <w:rFonts w:eastAsia="Times New Roman" w:cs="Calibri"/>
              </w:rPr>
            </w:pPr>
            <w:r w:rsidRPr="00170E4B">
              <w:rPr>
                <w:rFonts w:eastAsia="Times New Roman" w:cs="Calibri"/>
                <w:sz w:val="22"/>
                <w:szCs w:val="22"/>
              </w:rPr>
              <w:t>Վերակառուցման և Զարգացման Եվրոպական Բանկ (EBRD)</w:t>
            </w:r>
          </w:p>
        </w:tc>
        <w:tc>
          <w:tcPr>
            <w:tcW w:w="1350" w:type="dxa"/>
            <w:shd w:val="clear" w:color="auto" w:fill="auto"/>
            <w:noWrap/>
            <w:vAlign w:val="center"/>
            <w:hideMark/>
          </w:tcPr>
          <w:p w14:paraId="425B4DC3"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0.4</w:t>
            </w:r>
          </w:p>
        </w:tc>
        <w:tc>
          <w:tcPr>
            <w:tcW w:w="1396" w:type="dxa"/>
            <w:shd w:val="clear" w:color="auto" w:fill="auto"/>
            <w:noWrap/>
            <w:vAlign w:val="center"/>
            <w:hideMark/>
          </w:tcPr>
          <w:p w14:paraId="43C311F9"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0.5</w:t>
            </w:r>
          </w:p>
        </w:tc>
      </w:tr>
      <w:tr w:rsidR="00170E4B" w:rsidRPr="00170E4B" w14:paraId="3553813C" w14:textId="77777777" w:rsidTr="002F56CA">
        <w:trPr>
          <w:trHeight w:val="424"/>
        </w:trPr>
        <w:tc>
          <w:tcPr>
            <w:tcW w:w="7290" w:type="dxa"/>
            <w:shd w:val="clear" w:color="auto" w:fill="auto"/>
            <w:noWrap/>
            <w:vAlign w:val="center"/>
            <w:hideMark/>
          </w:tcPr>
          <w:p w14:paraId="5584ED4E" w14:textId="77777777" w:rsidR="00170E4B" w:rsidRPr="00170E4B" w:rsidRDefault="00170E4B" w:rsidP="00170E4B">
            <w:pPr>
              <w:spacing w:after="0" w:line="240" w:lineRule="auto"/>
              <w:ind w:left="345"/>
              <w:jc w:val="left"/>
              <w:rPr>
                <w:rFonts w:eastAsia="Times New Roman" w:cs="Calibri"/>
                <w:lang w:val="en-US"/>
              </w:rPr>
            </w:pPr>
            <w:r w:rsidRPr="00170E4B">
              <w:rPr>
                <w:rFonts w:eastAsia="Times New Roman" w:cs="Calibri"/>
                <w:sz w:val="22"/>
                <w:szCs w:val="22"/>
                <w:lang w:val="en-US"/>
              </w:rPr>
              <w:t>Եվրոպական Ներդրումային Բանկ (EIB)</w:t>
            </w:r>
          </w:p>
        </w:tc>
        <w:tc>
          <w:tcPr>
            <w:tcW w:w="1350" w:type="dxa"/>
            <w:shd w:val="clear" w:color="auto" w:fill="auto"/>
            <w:noWrap/>
            <w:vAlign w:val="center"/>
            <w:hideMark/>
          </w:tcPr>
          <w:p w14:paraId="6790B707"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2.7</w:t>
            </w:r>
          </w:p>
        </w:tc>
        <w:tc>
          <w:tcPr>
            <w:tcW w:w="1396" w:type="dxa"/>
            <w:shd w:val="clear" w:color="auto" w:fill="auto"/>
            <w:noWrap/>
            <w:vAlign w:val="center"/>
            <w:hideMark/>
          </w:tcPr>
          <w:p w14:paraId="35CA84C0"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2.8</w:t>
            </w:r>
          </w:p>
        </w:tc>
      </w:tr>
      <w:tr w:rsidR="00170E4B" w:rsidRPr="00170E4B" w14:paraId="586370A5" w14:textId="77777777" w:rsidTr="002F56CA">
        <w:trPr>
          <w:trHeight w:val="416"/>
        </w:trPr>
        <w:tc>
          <w:tcPr>
            <w:tcW w:w="7290" w:type="dxa"/>
            <w:shd w:val="clear" w:color="auto" w:fill="auto"/>
            <w:noWrap/>
            <w:vAlign w:val="center"/>
            <w:hideMark/>
          </w:tcPr>
          <w:p w14:paraId="5F919936" w14:textId="77777777" w:rsidR="00170E4B" w:rsidRPr="00170E4B" w:rsidRDefault="00170E4B" w:rsidP="00170E4B">
            <w:pPr>
              <w:spacing w:after="0" w:line="240" w:lineRule="auto"/>
              <w:ind w:left="345"/>
              <w:jc w:val="left"/>
              <w:rPr>
                <w:rFonts w:eastAsia="Times New Roman" w:cs="Calibri"/>
              </w:rPr>
            </w:pPr>
            <w:r w:rsidRPr="00170E4B">
              <w:rPr>
                <w:rFonts w:eastAsia="Times New Roman" w:cs="Calibri"/>
                <w:sz w:val="22"/>
                <w:szCs w:val="22"/>
              </w:rPr>
              <w:t>Գյուղ. Զարգացման Միջազգային Հիմնադրամ (IFAD)</w:t>
            </w:r>
          </w:p>
        </w:tc>
        <w:tc>
          <w:tcPr>
            <w:tcW w:w="1350" w:type="dxa"/>
            <w:shd w:val="clear" w:color="auto" w:fill="auto"/>
            <w:noWrap/>
            <w:vAlign w:val="center"/>
            <w:hideMark/>
          </w:tcPr>
          <w:p w14:paraId="6FAF9238"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1.5</w:t>
            </w:r>
          </w:p>
        </w:tc>
        <w:tc>
          <w:tcPr>
            <w:tcW w:w="1396" w:type="dxa"/>
            <w:shd w:val="clear" w:color="auto" w:fill="auto"/>
            <w:noWrap/>
            <w:vAlign w:val="center"/>
            <w:hideMark/>
          </w:tcPr>
          <w:p w14:paraId="3D8953DF"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1.4</w:t>
            </w:r>
          </w:p>
        </w:tc>
      </w:tr>
      <w:tr w:rsidR="00170E4B" w:rsidRPr="00170E4B" w14:paraId="4A5CC93C" w14:textId="77777777" w:rsidTr="002F56CA">
        <w:trPr>
          <w:trHeight w:val="407"/>
        </w:trPr>
        <w:tc>
          <w:tcPr>
            <w:tcW w:w="7290" w:type="dxa"/>
            <w:shd w:val="clear" w:color="auto" w:fill="auto"/>
            <w:noWrap/>
            <w:vAlign w:val="center"/>
            <w:hideMark/>
          </w:tcPr>
          <w:p w14:paraId="79E55396" w14:textId="77777777" w:rsidR="00170E4B" w:rsidRPr="00170E4B" w:rsidRDefault="00170E4B" w:rsidP="00170E4B">
            <w:pPr>
              <w:spacing w:after="0" w:line="240" w:lineRule="auto"/>
              <w:ind w:left="345"/>
              <w:jc w:val="left"/>
              <w:rPr>
                <w:rFonts w:eastAsia="Times New Roman" w:cs="Calibri"/>
              </w:rPr>
            </w:pPr>
            <w:r w:rsidRPr="00170E4B">
              <w:rPr>
                <w:rFonts w:eastAsia="Times New Roman" w:cs="Calibri"/>
                <w:sz w:val="22"/>
                <w:szCs w:val="22"/>
              </w:rPr>
              <w:t>ՕՊԵԿ-ի Միջազգային Զարգացման Հիմնադրամ (OFID)</w:t>
            </w:r>
          </w:p>
        </w:tc>
        <w:tc>
          <w:tcPr>
            <w:tcW w:w="1350" w:type="dxa"/>
            <w:shd w:val="clear" w:color="auto" w:fill="auto"/>
            <w:noWrap/>
            <w:vAlign w:val="center"/>
            <w:hideMark/>
          </w:tcPr>
          <w:p w14:paraId="6DC4A60A"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1.3</w:t>
            </w:r>
          </w:p>
        </w:tc>
        <w:tc>
          <w:tcPr>
            <w:tcW w:w="1396" w:type="dxa"/>
            <w:shd w:val="clear" w:color="auto" w:fill="auto"/>
            <w:noWrap/>
            <w:vAlign w:val="center"/>
            <w:hideMark/>
          </w:tcPr>
          <w:p w14:paraId="2C22B3E9"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1.1</w:t>
            </w:r>
          </w:p>
        </w:tc>
      </w:tr>
      <w:tr w:rsidR="00170E4B" w:rsidRPr="00170E4B" w14:paraId="329C15DD" w14:textId="77777777" w:rsidTr="002F56CA">
        <w:trPr>
          <w:trHeight w:val="427"/>
        </w:trPr>
        <w:tc>
          <w:tcPr>
            <w:tcW w:w="7290" w:type="dxa"/>
            <w:shd w:val="clear" w:color="auto" w:fill="auto"/>
            <w:noWrap/>
            <w:vAlign w:val="center"/>
            <w:hideMark/>
          </w:tcPr>
          <w:p w14:paraId="64A0E999" w14:textId="77777777" w:rsidR="00170E4B" w:rsidRPr="00170E4B" w:rsidRDefault="00170E4B" w:rsidP="00170E4B">
            <w:pPr>
              <w:spacing w:after="0" w:line="240" w:lineRule="auto"/>
              <w:ind w:left="345"/>
              <w:jc w:val="left"/>
              <w:rPr>
                <w:rFonts w:eastAsia="Times New Roman" w:cs="Calibri"/>
                <w:lang w:val="en-US"/>
              </w:rPr>
            </w:pPr>
            <w:r w:rsidRPr="00170E4B">
              <w:rPr>
                <w:rFonts w:eastAsia="Times New Roman" w:cs="Calibri"/>
                <w:sz w:val="22"/>
                <w:szCs w:val="22"/>
                <w:lang w:val="en-US"/>
              </w:rPr>
              <w:t>Ասիական Զարգացման Բանկ (ADB)</w:t>
            </w:r>
          </w:p>
        </w:tc>
        <w:tc>
          <w:tcPr>
            <w:tcW w:w="1350" w:type="dxa"/>
            <w:shd w:val="clear" w:color="auto" w:fill="auto"/>
            <w:noWrap/>
            <w:vAlign w:val="center"/>
            <w:hideMark/>
          </w:tcPr>
          <w:p w14:paraId="0C2E7484"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17.9</w:t>
            </w:r>
          </w:p>
        </w:tc>
        <w:tc>
          <w:tcPr>
            <w:tcW w:w="1396" w:type="dxa"/>
            <w:shd w:val="clear" w:color="auto" w:fill="auto"/>
            <w:noWrap/>
            <w:vAlign w:val="center"/>
            <w:hideMark/>
          </w:tcPr>
          <w:p w14:paraId="6D38AEF0"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16.8</w:t>
            </w:r>
          </w:p>
        </w:tc>
      </w:tr>
      <w:tr w:rsidR="00170E4B" w:rsidRPr="00170E4B" w14:paraId="689CBFC0" w14:textId="77777777" w:rsidTr="002F56CA">
        <w:trPr>
          <w:trHeight w:val="420"/>
        </w:trPr>
        <w:tc>
          <w:tcPr>
            <w:tcW w:w="7290" w:type="dxa"/>
            <w:shd w:val="clear" w:color="auto" w:fill="auto"/>
            <w:noWrap/>
            <w:vAlign w:val="center"/>
            <w:hideMark/>
          </w:tcPr>
          <w:p w14:paraId="28FF8FAF" w14:textId="77777777" w:rsidR="00170E4B" w:rsidRPr="00170E4B" w:rsidRDefault="00170E4B" w:rsidP="00170E4B">
            <w:pPr>
              <w:spacing w:after="0" w:line="240" w:lineRule="auto"/>
              <w:ind w:left="345"/>
              <w:jc w:val="left"/>
              <w:rPr>
                <w:rFonts w:eastAsia="Times New Roman" w:cs="Calibri"/>
                <w:lang w:val="en-US"/>
              </w:rPr>
            </w:pPr>
            <w:r w:rsidRPr="00170E4B">
              <w:rPr>
                <w:rFonts w:eastAsia="Times New Roman" w:cs="Calibri"/>
                <w:sz w:val="22"/>
                <w:szCs w:val="22"/>
                <w:lang w:val="en-US"/>
              </w:rPr>
              <w:t>Արժույթի Միջազգային Հիմնադրամ (IMF)</w:t>
            </w:r>
          </w:p>
        </w:tc>
        <w:tc>
          <w:tcPr>
            <w:tcW w:w="1350" w:type="dxa"/>
            <w:shd w:val="clear" w:color="auto" w:fill="auto"/>
            <w:noWrap/>
            <w:vAlign w:val="center"/>
            <w:hideMark/>
          </w:tcPr>
          <w:p w14:paraId="6F380297"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1.2</w:t>
            </w:r>
          </w:p>
        </w:tc>
        <w:tc>
          <w:tcPr>
            <w:tcW w:w="1396" w:type="dxa"/>
            <w:shd w:val="clear" w:color="auto" w:fill="auto"/>
            <w:noWrap/>
            <w:vAlign w:val="center"/>
            <w:hideMark/>
          </w:tcPr>
          <w:p w14:paraId="52C848C6"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7.1</w:t>
            </w:r>
          </w:p>
        </w:tc>
      </w:tr>
      <w:tr w:rsidR="00170E4B" w:rsidRPr="00170E4B" w14:paraId="5C125816" w14:textId="77777777" w:rsidTr="002F56CA">
        <w:trPr>
          <w:trHeight w:val="412"/>
        </w:trPr>
        <w:tc>
          <w:tcPr>
            <w:tcW w:w="7290" w:type="dxa"/>
            <w:shd w:val="clear" w:color="auto" w:fill="auto"/>
            <w:noWrap/>
            <w:vAlign w:val="center"/>
            <w:hideMark/>
          </w:tcPr>
          <w:p w14:paraId="60751133" w14:textId="77777777" w:rsidR="00170E4B" w:rsidRPr="00170E4B" w:rsidRDefault="00170E4B" w:rsidP="00170E4B">
            <w:pPr>
              <w:spacing w:after="0" w:line="240" w:lineRule="auto"/>
              <w:ind w:left="345"/>
              <w:jc w:val="left"/>
              <w:rPr>
                <w:rFonts w:eastAsia="Times New Roman" w:cs="Calibri"/>
                <w:lang w:val="en-US"/>
              </w:rPr>
            </w:pPr>
            <w:r w:rsidRPr="00170E4B">
              <w:rPr>
                <w:rFonts w:eastAsia="Times New Roman" w:cs="Calibri"/>
                <w:sz w:val="22"/>
                <w:szCs w:val="22"/>
                <w:lang w:val="en-US"/>
              </w:rPr>
              <w:t>Եվրամիություն (EU)</w:t>
            </w:r>
          </w:p>
        </w:tc>
        <w:tc>
          <w:tcPr>
            <w:tcW w:w="1350" w:type="dxa"/>
            <w:shd w:val="clear" w:color="auto" w:fill="auto"/>
            <w:noWrap/>
            <w:vAlign w:val="center"/>
            <w:hideMark/>
          </w:tcPr>
          <w:p w14:paraId="0621B350"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1.7</w:t>
            </w:r>
          </w:p>
        </w:tc>
        <w:tc>
          <w:tcPr>
            <w:tcW w:w="1396" w:type="dxa"/>
            <w:shd w:val="clear" w:color="auto" w:fill="auto"/>
            <w:noWrap/>
            <w:vAlign w:val="center"/>
            <w:hideMark/>
          </w:tcPr>
          <w:p w14:paraId="55E8B91C"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1.7</w:t>
            </w:r>
          </w:p>
        </w:tc>
      </w:tr>
      <w:tr w:rsidR="00170E4B" w:rsidRPr="00170E4B" w14:paraId="06C6B4CD" w14:textId="77777777" w:rsidTr="00ED555C">
        <w:trPr>
          <w:trHeight w:val="70"/>
        </w:trPr>
        <w:tc>
          <w:tcPr>
            <w:tcW w:w="7290" w:type="dxa"/>
            <w:shd w:val="clear" w:color="auto" w:fill="auto"/>
            <w:vAlign w:val="center"/>
            <w:hideMark/>
          </w:tcPr>
          <w:p w14:paraId="46CA39EE" w14:textId="77777777" w:rsidR="00170E4B" w:rsidRPr="00170E4B" w:rsidRDefault="00170E4B" w:rsidP="00170E4B">
            <w:pPr>
              <w:spacing w:after="0" w:line="240" w:lineRule="auto"/>
              <w:ind w:left="345"/>
              <w:jc w:val="left"/>
              <w:rPr>
                <w:rFonts w:eastAsia="Times New Roman" w:cs="Calibri"/>
              </w:rPr>
            </w:pPr>
            <w:r w:rsidRPr="00170E4B">
              <w:rPr>
                <w:rFonts w:eastAsia="Times New Roman" w:cs="Calibri"/>
                <w:sz w:val="22"/>
                <w:szCs w:val="22"/>
              </w:rPr>
              <w:t>Եվրասիական Զարգացման Բանկ (Կայունացման և Զարգացման Եվրասիական Հիմնադրամի կառավարիչ)</w:t>
            </w:r>
          </w:p>
        </w:tc>
        <w:tc>
          <w:tcPr>
            <w:tcW w:w="1350" w:type="dxa"/>
            <w:shd w:val="clear" w:color="auto" w:fill="auto"/>
            <w:noWrap/>
            <w:vAlign w:val="center"/>
            <w:hideMark/>
          </w:tcPr>
          <w:p w14:paraId="571D358D" w14:textId="6884EB60"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7.</w:t>
            </w:r>
            <w:r w:rsidR="000C57DC">
              <w:rPr>
                <w:rFonts w:eastAsia="Times New Roman" w:cs="Calibri"/>
                <w:sz w:val="22"/>
                <w:szCs w:val="22"/>
                <w:lang w:val="en-US"/>
              </w:rPr>
              <w:t>2</w:t>
            </w:r>
          </w:p>
        </w:tc>
        <w:tc>
          <w:tcPr>
            <w:tcW w:w="1396" w:type="dxa"/>
            <w:shd w:val="clear" w:color="auto" w:fill="auto"/>
            <w:noWrap/>
            <w:vAlign w:val="center"/>
            <w:hideMark/>
          </w:tcPr>
          <w:p w14:paraId="169C571D"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6.8</w:t>
            </w:r>
          </w:p>
        </w:tc>
      </w:tr>
      <w:tr w:rsidR="00170E4B" w:rsidRPr="00170E4B" w14:paraId="032FA90C" w14:textId="77777777" w:rsidTr="002F56CA">
        <w:trPr>
          <w:trHeight w:val="430"/>
        </w:trPr>
        <w:tc>
          <w:tcPr>
            <w:tcW w:w="7290" w:type="dxa"/>
            <w:shd w:val="clear" w:color="auto" w:fill="auto"/>
            <w:noWrap/>
            <w:vAlign w:val="center"/>
            <w:hideMark/>
          </w:tcPr>
          <w:p w14:paraId="1012D7F8" w14:textId="77777777" w:rsidR="00170E4B" w:rsidRPr="00170E4B" w:rsidRDefault="00170E4B" w:rsidP="00170E4B">
            <w:pPr>
              <w:spacing w:after="0" w:line="240" w:lineRule="auto"/>
              <w:ind w:firstLineChars="75" w:firstLine="165"/>
              <w:jc w:val="left"/>
              <w:rPr>
                <w:rFonts w:eastAsia="Times New Roman" w:cs="Calibri"/>
                <w:b/>
                <w:lang w:val="en-US"/>
              </w:rPr>
            </w:pPr>
            <w:r w:rsidRPr="00170E4B">
              <w:rPr>
                <w:rFonts w:eastAsia="Times New Roman" w:cs="Calibri"/>
                <w:b/>
                <w:sz w:val="22"/>
                <w:szCs w:val="22"/>
                <w:lang w:val="en-US"/>
              </w:rPr>
              <w:t>Օտարերկրյա պետություններ</w:t>
            </w:r>
            <w:r w:rsidRPr="00170E4B">
              <w:rPr>
                <w:rFonts w:ascii="Calibri" w:eastAsia="Times New Roman" w:hAnsi="Calibri" w:cs="Calibri"/>
                <w:b/>
                <w:sz w:val="22"/>
                <w:szCs w:val="22"/>
                <w:lang w:val="en-US"/>
              </w:rPr>
              <w:t> </w:t>
            </w:r>
          </w:p>
        </w:tc>
        <w:tc>
          <w:tcPr>
            <w:tcW w:w="1350" w:type="dxa"/>
            <w:shd w:val="clear" w:color="auto" w:fill="auto"/>
            <w:noWrap/>
            <w:vAlign w:val="center"/>
            <w:hideMark/>
          </w:tcPr>
          <w:p w14:paraId="3DF4011D"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24.4</w:t>
            </w:r>
          </w:p>
        </w:tc>
        <w:tc>
          <w:tcPr>
            <w:tcW w:w="1396" w:type="dxa"/>
            <w:shd w:val="clear" w:color="auto" w:fill="auto"/>
            <w:noWrap/>
            <w:vAlign w:val="center"/>
            <w:hideMark/>
          </w:tcPr>
          <w:p w14:paraId="54DB7BF8"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22.6</w:t>
            </w:r>
          </w:p>
        </w:tc>
      </w:tr>
      <w:tr w:rsidR="00170E4B" w:rsidRPr="00170E4B" w14:paraId="4126F869" w14:textId="77777777" w:rsidTr="002F56CA">
        <w:trPr>
          <w:trHeight w:val="408"/>
        </w:trPr>
        <w:tc>
          <w:tcPr>
            <w:tcW w:w="7290" w:type="dxa"/>
            <w:shd w:val="clear" w:color="auto" w:fill="auto"/>
            <w:noWrap/>
            <w:vAlign w:val="center"/>
            <w:hideMark/>
          </w:tcPr>
          <w:p w14:paraId="5674DD91" w14:textId="77777777" w:rsidR="00170E4B" w:rsidRPr="00170E4B" w:rsidRDefault="00170E4B" w:rsidP="00170E4B">
            <w:pPr>
              <w:spacing w:after="0" w:line="240" w:lineRule="auto"/>
              <w:ind w:firstLine="345"/>
              <w:rPr>
                <w:rFonts w:eastAsia="Times New Roman" w:cs="Calibri"/>
                <w:lang w:val="en-US"/>
              </w:rPr>
            </w:pPr>
            <w:r w:rsidRPr="00170E4B">
              <w:rPr>
                <w:rFonts w:eastAsia="Times New Roman" w:cs="Calibri"/>
                <w:sz w:val="22"/>
                <w:szCs w:val="22"/>
                <w:lang w:val="en-US"/>
              </w:rPr>
              <w:t>որից`</w:t>
            </w:r>
          </w:p>
        </w:tc>
        <w:tc>
          <w:tcPr>
            <w:tcW w:w="1350" w:type="dxa"/>
            <w:shd w:val="clear" w:color="auto" w:fill="auto"/>
            <w:noWrap/>
            <w:vAlign w:val="center"/>
            <w:hideMark/>
          </w:tcPr>
          <w:p w14:paraId="5C64E3F6" w14:textId="77777777" w:rsidR="00170E4B" w:rsidRPr="00170E4B" w:rsidRDefault="00170E4B" w:rsidP="00170E4B">
            <w:pPr>
              <w:spacing w:after="0" w:line="240" w:lineRule="auto"/>
              <w:jc w:val="center"/>
              <w:rPr>
                <w:rFonts w:eastAsia="Times New Roman" w:cs="Calibri"/>
                <w:lang w:val="en-US"/>
              </w:rPr>
            </w:pPr>
          </w:p>
        </w:tc>
        <w:tc>
          <w:tcPr>
            <w:tcW w:w="1396" w:type="dxa"/>
            <w:shd w:val="clear" w:color="auto" w:fill="auto"/>
            <w:noWrap/>
            <w:vAlign w:val="center"/>
            <w:hideMark/>
          </w:tcPr>
          <w:p w14:paraId="258A2E82" w14:textId="77777777" w:rsidR="00170E4B" w:rsidRPr="00170E4B" w:rsidRDefault="00170E4B" w:rsidP="00170E4B">
            <w:pPr>
              <w:spacing w:after="0" w:line="240" w:lineRule="auto"/>
              <w:jc w:val="center"/>
              <w:rPr>
                <w:rFonts w:eastAsia="Times New Roman" w:cs="Calibri"/>
                <w:lang w:val="en-US"/>
              </w:rPr>
            </w:pPr>
          </w:p>
        </w:tc>
      </w:tr>
      <w:tr w:rsidR="00170E4B" w:rsidRPr="00170E4B" w14:paraId="16D6B3B3" w14:textId="77777777" w:rsidTr="002F56CA">
        <w:trPr>
          <w:trHeight w:val="400"/>
        </w:trPr>
        <w:tc>
          <w:tcPr>
            <w:tcW w:w="7290" w:type="dxa"/>
            <w:shd w:val="clear" w:color="auto" w:fill="auto"/>
            <w:noWrap/>
            <w:vAlign w:val="center"/>
            <w:hideMark/>
          </w:tcPr>
          <w:p w14:paraId="0F149D0E"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Ռուսաստանի Դաշնություն (RF)</w:t>
            </w:r>
          </w:p>
        </w:tc>
        <w:tc>
          <w:tcPr>
            <w:tcW w:w="1350" w:type="dxa"/>
            <w:shd w:val="clear" w:color="auto" w:fill="auto"/>
            <w:noWrap/>
            <w:vAlign w:val="center"/>
            <w:hideMark/>
          </w:tcPr>
          <w:p w14:paraId="24D9CB73"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9.2</w:t>
            </w:r>
          </w:p>
        </w:tc>
        <w:tc>
          <w:tcPr>
            <w:tcW w:w="1396" w:type="dxa"/>
            <w:shd w:val="clear" w:color="auto" w:fill="auto"/>
            <w:noWrap/>
            <w:vAlign w:val="center"/>
            <w:hideMark/>
          </w:tcPr>
          <w:p w14:paraId="525EB871"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7.9</w:t>
            </w:r>
          </w:p>
        </w:tc>
      </w:tr>
      <w:tr w:rsidR="00170E4B" w:rsidRPr="00170E4B" w14:paraId="0E7C8E76" w14:textId="77777777" w:rsidTr="002F56CA">
        <w:trPr>
          <w:trHeight w:val="433"/>
        </w:trPr>
        <w:tc>
          <w:tcPr>
            <w:tcW w:w="7290" w:type="dxa"/>
            <w:shd w:val="clear" w:color="auto" w:fill="auto"/>
            <w:noWrap/>
            <w:vAlign w:val="center"/>
            <w:hideMark/>
          </w:tcPr>
          <w:p w14:paraId="45B89C0A"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Գերմանիա (KfW)</w:t>
            </w:r>
          </w:p>
        </w:tc>
        <w:tc>
          <w:tcPr>
            <w:tcW w:w="1350" w:type="dxa"/>
            <w:shd w:val="clear" w:color="auto" w:fill="auto"/>
            <w:noWrap/>
            <w:vAlign w:val="center"/>
            <w:hideMark/>
          </w:tcPr>
          <w:p w14:paraId="56470672"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5.9</w:t>
            </w:r>
          </w:p>
        </w:tc>
        <w:tc>
          <w:tcPr>
            <w:tcW w:w="1396" w:type="dxa"/>
            <w:shd w:val="clear" w:color="auto" w:fill="auto"/>
            <w:noWrap/>
            <w:vAlign w:val="center"/>
            <w:hideMark/>
          </w:tcPr>
          <w:p w14:paraId="7DCF22F2"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5.9</w:t>
            </w:r>
          </w:p>
        </w:tc>
      </w:tr>
      <w:tr w:rsidR="00170E4B" w:rsidRPr="00170E4B" w14:paraId="57B84379" w14:textId="77777777" w:rsidTr="002F56CA">
        <w:trPr>
          <w:trHeight w:val="411"/>
        </w:trPr>
        <w:tc>
          <w:tcPr>
            <w:tcW w:w="7290" w:type="dxa"/>
            <w:shd w:val="clear" w:color="auto" w:fill="auto"/>
            <w:noWrap/>
            <w:vAlign w:val="center"/>
            <w:hideMark/>
          </w:tcPr>
          <w:p w14:paraId="5B71F1BF"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Ֆրանսիա (France)</w:t>
            </w:r>
          </w:p>
        </w:tc>
        <w:tc>
          <w:tcPr>
            <w:tcW w:w="1350" w:type="dxa"/>
            <w:shd w:val="clear" w:color="auto" w:fill="auto"/>
            <w:noWrap/>
            <w:vAlign w:val="center"/>
            <w:hideMark/>
          </w:tcPr>
          <w:p w14:paraId="3D542506"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3.0</w:t>
            </w:r>
          </w:p>
        </w:tc>
        <w:tc>
          <w:tcPr>
            <w:tcW w:w="1396" w:type="dxa"/>
            <w:shd w:val="clear" w:color="auto" w:fill="auto"/>
            <w:noWrap/>
            <w:vAlign w:val="center"/>
            <w:hideMark/>
          </w:tcPr>
          <w:p w14:paraId="601D1B96" w14:textId="08882DDC"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3.</w:t>
            </w:r>
            <w:r w:rsidR="000C57DC">
              <w:rPr>
                <w:rFonts w:eastAsia="Times New Roman" w:cs="Calibri"/>
                <w:sz w:val="22"/>
                <w:szCs w:val="22"/>
                <w:lang w:val="en-US"/>
              </w:rPr>
              <w:t>1</w:t>
            </w:r>
          </w:p>
        </w:tc>
      </w:tr>
      <w:tr w:rsidR="00170E4B" w:rsidRPr="00170E4B" w14:paraId="7C894377" w14:textId="77777777" w:rsidTr="002F56CA">
        <w:trPr>
          <w:trHeight w:val="404"/>
        </w:trPr>
        <w:tc>
          <w:tcPr>
            <w:tcW w:w="7290" w:type="dxa"/>
            <w:shd w:val="clear" w:color="auto" w:fill="auto"/>
            <w:noWrap/>
            <w:vAlign w:val="center"/>
            <w:hideMark/>
          </w:tcPr>
          <w:p w14:paraId="53016E12"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ԱՄՆ (USA)</w:t>
            </w:r>
          </w:p>
        </w:tc>
        <w:tc>
          <w:tcPr>
            <w:tcW w:w="1350" w:type="dxa"/>
            <w:shd w:val="clear" w:color="auto" w:fill="auto"/>
            <w:noWrap/>
            <w:vAlign w:val="center"/>
            <w:hideMark/>
          </w:tcPr>
          <w:p w14:paraId="78E87EB4"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0.4</w:t>
            </w:r>
          </w:p>
        </w:tc>
        <w:tc>
          <w:tcPr>
            <w:tcW w:w="1396" w:type="dxa"/>
            <w:shd w:val="clear" w:color="auto" w:fill="auto"/>
            <w:noWrap/>
            <w:vAlign w:val="center"/>
            <w:hideMark/>
          </w:tcPr>
          <w:p w14:paraId="0A51BB40"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0.3</w:t>
            </w:r>
          </w:p>
        </w:tc>
      </w:tr>
      <w:tr w:rsidR="00170E4B" w:rsidRPr="00170E4B" w14:paraId="6483A384" w14:textId="77777777" w:rsidTr="002F56CA">
        <w:trPr>
          <w:trHeight w:val="424"/>
        </w:trPr>
        <w:tc>
          <w:tcPr>
            <w:tcW w:w="7290" w:type="dxa"/>
            <w:shd w:val="clear" w:color="auto" w:fill="auto"/>
            <w:noWrap/>
            <w:vAlign w:val="center"/>
            <w:hideMark/>
          </w:tcPr>
          <w:p w14:paraId="38EE156E"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Ճապոնիա (JICA)</w:t>
            </w:r>
          </w:p>
        </w:tc>
        <w:tc>
          <w:tcPr>
            <w:tcW w:w="1350" w:type="dxa"/>
            <w:shd w:val="clear" w:color="auto" w:fill="auto"/>
            <w:noWrap/>
            <w:vAlign w:val="center"/>
            <w:hideMark/>
          </w:tcPr>
          <w:p w14:paraId="20B8F7B4" w14:textId="112E0F3F"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5.</w:t>
            </w:r>
            <w:r w:rsidR="000C57DC">
              <w:rPr>
                <w:rFonts w:eastAsia="Times New Roman" w:cs="Calibri"/>
                <w:sz w:val="22"/>
                <w:szCs w:val="22"/>
                <w:lang w:val="en-US"/>
              </w:rPr>
              <w:t>2</w:t>
            </w:r>
          </w:p>
        </w:tc>
        <w:tc>
          <w:tcPr>
            <w:tcW w:w="1396" w:type="dxa"/>
            <w:shd w:val="clear" w:color="auto" w:fill="auto"/>
            <w:noWrap/>
            <w:vAlign w:val="center"/>
            <w:hideMark/>
          </w:tcPr>
          <w:p w14:paraId="73036697"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4.9</w:t>
            </w:r>
          </w:p>
        </w:tc>
      </w:tr>
      <w:tr w:rsidR="00170E4B" w:rsidRPr="00170E4B" w14:paraId="03300453" w14:textId="77777777" w:rsidTr="002F56CA">
        <w:trPr>
          <w:trHeight w:val="415"/>
        </w:trPr>
        <w:tc>
          <w:tcPr>
            <w:tcW w:w="7290" w:type="dxa"/>
            <w:shd w:val="clear" w:color="auto" w:fill="auto"/>
            <w:noWrap/>
            <w:vAlign w:val="center"/>
            <w:hideMark/>
          </w:tcPr>
          <w:p w14:paraId="2924F81D"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Աբու-Դաբիի Զարգացման Հիմնադրամ</w:t>
            </w:r>
          </w:p>
        </w:tc>
        <w:tc>
          <w:tcPr>
            <w:tcW w:w="1350" w:type="dxa"/>
            <w:shd w:val="clear" w:color="auto" w:fill="auto"/>
            <w:noWrap/>
            <w:vAlign w:val="center"/>
            <w:hideMark/>
          </w:tcPr>
          <w:p w14:paraId="0A4F3F5D"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0.1</w:t>
            </w:r>
          </w:p>
        </w:tc>
        <w:tc>
          <w:tcPr>
            <w:tcW w:w="1396" w:type="dxa"/>
            <w:shd w:val="clear" w:color="auto" w:fill="auto"/>
            <w:noWrap/>
            <w:vAlign w:val="center"/>
            <w:hideMark/>
          </w:tcPr>
          <w:p w14:paraId="1D3E898F"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0.1</w:t>
            </w:r>
          </w:p>
        </w:tc>
      </w:tr>
      <w:tr w:rsidR="00170E4B" w:rsidRPr="00170E4B" w14:paraId="14676D37" w14:textId="77777777" w:rsidTr="002F56CA">
        <w:trPr>
          <w:trHeight w:val="421"/>
        </w:trPr>
        <w:tc>
          <w:tcPr>
            <w:tcW w:w="7290" w:type="dxa"/>
            <w:shd w:val="clear" w:color="auto" w:fill="auto"/>
            <w:noWrap/>
            <w:vAlign w:val="center"/>
            <w:hideMark/>
          </w:tcPr>
          <w:p w14:paraId="6422A1AB"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Չինաստանի Արտահանման-Ներմուծման Բանկ</w:t>
            </w:r>
          </w:p>
        </w:tc>
        <w:tc>
          <w:tcPr>
            <w:tcW w:w="1350" w:type="dxa"/>
            <w:shd w:val="clear" w:color="auto" w:fill="auto"/>
            <w:noWrap/>
            <w:vAlign w:val="center"/>
            <w:hideMark/>
          </w:tcPr>
          <w:p w14:paraId="1FA0FBD6"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0.5</w:t>
            </w:r>
          </w:p>
        </w:tc>
        <w:tc>
          <w:tcPr>
            <w:tcW w:w="1396" w:type="dxa"/>
            <w:shd w:val="clear" w:color="auto" w:fill="auto"/>
            <w:noWrap/>
            <w:vAlign w:val="center"/>
            <w:hideMark/>
          </w:tcPr>
          <w:p w14:paraId="7DE9FBA2"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0.5</w:t>
            </w:r>
          </w:p>
        </w:tc>
      </w:tr>
      <w:tr w:rsidR="00170E4B" w:rsidRPr="00170E4B" w14:paraId="77345CC9" w14:textId="77777777" w:rsidTr="002F56CA">
        <w:trPr>
          <w:trHeight w:val="556"/>
        </w:trPr>
        <w:tc>
          <w:tcPr>
            <w:tcW w:w="7290" w:type="dxa"/>
            <w:shd w:val="clear" w:color="auto" w:fill="auto"/>
            <w:noWrap/>
            <w:vAlign w:val="center"/>
            <w:hideMark/>
          </w:tcPr>
          <w:p w14:paraId="5ED59817" w14:textId="77777777" w:rsidR="00170E4B" w:rsidRPr="00170E4B" w:rsidRDefault="00170E4B" w:rsidP="00170E4B">
            <w:pPr>
              <w:spacing w:after="0" w:line="240" w:lineRule="auto"/>
              <w:ind w:firstLineChars="75" w:firstLine="165"/>
              <w:jc w:val="left"/>
              <w:rPr>
                <w:rFonts w:eastAsia="Times New Roman" w:cs="Calibri"/>
                <w:b/>
                <w:lang w:val="en-US"/>
              </w:rPr>
            </w:pPr>
            <w:r w:rsidRPr="00170E4B">
              <w:rPr>
                <w:rFonts w:eastAsia="Times New Roman" w:cs="Calibri"/>
                <w:b/>
                <w:sz w:val="22"/>
                <w:szCs w:val="22"/>
                <w:lang w:val="en-US"/>
              </w:rPr>
              <w:t>Առևտրային բանկեր</w:t>
            </w:r>
          </w:p>
        </w:tc>
        <w:tc>
          <w:tcPr>
            <w:tcW w:w="1350" w:type="dxa"/>
            <w:shd w:val="clear" w:color="auto" w:fill="auto"/>
            <w:noWrap/>
            <w:vAlign w:val="center"/>
            <w:hideMark/>
          </w:tcPr>
          <w:p w14:paraId="4338A4A3"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0.5</w:t>
            </w:r>
          </w:p>
        </w:tc>
        <w:tc>
          <w:tcPr>
            <w:tcW w:w="1396" w:type="dxa"/>
            <w:shd w:val="clear" w:color="auto" w:fill="auto"/>
            <w:noWrap/>
            <w:vAlign w:val="center"/>
            <w:hideMark/>
          </w:tcPr>
          <w:p w14:paraId="6F10EBD6" w14:textId="77777777" w:rsidR="00170E4B" w:rsidRPr="00170E4B" w:rsidRDefault="00170E4B" w:rsidP="00170E4B">
            <w:pPr>
              <w:spacing w:after="0" w:line="240" w:lineRule="auto"/>
              <w:jc w:val="center"/>
              <w:rPr>
                <w:rFonts w:eastAsia="Times New Roman" w:cs="Calibri"/>
                <w:b/>
                <w:lang w:val="en-US"/>
              </w:rPr>
            </w:pPr>
            <w:r w:rsidRPr="00170E4B">
              <w:rPr>
                <w:rFonts w:eastAsia="Times New Roman" w:cs="Calibri"/>
                <w:b/>
                <w:sz w:val="22"/>
                <w:szCs w:val="22"/>
                <w:lang w:val="en-US"/>
              </w:rPr>
              <w:t>0.5</w:t>
            </w:r>
          </w:p>
        </w:tc>
      </w:tr>
      <w:tr w:rsidR="00170E4B" w:rsidRPr="00170E4B" w14:paraId="50B29E4E" w14:textId="77777777" w:rsidTr="002F56CA">
        <w:trPr>
          <w:trHeight w:val="408"/>
        </w:trPr>
        <w:tc>
          <w:tcPr>
            <w:tcW w:w="7290" w:type="dxa"/>
            <w:shd w:val="clear" w:color="auto" w:fill="auto"/>
            <w:noWrap/>
            <w:vAlign w:val="center"/>
            <w:hideMark/>
          </w:tcPr>
          <w:p w14:paraId="2ED88887" w14:textId="77777777" w:rsidR="00170E4B" w:rsidRPr="00170E4B" w:rsidRDefault="00170E4B" w:rsidP="00170E4B">
            <w:pPr>
              <w:spacing w:after="0" w:line="240" w:lineRule="auto"/>
              <w:ind w:firstLine="165"/>
              <w:rPr>
                <w:rFonts w:eastAsia="Times New Roman" w:cs="Calibri"/>
                <w:lang w:val="en-US"/>
              </w:rPr>
            </w:pPr>
            <w:r w:rsidRPr="00170E4B">
              <w:rPr>
                <w:rFonts w:eastAsia="Times New Roman" w:cs="Calibri"/>
                <w:sz w:val="22"/>
                <w:szCs w:val="22"/>
                <w:lang w:val="en-US"/>
              </w:rPr>
              <w:t>որից`</w:t>
            </w:r>
          </w:p>
        </w:tc>
        <w:tc>
          <w:tcPr>
            <w:tcW w:w="1350" w:type="dxa"/>
            <w:shd w:val="clear" w:color="auto" w:fill="auto"/>
            <w:noWrap/>
            <w:vAlign w:val="center"/>
            <w:hideMark/>
          </w:tcPr>
          <w:p w14:paraId="43FA601C" w14:textId="77777777" w:rsidR="00170E4B" w:rsidRPr="00170E4B" w:rsidRDefault="00170E4B" w:rsidP="00170E4B">
            <w:pPr>
              <w:spacing w:after="0" w:line="240" w:lineRule="auto"/>
              <w:jc w:val="center"/>
              <w:rPr>
                <w:rFonts w:eastAsia="Times New Roman" w:cs="Calibri"/>
                <w:lang w:val="en-US"/>
              </w:rPr>
            </w:pPr>
          </w:p>
        </w:tc>
        <w:tc>
          <w:tcPr>
            <w:tcW w:w="1396" w:type="dxa"/>
            <w:shd w:val="clear" w:color="auto" w:fill="auto"/>
            <w:noWrap/>
            <w:vAlign w:val="center"/>
            <w:hideMark/>
          </w:tcPr>
          <w:p w14:paraId="7745ED6E" w14:textId="77777777" w:rsidR="00170E4B" w:rsidRPr="00170E4B" w:rsidRDefault="00170E4B" w:rsidP="00170E4B">
            <w:pPr>
              <w:spacing w:after="0" w:line="240" w:lineRule="auto"/>
              <w:jc w:val="center"/>
              <w:rPr>
                <w:rFonts w:eastAsia="Times New Roman" w:cs="Calibri"/>
                <w:lang w:val="en-US"/>
              </w:rPr>
            </w:pPr>
          </w:p>
        </w:tc>
      </w:tr>
      <w:tr w:rsidR="00170E4B" w:rsidRPr="00170E4B" w14:paraId="3256EF35" w14:textId="77777777" w:rsidTr="002F56CA">
        <w:trPr>
          <w:trHeight w:val="414"/>
        </w:trPr>
        <w:tc>
          <w:tcPr>
            <w:tcW w:w="7290" w:type="dxa"/>
            <w:shd w:val="clear" w:color="auto" w:fill="auto"/>
            <w:noWrap/>
            <w:vAlign w:val="center"/>
            <w:hideMark/>
          </w:tcPr>
          <w:p w14:paraId="6F6FEE39"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ԿԲՍ Բանկ (Բելգիա)</w:t>
            </w:r>
          </w:p>
        </w:tc>
        <w:tc>
          <w:tcPr>
            <w:tcW w:w="1350" w:type="dxa"/>
            <w:shd w:val="clear" w:color="auto" w:fill="auto"/>
            <w:noWrap/>
            <w:vAlign w:val="center"/>
            <w:hideMark/>
          </w:tcPr>
          <w:p w14:paraId="34130362"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0.1</w:t>
            </w:r>
          </w:p>
        </w:tc>
        <w:tc>
          <w:tcPr>
            <w:tcW w:w="1396" w:type="dxa"/>
            <w:shd w:val="clear" w:color="auto" w:fill="auto"/>
            <w:noWrap/>
            <w:vAlign w:val="center"/>
            <w:hideMark/>
          </w:tcPr>
          <w:p w14:paraId="5875980C"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0.1</w:t>
            </w:r>
          </w:p>
        </w:tc>
      </w:tr>
      <w:tr w:rsidR="00170E4B" w:rsidRPr="00170E4B" w14:paraId="35253419" w14:textId="77777777" w:rsidTr="002F56CA">
        <w:trPr>
          <w:trHeight w:val="419"/>
        </w:trPr>
        <w:tc>
          <w:tcPr>
            <w:tcW w:w="7290" w:type="dxa"/>
            <w:shd w:val="clear" w:color="auto" w:fill="auto"/>
            <w:noWrap/>
            <w:vAlign w:val="center"/>
            <w:hideMark/>
          </w:tcPr>
          <w:p w14:paraId="4C239ED7"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t>Ռայֆայզն Բանկ (Ավստրիա)</w:t>
            </w:r>
          </w:p>
        </w:tc>
        <w:tc>
          <w:tcPr>
            <w:tcW w:w="1350" w:type="dxa"/>
            <w:shd w:val="clear" w:color="auto" w:fill="auto"/>
            <w:noWrap/>
            <w:vAlign w:val="center"/>
            <w:hideMark/>
          </w:tcPr>
          <w:p w14:paraId="0D918F1A"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0.2</w:t>
            </w:r>
          </w:p>
        </w:tc>
        <w:tc>
          <w:tcPr>
            <w:tcW w:w="1396" w:type="dxa"/>
            <w:shd w:val="clear" w:color="auto" w:fill="auto"/>
            <w:noWrap/>
            <w:vAlign w:val="center"/>
            <w:hideMark/>
          </w:tcPr>
          <w:p w14:paraId="242B88A0"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0.2</w:t>
            </w:r>
          </w:p>
        </w:tc>
      </w:tr>
      <w:tr w:rsidR="00170E4B" w:rsidRPr="00170E4B" w14:paraId="69424E9A" w14:textId="77777777" w:rsidTr="002F56CA">
        <w:trPr>
          <w:trHeight w:val="412"/>
        </w:trPr>
        <w:tc>
          <w:tcPr>
            <w:tcW w:w="7290" w:type="dxa"/>
            <w:shd w:val="clear" w:color="auto" w:fill="auto"/>
            <w:noWrap/>
            <w:vAlign w:val="center"/>
            <w:hideMark/>
          </w:tcPr>
          <w:p w14:paraId="6F4C71FB" w14:textId="77777777" w:rsidR="00170E4B" w:rsidRPr="00170E4B" w:rsidRDefault="00170E4B" w:rsidP="00170E4B">
            <w:pPr>
              <w:spacing w:after="0" w:line="240" w:lineRule="auto"/>
              <w:ind w:firstLineChars="156" w:firstLine="343"/>
              <w:jc w:val="left"/>
              <w:rPr>
                <w:rFonts w:eastAsia="Times New Roman" w:cs="Calibri"/>
                <w:lang w:val="en-US"/>
              </w:rPr>
            </w:pPr>
            <w:r w:rsidRPr="00170E4B">
              <w:rPr>
                <w:rFonts w:eastAsia="Times New Roman" w:cs="Calibri"/>
                <w:sz w:val="22"/>
                <w:szCs w:val="22"/>
                <w:lang w:val="en-US"/>
              </w:rPr>
              <w:lastRenderedPageBreak/>
              <w:t>Էռստե Բանկ (Ավստրիա)</w:t>
            </w:r>
          </w:p>
        </w:tc>
        <w:tc>
          <w:tcPr>
            <w:tcW w:w="1350" w:type="dxa"/>
            <w:shd w:val="clear" w:color="auto" w:fill="auto"/>
            <w:noWrap/>
            <w:vAlign w:val="center"/>
            <w:hideMark/>
          </w:tcPr>
          <w:p w14:paraId="62BD8E49"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0.2</w:t>
            </w:r>
          </w:p>
        </w:tc>
        <w:tc>
          <w:tcPr>
            <w:tcW w:w="1396" w:type="dxa"/>
            <w:shd w:val="clear" w:color="auto" w:fill="auto"/>
            <w:noWrap/>
            <w:vAlign w:val="center"/>
            <w:hideMark/>
          </w:tcPr>
          <w:p w14:paraId="1D087A23" w14:textId="77777777" w:rsidR="00170E4B" w:rsidRPr="00170E4B" w:rsidRDefault="00170E4B" w:rsidP="00170E4B">
            <w:pPr>
              <w:spacing w:after="0" w:line="240" w:lineRule="auto"/>
              <w:jc w:val="center"/>
              <w:rPr>
                <w:rFonts w:eastAsia="Times New Roman" w:cs="Calibri"/>
                <w:lang w:val="en-US"/>
              </w:rPr>
            </w:pPr>
            <w:r w:rsidRPr="00170E4B">
              <w:rPr>
                <w:rFonts w:eastAsia="Times New Roman" w:cs="Calibri"/>
                <w:sz w:val="22"/>
                <w:szCs w:val="22"/>
                <w:lang w:val="en-US"/>
              </w:rPr>
              <w:t>0.2</w:t>
            </w:r>
          </w:p>
        </w:tc>
      </w:tr>
    </w:tbl>
    <w:p w14:paraId="2FCE6B7F" w14:textId="77777777" w:rsidR="00170E4B" w:rsidRPr="00170E4B" w:rsidRDefault="00170E4B" w:rsidP="00170E4B">
      <w:pPr>
        <w:spacing w:after="200"/>
        <w:rPr>
          <w:rFonts w:eastAsia="Times New Roman" w:cs="Times New Roman"/>
          <w:lang w:val="en-US"/>
        </w:rPr>
      </w:pPr>
    </w:p>
    <w:p w14:paraId="749164BD"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 xml:space="preserve">2020թ. </w:t>
      </w:r>
      <w:r w:rsidRPr="00170E4B">
        <w:rPr>
          <w:rFonts w:eastAsia="Times New Roman" w:cs="Times New Roman"/>
          <w:bCs/>
          <w:lang w:val="en-US"/>
        </w:rPr>
        <w:t>ինն ամսում</w:t>
      </w:r>
      <w:r w:rsidRPr="00170E4B">
        <w:rPr>
          <w:rFonts w:eastAsia="Times New Roman" w:cs="Times New Roman"/>
          <w:bCs/>
        </w:rPr>
        <w:t xml:space="preserve"> ՀՀ կառավարության պարտքի գծով վճարված տոկոսավճարները կազմել են </w:t>
      </w:r>
      <w:r w:rsidRPr="00170E4B">
        <w:rPr>
          <w:rFonts w:eastAsia="Times New Roman" w:cs="Times New Roman"/>
          <w:bCs/>
          <w:lang w:val="en-US"/>
        </w:rPr>
        <w:t>117</w:t>
      </w:r>
      <w:r w:rsidRPr="00170E4B">
        <w:rPr>
          <w:rFonts w:eastAsia="Times New Roman" w:cs="Times New Roman"/>
          <w:bCs/>
        </w:rPr>
        <w:t>.</w:t>
      </w:r>
      <w:r w:rsidRPr="00170E4B">
        <w:rPr>
          <w:rFonts w:eastAsia="Times New Roman" w:cs="Times New Roman"/>
          <w:bCs/>
          <w:lang w:val="en-US"/>
        </w:rPr>
        <w:t>7</w:t>
      </w:r>
      <w:r w:rsidRPr="00170E4B">
        <w:rPr>
          <w:rFonts w:eastAsia="Times New Roman" w:cs="Times New Roman"/>
          <w:bCs/>
        </w:rPr>
        <w:t xml:space="preserve"> մլրդ. </w:t>
      </w:r>
      <w:r w:rsidRPr="00170E4B">
        <w:rPr>
          <w:rFonts w:eastAsia="Times New Roman" w:cs="Times New Roman"/>
          <w:bCs/>
          <w:lang w:val="en-US"/>
        </w:rPr>
        <w:t>դ</w:t>
      </w:r>
      <w:r w:rsidRPr="00170E4B">
        <w:rPr>
          <w:rFonts w:eastAsia="Times New Roman" w:cs="Times New Roman"/>
          <w:bCs/>
        </w:rPr>
        <w:t>րամ</w:t>
      </w:r>
      <w:r w:rsidRPr="00170E4B">
        <w:rPr>
          <w:rFonts w:eastAsia="Times New Roman" w:cs="Times New Roman"/>
          <w:bCs/>
          <w:lang w:val="en-US"/>
        </w:rPr>
        <w:t>, ն</w:t>
      </w:r>
      <w:r w:rsidRPr="00170E4B">
        <w:rPr>
          <w:rFonts w:eastAsia="Times New Roman" w:cs="Times New Roman"/>
          <w:bCs/>
        </w:rPr>
        <w:t>երքին տոկոսավճարները</w:t>
      </w:r>
      <w:r w:rsidRPr="00170E4B">
        <w:rPr>
          <w:rFonts w:eastAsia="Times New Roman" w:cs="Times New Roman"/>
          <w:bCs/>
          <w:lang w:val="en-US"/>
        </w:rPr>
        <w:t>՝</w:t>
      </w:r>
      <w:r w:rsidRPr="00170E4B">
        <w:rPr>
          <w:rFonts w:eastAsia="Times New Roman" w:cs="Times New Roman"/>
          <w:bCs/>
        </w:rPr>
        <w:t xml:space="preserve"> </w:t>
      </w:r>
      <w:r w:rsidRPr="00170E4B">
        <w:rPr>
          <w:rFonts w:eastAsia="Times New Roman" w:cs="Times New Roman"/>
          <w:bCs/>
          <w:lang w:val="en-US"/>
        </w:rPr>
        <w:t>54</w:t>
      </w:r>
      <w:r w:rsidRPr="00170E4B">
        <w:rPr>
          <w:rFonts w:eastAsia="Times New Roman" w:cs="Times New Roman"/>
          <w:bCs/>
        </w:rPr>
        <w:t>.</w:t>
      </w:r>
      <w:r w:rsidRPr="00170E4B">
        <w:rPr>
          <w:rFonts w:eastAsia="Times New Roman" w:cs="Times New Roman"/>
          <w:bCs/>
          <w:lang w:val="en-US"/>
        </w:rPr>
        <w:t>6</w:t>
      </w:r>
      <w:r w:rsidRPr="00170E4B">
        <w:rPr>
          <w:rFonts w:eastAsia="Times New Roman" w:cs="Times New Roman"/>
          <w:bCs/>
        </w:rPr>
        <w:t xml:space="preserve"> մլրդ. դրամ, </w:t>
      </w:r>
      <w:r w:rsidRPr="00170E4B">
        <w:rPr>
          <w:rFonts w:eastAsia="Times New Roman" w:cs="Times New Roman"/>
          <w:bCs/>
          <w:lang w:val="en-US"/>
        </w:rPr>
        <w:t>ա</w:t>
      </w:r>
      <w:r w:rsidRPr="00170E4B">
        <w:rPr>
          <w:rFonts w:eastAsia="Times New Roman" w:cs="Times New Roman"/>
          <w:bCs/>
        </w:rPr>
        <w:t>րտաքին տոկոսավճարները</w:t>
      </w:r>
      <w:r w:rsidRPr="00170E4B">
        <w:rPr>
          <w:rFonts w:eastAsia="Times New Roman" w:cs="Times New Roman"/>
          <w:bCs/>
          <w:lang w:val="en-US"/>
        </w:rPr>
        <w:t>՝</w:t>
      </w:r>
      <w:r w:rsidRPr="00170E4B">
        <w:rPr>
          <w:rFonts w:eastAsia="Times New Roman" w:cs="Times New Roman"/>
          <w:bCs/>
        </w:rPr>
        <w:t xml:space="preserve"> </w:t>
      </w:r>
      <w:r w:rsidRPr="00170E4B">
        <w:rPr>
          <w:rFonts w:eastAsia="Times New Roman" w:cs="Times New Roman"/>
          <w:bCs/>
          <w:lang w:val="en-US"/>
        </w:rPr>
        <w:t>63</w:t>
      </w:r>
      <w:r w:rsidRPr="00170E4B">
        <w:rPr>
          <w:rFonts w:eastAsia="Times New Roman" w:cs="Times New Roman"/>
          <w:bCs/>
        </w:rPr>
        <w:t>.</w:t>
      </w:r>
      <w:r w:rsidRPr="00170E4B">
        <w:rPr>
          <w:rFonts w:eastAsia="Times New Roman" w:cs="Times New Roman"/>
          <w:bCs/>
          <w:lang w:val="en-US"/>
        </w:rPr>
        <w:t>1</w:t>
      </w:r>
      <w:r w:rsidRPr="00170E4B">
        <w:rPr>
          <w:rFonts w:eastAsia="Times New Roman" w:cs="Times New Roman"/>
          <w:bCs/>
        </w:rPr>
        <w:t xml:space="preserve"> մլրդ. դրամ:</w:t>
      </w:r>
    </w:p>
    <w:p w14:paraId="08D2A1FF" w14:textId="77777777" w:rsidR="00170E4B" w:rsidRPr="00170E4B" w:rsidRDefault="00170E4B" w:rsidP="00170E4B">
      <w:pPr>
        <w:spacing w:after="120"/>
        <w:ind w:firstLine="567"/>
        <w:rPr>
          <w:rFonts w:eastAsia="Times New Roman" w:cs="Times New Roman"/>
          <w:bCs/>
        </w:rPr>
      </w:pPr>
    </w:p>
    <w:p w14:paraId="139D6684" w14:textId="77777777" w:rsidR="00170E4B" w:rsidRPr="00170E4B" w:rsidRDefault="00170E4B" w:rsidP="00170E4B">
      <w:pPr>
        <w:spacing w:after="120"/>
        <w:ind w:firstLine="567"/>
        <w:rPr>
          <w:rFonts w:eastAsia="Times New Roman" w:cs="Times New Roman"/>
          <w:bCs/>
        </w:rPr>
      </w:pPr>
      <w:r w:rsidRPr="00170E4B">
        <w:rPr>
          <w:rFonts w:eastAsia="Times New Roman" w:cs="Times New Roman"/>
          <w:bCs/>
        </w:rPr>
        <w:t>2020թ. առաջին կիսամյակում ՀՀ կառավարության պարտքի գծով կատարվել են հետևյալ վճարումները.</w:t>
      </w:r>
    </w:p>
    <w:p w14:paraId="5B40A99A" w14:textId="77777777" w:rsidR="00170E4B" w:rsidRPr="00170E4B" w:rsidRDefault="00170E4B" w:rsidP="00170E4B">
      <w:pPr>
        <w:spacing w:after="0"/>
        <w:ind w:firstLine="720"/>
        <w:jc w:val="right"/>
        <w:rPr>
          <w:rFonts w:eastAsia="Times New Roman" w:cs="Times New Roman"/>
          <w:sz w:val="22"/>
          <w:szCs w:val="22"/>
        </w:rPr>
      </w:pPr>
    </w:p>
    <w:p w14:paraId="5AB76EF5" w14:textId="77777777" w:rsidR="00170E4B" w:rsidRPr="00170E4B" w:rsidRDefault="00170E4B" w:rsidP="00170E4B">
      <w:pPr>
        <w:spacing w:after="0"/>
        <w:ind w:firstLine="720"/>
        <w:jc w:val="right"/>
        <w:rPr>
          <w:rFonts w:eastAsia="Times New Roman" w:cs="Times New Roman"/>
          <w:sz w:val="22"/>
          <w:szCs w:val="22"/>
        </w:rPr>
      </w:pPr>
      <w:r w:rsidRPr="00170E4B">
        <w:rPr>
          <w:rFonts w:eastAsia="Times New Roman" w:cs="Times New Roman"/>
          <w:sz w:val="22"/>
          <w:szCs w:val="22"/>
        </w:rPr>
        <w:t>(</w:t>
      </w:r>
      <w:r w:rsidRPr="00170E4B">
        <w:rPr>
          <w:rFonts w:eastAsia="Times New Roman" w:cs="Times New Roman"/>
          <w:sz w:val="22"/>
          <w:szCs w:val="22"/>
          <w:lang w:val="en-US"/>
        </w:rPr>
        <w:t xml:space="preserve">Աղյուսակ </w:t>
      </w:r>
      <w:r w:rsidRPr="00170E4B">
        <w:rPr>
          <w:rFonts w:eastAsia="Times New Roman" w:cs="Times New Roman"/>
          <w:sz w:val="22"/>
          <w:szCs w:val="22"/>
        </w:rPr>
        <w:t>12)</w:t>
      </w:r>
    </w:p>
    <w:p w14:paraId="4A288A11" w14:textId="77777777" w:rsidR="00170E4B" w:rsidRPr="00170E4B" w:rsidRDefault="00170E4B" w:rsidP="00170E4B">
      <w:pPr>
        <w:spacing w:after="0"/>
        <w:ind w:firstLine="720"/>
        <w:jc w:val="right"/>
        <w:rPr>
          <w:rFonts w:eastAsia="Times New Roman" w:cs="Times New Roman"/>
          <w:sz w:val="22"/>
          <w:szCs w:val="22"/>
        </w:rPr>
      </w:pPr>
      <w:r w:rsidRPr="00170E4B">
        <w:rPr>
          <w:rFonts w:eastAsia="Times New Roman" w:cs="Times New Roman"/>
          <w:sz w:val="22"/>
          <w:szCs w:val="22"/>
          <w:lang w:val="ru-RU"/>
        </w:rPr>
        <w:t>մլն</w:t>
      </w:r>
      <w:r w:rsidRPr="00170E4B">
        <w:rPr>
          <w:rFonts w:eastAsia="Times New Roman" w:cs="Times New Roman"/>
          <w:sz w:val="22"/>
          <w:szCs w:val="22"/>
        </w:rPr>
        <w:t>. դրամ</w:t>
      </w:r>
    </w:p>
    <w:tbl>
      <w:tblPr>
        <w:tblW w:w="11199" w:type="dxa"/>
        <w:tblInd w:w="-572" w:type="dxa"/>
        <w:tblLayout w:type="fixed"/>
        <w:tblLook w:val="04A0" w:firstRow="1" w:lastRow="0" w:firstColumn="1" w:lastColumn="0" w:noHBand="0" w:noVBand="1"/>
      </w:tblPr>
      <w:tblGrid>
        <w:gridCol w:w="1560"/>
        <w:gridCol w:w="992"/>
        <w:gridCol w:w="851"/>
        <w:gridCol w:w="993"/>
        <w:gridCol w:w="992"/>
        <w:gridCol w:w="850"/>
        <w:gridCol w:w="851"/>
        <w:gridCol w:w="850"/>
        <w:gridCol w:w="851"/>
        <w:gridCol w:w="1133"/>
        <w:gridCol w:w="1276"/>
      </w:tblGrid>
      <w:tr w:rsidR="00170E4B" w:rsidRPr="00170E4B" w14:paraId="1A9C9893" w14:textId="77777777" w:rsidTr="002F56CA">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57895" w14:textId="77777777" w:rsidR="00170E4B" w:rsidRPr="00170E4B" w:rsidRDefault="00170E4B" w:rsidP="00170E4B">
            <w:pPr>
              <w:spacing w:after="0" w:line="240" w:lineRule="auto"/>
              <w:jc w:val="center"/>
              <w:rPr>
                <w:rFonts w:eastAsia="Times New Roman" w:cs="Calibri"/>
                <w:b/>
                <w:sz w:val="20"/>
                <w:szCs w:val="20"/>
                <w:lang w:val="en-US"/>
              </w:rPr>
            </w:pPr>
            <w:r w:rsidRPr="00170E4B">
              <w:rPr>
                <w:rFonts w:ascii="Calibri" w:eastAsia="Times New Roman" w:hAnsi="Calibri" w:cs="Calibri"/>
                <w:b/>
                <w:sz w:val="20"/>
                <w:szCs w:val="20"/>
                <w:lang w:val="en-US"/>
              </w:rPr>
              <w:t> </w:t>
            </w:r>
            <w:r w:rsidRPr="00170E4B">
              <w:rPr>
                <w:rFonts w:eastAsia="Times New Roman" w:cs="Calibri"/>
                <w:b/>
                <w:sz w:val="20"/>
                <w:szCs w:val="20"/>
                <w:lang w:val="en-US"/>
              </w:rPr>
              <w:t>2020թ.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2FADC4" w14:textId="77777777" w:rsidR="00170E4B" w:rsidRPr="00170E4B" w:rsidRDefault="00170E4B" w:rsidP="00170E4B">
            <w:pPr>
              <w:spacing w:after="0" w:line="240" w:lineRule="auto"/>
              <w:ind w:left="-104"/>
              <w:jc w:val="center"/>
              <w:rPr>
                <w:rFonts w:eastAsia="Times New Roman" w:cs="Calibri"/>
                <w:sz w:val="20"/>
                <w:szCs w:val="20"/>
                <w:lang w:val="en-US"/>
              </w:rPr>
            </w:pPr>
            <w:r w:rsidRPr="00170E4B">
              <w:rPr>
                <w:rFonts w:eastAsia="Times New Roman" w:cs="Calibri"/>
                <w:sz w:val="20"/>
                <w:szCs w:val="20"/>
                <w:lang w:val="en-US"/>
              </w:rPr>
              <w:t>Հունվար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2A168A" w14:textId="77777777" w:rsidR="00170E4B" w:rsidRPr="00170E4B" w:rsidRDefault="00170E4B" w:rsidP="00170E4B">
            <w:pPr>
              <w:spacing w:after="0" w:line="240" w:lineRule="auto"/>
              <w:ind w:left="-108"/>
              <w:jc w:val="center"/>
              <w:rPr>
                <w:rFonts w:eastAsia="Times New Roman" w:cs="Calibri"/>
                <w:sz w:val="20"/>
                <w:szCs w:val="20"/>
                <w:lang w:val="en-US"/>
              </w:rPr>
            </w:pPr>
            <w:r w:rsidRPr="00170E4B">
              <w:rPr>
                <w:rFonts w:eastAsia="Times New Roman" w:cs="Calibri"/>
                <w:sz w:val="20"/>
                <w:szCs w:val="20"/>
                <w:lang w:val="en-US"/>
              </w:rPr>
              <w:t>Փետրվար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AF79E9" w14:textId="77777777" w:rsidR="00170E4B" w:rsidRPr="00170E4B" w:rsidRDefault="00170E4B" w:rsidP="00170E4B">
            <w:pPr>
              <w:spacing w:after="0" w:line="240" w:lineRule="auto"/>
              <w:ind w:left="-113"/>
              <w:jc w:val="center"/>
              <w:rPr>
                <w:rFonts w:eastAsia="Times New Roman" w:cs="Calibri"/>
                <w:sz w:val="20"/>
                <w:szCs w:val="20"/>
                <w:lang w:val="en-US"/>
              </w:rPr>
            </w:pPr>
            <w:r w:rsidRPr="00170E4B">
              <w:rPr>
                <w:rFonts w:eastAsia="Times New Roman" w:cs="Calibri"/>
                <w:sz w:val="20"/>
                <w:szCs w:val="20"/>
                <w:lang w:val="en-US"/>
              </w:rPr>
              <w:t>Մարտ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FE4A7F3" w14:textId="77777777" w:rsidR="00170E4B" w:rsidRPr="00170E4B" w:rsidRDefault="00170E4B" w:rsidP="00170E4B">
            <w:pPr>
              <w:spacing w:after="0" w:line="240" w:lineRule="auto"/>
              <w:ind w:left="-108"/>
              <w:jc w:val="center"/>
              <w:rPr>
                <w:rFonts w:eastAsia="Times New Roman" w:cs="Calibri"/>
                <w:sz w:val="20"/>
                <w:szCs w:val="20"/>
                <w:lang w:val="en-US"/>
              </w:rPr>
            </w:pPr>
            <w:r w:rsidRPr="00170E4B">
              <w:rPr>
                <w:rFonts w:eastAsia="Times New Roman" w:cs="Calibri"/>
                <w:sz w:val="20"/>
                <w:szCs w:val="20"/>
                <w:lang w:val="en-US"/>
              </w:rPr>
              <w:t>Ապրիլ</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0BF9FB" w14:textId="77777777" w:rsidR="00170E4B" w:rsidRPr="00170E4B" w:rsidRDefault="00170E4B" w:rsidP="00170E4B">
            <w:pPr>
              <w:spacing w:after="0" w:line="240" w:lineRule="auto"/>
              <w:ind w:left="-108"/>
              <w:jc w:val="center"/>
              <w:rPr>
                <w:rFonts w:eastAsia="Times New Roman" w:cs="Calibri"/>
                <w:sz w:val="20"/>
                <w:szCs w:val="20"/>
                <w:lang w:val="en-US"/>
              </w:rPr>
            </w:pPr>
            <w:r w:rsidRPr="00170E4B">
              <w:rPr>
                <w:rFonts w:eastAsia="Times New Roman" w:cs="Calibri"/>
                <w:sz w:val="20"/>
                <w:szCs w:val="20"/>
                <w:lang w:val="en-US"/>
              </w:rPr>
              <w:t>Մայիս</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81F0D2" w14:textId="77777777" w:rsidR="00170E4B" w:rsidRPr="00170E4B" w:rsidRDefault="00170E4B" w:rsidP="00170E4B">
            <w:pPr>
              <w:spacing w:after="0" w:line="240" w:lineRule="auto"/>
              <w:ind w:left="-108"/>
              <w:jc w:val="center"/>
              <w:rPr>
                <w:rFonts w:eastAsia="Times New Roman" w:cs="Calibri"/>
                <w:sz w:val="20"/>
                <w:szCs w:val="20"/>
                <w:lang w:val="en-US"/>
              </w:rPr>
            </w:pPr>
            <w:r w:rsidRPr="00170E4B">
              <w:rPr>
                <w:rFonts w:eastAsia="Times New Roman" w:cs="Calibri"/>
                <w:sz w:val="20"/>
                <w:szCs w:val="20"/>
                <w:lang w:val="en-US"/>
              </w:rPr>
              <w:t>Հունիս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006B93" w14:textId="77777777" w:rsidR="00170E4B" w:rsidRPr="00170E4B" w:rsidRDefault="00170E4B" w:rsidP="00170E4B">
            <w:pPr>
              <w:spacing w:after="0" w:line="240" w:lineRule="auto"/>
              <w:ind w:left="-102" w:right="-54"/>
              <w:jc w:val="center"/>
              <w:rPr>
                <w:rFonts w:eastAsia="Times New Roman" w:cs="Calibri"/>
                <w:sz w:val="20"/>
                <w:szCs w:val="20"/>
                <w:lang w:val="en-US"/>
              </w:rPr>
            </w:pPr>
            <w:r w:rsidRPr="00170E4B">
              <w:rPr>
                <w:rFonts w:eastAsia="Times New Roman" w:cs="Calibri"/>
                <w:sz w:val="20"/>
                <w:szCs w:val="20"/>
                <w:lang w:val="en-US"/>
              </w:rPr>
              <w:t>Հուլիս</w:t>
            </w:r>
          </w:p>
        </w:tc>
        <w:tc>
          <w:tcPr>
            <w:tcW w:w="851" w:type="dxa"/>
            <w:tcBorders>
              <w:top w:val="single" w:sz="4" w:space="0" w:color="auto"/>
              <w:left w:val="nil"/>
              <w:bottom w:val="single" w:sz="4" w:space="0" w:color="auto"/>
              <w:right w:val="single" w:sz="4" w:space="0" w:color="auto"/>
            </w:tcBorders>
            <w:shd w:val="clear" w:color="auto" w:fill="auto"/>
            <w:vAlign w:val="center"/>
          </w:tcPr>
          <w:p w14:paraId="7F2BC495" w14:textId="77777777" w:rsidR="00170E4B" w:rsidRPr="00170E4B" w:rsidRDefault="00170E4B" w:rsidP="00170E4B">
            <w:pPr>
              <w:spacing w:after="0" w:line="240" w:lineRule="auto"/>
              <w:ind w:left="-107" w:right="-54"/>
              <w:jc w:val="center"/>
              <w:rPr>
                <w:rFonts w:eastAsia="Times New Roman" w:cs="Calibri"/>
                <w:sz w:val="20"/>
                <w:szCs w:val="20"/>
                <w:lang w:val="en-US"/>
              </w:rPr>
            </w:pPr>
            <w:r w:rsidRPr="00170E4B">
              <w:rPr>
                <w:rFonts w:eastAsia="Times New Roman" w:cs="Calibri"/>
                <w:sz w:val="20"/>
                <w:szCs w:val="20"/>
                <w:lang w:val="en-US"/>
              </w:rPr>
              <w:t>Օգոստոս</w:t>
            </w:r>
          </w:p>
        </w:tc>
        <w:tc>
          <w:tcPr>
            <w:tcW w:w="1133" w:type="dxa"/>
            <w:tcBorders>
              <w:top w:val="single" w:sz="4" w:space="0" w:color="auto"/>
              <w:left w:val="nil"/>
              <w:bottom w:val="single" w:sz="4" w:space="0" w:color="auto"/>
              <w:right w:val="single" w:sz="4" w:space="0" w:color="auto"/>
            </w:tcBorders>
            <w:shd w:val="clear" w:color="auto" w:fill="auto"/>
            <w:vAlign w:val="center"/>
          </w:tcPr>
          <w:p w14:paraId="4D2194B2" w14:textId="77777777" w:rsidR="00170E4B" w:rsidRPr="00170E4B" w:rsidRDefault="00170E4B" w:rsidP="00170E4B">
            <w:pPr>
              <w:spacing w:after="0" w:line="240" w:lineRule="auto"/>
              <w:ind w:left="-113" w:right="-101"/>
              <w:jc w:val="center"/>
              <w:rPr>
                <w:rFonts w:eastAsia="Times New Roman" w:cs="Calibri"/>
                <w:sz w:val="20"/>
                <w:szCs w:val="20"/>
                <w:lang w:val="en-US"/>
              </w:rPr>
            </w:pPr>
            <w:r w:rsidRPr="00170E4B">
              <w:rPr>
                <w:rFonts w:eastAsia="Times New Roman" w:cs="Calibri"/>
                <w:sz w:val="20"/>
                <w:szCs w:val="20"/>
                <w:lang w:val="en-US"/>
              </w:rPr>
              <w:t>Սեպտեմբեր</w:t>
            </w:r>
          </w:p>
        </w:tc>
        <w:tc>
          <w:tcPr>
            <w:tcW w:w="1276" w:type="dxa"/>
            <w:tcBorders>
              <w:top w:val="single" w:sz="4" w:space="0" w:color="auto"/>
              <w:left w:val="nil"/>
              <w:bottom w:val="single" w:sz="4" w:space="0" w:color="auto"/>
              <w:right w:val="single" w:sz="4" w:space="0" w:color="auto"/>
            </w:tcBorders>
            <w:shd w:val="clear" w:color="auto" w:fill="auto"/>
            <w:vAlign w:val="center"/>
          </w:tcPr>
          <w:p w14:paraId="1C524137" w14:textId="77777777" w:rsidR="00170E4B" w:rsidRPr="00170E4B" w:rsidRDefault="00170E4B" w:rsidP="00170E4B">
            <w:pPr>
              <w:spacing w:after="0" w:line="240" w:lineRule="auto"/>
              <w:ind w:right="-54"/>
              <w:jc w:val="center"/>
              <w:rPr>
                <w:rFonts w:eastAsia="Times New Roman" w:cs="Calibri"/>
                <w:sz w:val="20"/>
                <w:szCs w:val="20"/>
                <w:lang w:val="en-US"/>
              </w:rPr>
            </w:pPr>
            <w:r w:rsidRPr="00170E4B">
              <w:rPr>
                <w:rFonts w:eastAsia="Times New Roman" w:cs="Calibri"/>
                <w:sz w:val="20"/>
                <w:szCs w:val="20"/>
                <w:lang w:val="en-US"/>
              </w:rPr>
              <w:t>Ընդամենը</w:t>
            </w:r>
          </w:p>
        </w:tc>
      </w:tr>
      <w:tr w:rsidR="00170E4B" w:rsidRPr="00170E4B" w14:paraId="42314100" w14:textId="77777777" w:rsidTr="00186266">
        <w:trPr>
          <w:trHeight w:val="213"/>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495FEB9" w14:textId="77777777" w:rsidR="00170E4B" w:rsidRPr="00170E4B" w:rsidRDefault="00170E4B" w:rsidP="00170E4B">
            <w:pPr>
              <w:spacing w:after="0" w:line="240" w:lineRule="auto"/>
              <w:ind w:left="-66" w:right="-109"/>
              <w:jc w:val="left"/>
              <w:rPr>
                <w:rFonts w:eastAsia="Times New Roman" w:cs="Calibri"/>
                <w:b/>
                <w:bCs/>
                <w:sz w:val="20"/>
                <w:szCs w:val="20"/>
                <w:lang w:val="en-US"/>
              </w:rPr>
            </w:pPr>
            <w:r w:rsidRPr="00170E4B">
              <w:rPr>
                <w:rFonts w:eastAsia="Times New Roman" w:cs="Calibri"/>
                <w:b/>
                <w:bCs/>
                <w:sz w:val="20"/>
                <w:szCs w:val="20"/>
                <w:lang w:val="en-US"/>
              </w:rPr>
              <w:t>Ընդամենը տոկոսավճարներ</w:t>
            </w:r>
          </w:p>
        </w:tc>
        <w:tc>
          <w:tcPr>
            <w:tcW w:w="992" w:type="dxa"/>
            <w:tcBorders>
              <w:top w:val="nil"/>
              <w:left w:val="nil"/>
              <w:bottom w:val="single" w:sz="4" w:space="0" w:color="auto"/>
              <w:right w:val="single" w:sz="4" w:space="0" w:color="auto"/>
            </w:tcBorders>
            <w:shd w:val="clear" w:color="auto" w:fill="auto"/>
            <w:noWrap/>
            <w:vAlign w:val="center"/>
            <w:hideMark/>
          </w:tcPr>
          <w:p w14:paraId="09599EFB" w14:textId="77777777" w:rsidR="00170E4B" w:rsidRPr="00170E4B" w:rsidRDefault="00170E4B" w:rsidP="00170E4B">
            <w:pPr>
              <w:spacing w:after="0" w:line="240" w:lineRule="auto"/>
              <w:ind w:left="-104"/>
              <w:jc w:val="right"/>
              <w:rPr>
                <w:rFonts w:eastAsia="Times New Roman" w:cs="Calibri"/>
                <w:b/>
                <w:bCs/>
                <w:i/>
                <w:iCs/>
                <w:sz w:val="20"/>
                <w:szCs w:val="20"/>
                <w:lang w:val="en-US"/>
              </w:rPr>
            </w:pPr>
            <w:r w:rsidRPr="00170E4B">
              <w:rPr>
                <w:rFonts w:eastAsia="Times New Roman" w:cs="Calibri"/>
                <w:b/>
                <w:bCs/>
                <w:i/>
                <w:iCs/>
                <w:sz w:val="20"/>
                <w:szCs w:val="20"/>
                <w:lang w:val="en-US"/>
              </w:rPr>
              <w:t xml:space="preserve"> 3,046.5 </w:t>
            </w:r>
          </w:p>
        </w:tc>
        <w:tc>
          <w:tcPr>
            <w:tcW w:w="851" w:type="dxa"/>
            <w:tcBorders>
              <w:top w:val="nil"/>
              <w:left w:val="nil"/>
              <w:bottom w:val="single" w:sz="4" w:space="0" w:color="auto"/>
              <w:right w:val="single" w:sz="4" w:space="0" w:color="auto"/>
            </w:tcBorders>
            <w:shd w:val="clear" w:color="auto" w:fill="auto"/>
            <w:noWrap/>
            <w:vAlign w:val="center"/>
            <w:hideMark/>
          </w:tcPr>
          <w:p w14:paraId="4E34B742"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8,576.4 </w:t>
            </w:r>
          </w:p>
        </w:tc>
        <w:tc>
          <w:tcPr>
            <w:tcW w:w="993" w:type="dxa"/>
            <w:tcBorders>
              <w:top w:val="nil"/>
              <w:left w:val="nil"/>
              <w:bottom w:val="single" w:sz="4" w:space="0" w:color="auto"/>
              <w:right w:val="single" w:sz="4" w:space="0" w:color="auto"/>
            </w:tcBorders>
            <w:shd w:val="clear" w:color="auto" w:fill="auto"/>
            <w:noWrap/>
            <w:vAlign w:val="center"/>
            <w:hideMark/>
          </w:tcPr>
          <w:p w14:paraId="57674208" w14:textId="77777777" w:rsidR="00170E4B" w:rsidRPr="00170E4B" w:rsidRDefault="00170E4B" w:rsidP="00170E4B">
            <w:pPr>
              <w:spacing w:after="0" w:line="240" w:lineRule="auto"/>
              <w:ind w:left="-113"/>
              <w:jc w:val="right"/>
              <w:rPr>
                <w:rFonts w:eastAsia="Times New Roman" w:cs="Calibri"/>
                <w:b/>
                <w:bCs/>
                <w:i/>
                <w:iCs/>
                <w:sz w:val="20"/>
                <w:szCs w:val="20"/>
                <w:lang w:val="en-US"/>
              </w:rPr>
            </w:pPr>
            <w:r w:rsidRPr="00170E4B">
              <w:rPr>
                <w:rFonts w:eastAsia="Times New Roman" w:cs="Calibri"/>
                <w:b/>
                <w:bCs/>
                <w:i/>
                <w:iCs/>
                <w:sz w:val="20"/>
                <w:szCs w:val="20"/>
                <w:lang w:val="en-US"/>
              </w:rPr>
              <w:t xml:space="preserve">26,173.3 </w:t>
            </w:r>
          </w:p>
        </w:tc>
        <w:tc>
          <w:tcPr>
            <w:tcW w:w="992" w:type="dxa"/>
            <w:tcBorders>
              <w:top w:val="nil"/>
              <w:left w:val="nil"/>
              <w:bottom w:val="single" w:sz="4" w:space="0" w:color="auto"/>
              <w:right w:val="single" w:sz="4" w:space="0" w:color="auto"/>
            </w:tcBorders>
            <w:shd w:val="clear" w:color="auto" w:fill="auto"/>
            <w:noWrap/>
            <w:vAlign w:val="center"/>
            <w:hideMark/>
          </w:tcPr>
          <w:p w14:paraId="2F5D0BB1"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30,031.4 </w:t>
            </w:r>
          </w:p>
        </w:tc>
        <w:tc>
          <w:tcPr>
            <w:tcW w:w="850" w:type="dxa"/>
            <w:tcBorders>
              <w:top w:val="nil"/>
              <w:left w:val="nil"/>
              <w:bottom w:val="single" w:sz="4" w:space="0" w:color="auto"/>
              <w:right w:val="single" w:sz="4" w:space="0" w:color="auto"/>
            </w:tcBorders>
            <w:shd w:val="clear" w:color="auto" w:fill="auto"/>
            <w:noWrap/>
            <w:vAlign w:val="center"/>
            <w:hideMark/>
          </w:tcPr>
          <w:p w14:paraId="1F965686"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8,216.4 </w:t>
            </w:r>
          </w:p>
        </w:tc>
        <w:tc>
          <w:tcPr>
            <w:tcW w:w="851" w:type="dxa"/>
            <w:tcBorders>
              <w:top w:val="nil"/>
              <w:left w:val="nil"/>
              <w:bottom w:val="single" w:sz="4" w:space="0" w:color="auto"/>
              <w:right w:val="single" w:sz="4" w:space="0" w:color="auto"/>
            </w:tcBorders>
            <w:shd w:val="clear" w:color="auto" w:fill="auto"/>
            <w:noWrap/>
            <w:vAlign w:val="center"/>
            <w:hideMark/>
          </w:tcPr>
          <w:p w14:paraId="6582289F"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3,759.3 </w:t>
            </w:r>
          </w:p>
        </w:tc>
        <w:tc>
          <w:tcPr>
            <w:tcW w:w="850" w:type="dxa"/>
            <w:tcBorders>
              <w:top w:val="nil"/>
              <w:left w:val="nil"/>
              <w:bottom w:val="single" w:sz="4" w:space="0" w:color="auto"/>
              <w:right w:val="single" w:sz="4" w:space="0" w:color="auto"/>
            </w:tcBorders>
            <w:shd w:val="clear" w:color="auto" w:fill="auto"/>
            <w:noWrap/>
            <w:vAlign w:val="center"/>
            <w:hideMark/>
          </w:tcPr>
          <w:p w14:paraId="4D5D42B6" w14:textId="77777777" w:rsidR="00170E4B" w:rsidRPr="00170E4B" w:rsidRDefault="00170E4B" w:rsidP="00170E4B">
            <w:pPr>
              <w:spacing w:after="0" w:line="240" w:lineRule="auto"/>
              <w:ind w:left="-102"/>
              <w:jc w:val="right"/>
              <w:rPr>
                <w:rFonts w:eastAsia="Times New Roman" w:cs="Calibri"/>
                <w:b/>
                <w:bCs/>
                <w:sz w:val="20"/>
                <w:szCs w:val="20"/>
                <w:lang w:val="en-US"/>
              </w:rPr>
            </w:pPr>
            <w:r w:rsidRPr="00170E4B">
              <w:rPr>
                <w:rFonts w:eastAsia="Times New Roman" w:cs="Calibri"/>
                <w:b/>
                <w:bCs/>
                <w:sz w:val="20"/>
                <w:szCs w:val="20"/>
                <w:lang w:val="en-US"/>
              </w:rPr>
              <w:t>3,245.1</w:t>
            </w:r>
          </w:p>
        </w:tc>
        <w:tc>
          <w:tcPr>
            <w:tcW w:w="851" w:type="dxa"/>
            <w:tcBorders>
              <w:top w:val="nil"/>
              <w:left w:val="nil"/>
              <w:bottom w:val="single" w:sz="4" w:space="0" w:color="auto"/>
              <w:right w:val="single" w:sz="4" w:space="0" w:color="auto"/>
            </w:tcBorders>
            <w:shd w:val="clear" w:color="auto" w:fill="auto"/>
            <w:vAlign w:val="center"/>
          </w:tcPr>
          <w:p w14:paraId="0DD52FFD" w14:textId="77777777" w:rsidR="00170E4B" w:rsidRPr="00170E4B" w:rsidRDefault="00170E4B" w:rsidP="00170E4B">
            <w:pPr>
              <w:spacing w:after="0" w:line="240" w:lineRule="auto"/>
              <w:ind w:left="-107"/>
              <w:jc w:val="right"/>
              <w:rPr>
                <w:rFonts w:eastAsia="Times New Roman" w:cs="Calibri"/>
                <w:b/>
                <w:bCs/>
                <w:sz w:val="20"/>
                <w:szCs w:val="20"/>
                <w:lang w:val="en-US"/>
              </w:rPr>
            </w:pPr>
            <w:r w:rsidRPr="00170E4B">
              <w:rPr>
                <w:rFonts w:eastAsia="Times New Roman" w:cs="Calibri"/>
                <w:b/>
                <w:bCs/>
                <w:sz w:val="20"/>
                <w:szCs w:val="20"/>
                <w:lang w:val="en-US"/>
              </w:rPr>
              <w:t>8,746.7</w:t>
            </w:r>
          </w:p>
        </w:tc>
        <w:tc>
          <w:tcPr>
            <w:tcW w:w="1133" w:type="dxa"/>
            <w:tcBorders>
              <w:top w:val="nil"/>
              <w:left w:val="nil"/>
              <w:bottom w:val="single" w:sz="4" w:space="0" w:color="auto"/>
              <w:right w:val="single" w:sz="4" w:space="0" w:color="auto"/>
            </w:tcBorders>
            <w:shd w:val="clear" w:color="auto" w:fill="auto"/>
            <w:vAlign w:val="center"/>
          </w:tcPr>
          <w:p w14:paraId="469EB7A7" w14:textId="77777777" w:rsidR="00170E4B" w:rsidRPr="00170E4B" w:rsidRDefault="00170E4B" w:rsidP="00170E4B">
            <w:pPr>
              <w:spacing w:after="0" w:line="240" w:lineRule="auto"/>
              <w:ind w:left="-113"/>
              <w:jc w:val="right"/>
              <w:rPr>
                <w:rFonts w:eastAsia="Times New Roman" w:cs="Calibri"/>
                <w:b/>
                <w:bCs/>
                <w:sz w:val="20"/>
                <w:szCs w:val="20"/>
                <w:lang w:val="en-US"/>
              </w:rPr>
            </w:pPr>
            <w:r w:rsidRPr="00170E4B">
              <w:rPr>
                <w:rFonts w:eastAsia="Times New Roman" w:cs="Calibri"/>
                <w:b/>
                <w:bCs/>
                <w:sz w:val="20"/>
                <w:szCs w:val="20"/>
                <w:lang w:val="en-US"/>
              </w:rPr>
              <w:t>25,884.7</w:t>
            </w:r>
          </w:p>
        </w:tc>
        <w:tc>
          <w:tcPr>
            <w:tcW w:w="1276" w:type="dxa"/>
            <w:tcBorders>
              <w:top w:val="nil"/>
              <w:left w:val="nil"/>
              <w:bottom w:val="single" w:sz="4" w:space="0" w:color="auto"/>
              <w:right w:val="single" w:sz="4" w:space="0" w:color="auto"/>
            </w:tcBorders>
            <w:shd w:val="clear" w:color="auto" w:fill="auto"/>
            <w:vAlign w:val="center"/>
          </w:tcPr>
          <w:p w14:paraId="51F86B17" w14:textId="77777777" w:rsidR="00170E4B" w:rsidRPr="00170E4B" w:rsidRDefault="00170E4B" w:rsidP="00170E4B">
            <w:pPr>
              <w:spacing w:after="0" w:line="240" w:lineRule="auto"/>
              <w:jc w:val="right"/>
              <w:rPr>
                <w:rFonts w:eastAsia="Times New Roman" w:cs="Calibri"/>
                <w:b/>
                <w:bCs/>
                <w:sz w:val="20"/>
                <w:szCs w:val="20"/>
                <w:lang w:val="en-US"/>
              </w:rPr>
            </w:pPr>
            <w:r w:rsidRPr="00170E4B">
              <w:rPr>
                <w:rFonts w:eastAsia="Times New Roman" w:cs="Calibri"/>
                <w:b/>
                <w:bCs/>
                <w:sz w:val="20"/>
                <w:szCs w:val="20"/>
                <w:lang w:val="en-US"/>
              </w:rPr>
              <w:t xml:space="preserve">117,679.8 </w:t>
            </w:r>
          </w:p>
        </w:tc>
      </w:tr>
      <w:tr w:rsidR="00170E4B" w:rsidRPr="00170E4B" w14:paraId="2FBC35AF" w14:textId="77777777" w:rsidTr="00186266">
        <w:trPr>
          <w:trHeight w:val="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976933" w14:textId="77777777" w:rsidR="00170E4B" w:rsidRPr="00170E4B" w:rsidRDefault="00170E4B" w:rsidP="00170E4B">
            <w:pPr>
              <w:spacing w:after="0" w:line="240" w:lineRule="auto"/>
              <w:ind w:left="-66" w:right="-109"/>
              <w:jc w:val="left"/>
              <w:rPr>
                <w:rFonts w:eastAsia="Times New Roman" w:cs="Calibri"/>
                <w:i/>
                <w:iCs/>
                <w:sz w:val="20"/>
                <w:szCs w:val="20"/>
                <w:lang w:val="en-US"/>
              </w:rPr>
            </w:pPr>
            <w:r w:rsidRPr="00170E4B">
              <w:rPr>
                <w:rFonts w:eastAsia="Times New Roman" w:cs="Calibri"/>
                <w:i/>
                <w:iCs/>
                <w:sz w:val="20"/>
                <w:szCs w:val="20"/>
                <w:lang w:val="en-US"/>
              </w:rPr>
              <w:t>ներքին տոկոսավճարներ,</w:t>
            </w:r>
            <w:r w:rsidRPr="00170E4B">
              <w:rPr>
                <w:rFonts w:eastAsia="Times New Roman" w:cs="Calibri"/>
                <w:i/>
                <w:iCs/>
                <w:sz w:val="20"/>
                <w:szCs w:val="20"/>
                <w:lang w:val="en-US"/>
              </w:rPr>
              <w:br/>
              <w:t xml:space="preserve">այդ թվում՝                                               </w:t>
            </w:r>
          </w:p>
        </w:tc>
        <w:tc>
          <w:tcPr>
            <w:tcW w:w="992" w:type="dxa"/>
            <w:tcBorders>
              <w:top w:val="nil"/>
              <w:left w:val="nil"/>
              <w:bottom w:val="single" w:sz="4" w:space="0" w:color="auto"/>
              <w:right w:val="single" w:sz="4" w:space="0" w:color="auto"/>
            </w:tcBorders>
            <w:shd w:val="clear" w:color="auto" w:fill="auto"/>
            <w:noWrap/>
            <w:vAlign w:val="center"/>
            <w:hideMark/>
          </w:tcPr>
          <w:p w14:paraId="29ABBF51" w14:textId="77777777" w:rsidR="00170E4B" w:rsidRPr="00170E4B" w:rsidRDefault="00170E4B" w:rsidP="00170E4B">
            <w:pPr>
              <w:spacing w:after="0" w:line="240" w:lineRule="auto"/>
              <w:ind w:left="-104"/>
              <w:jc w:val="right"/>
              <w:rPr>
                <w:rFonts w:eastAsia="Times New Roman" w:cs="Calibri"/>
                <w:b/>
                <w:bCs/>
                <w:i/>
                <w:iCs/>
                <w:sz w:val="20"/>
                <w:szCs w:val="20"/>
                <w:lang w:val="en-US"/>
              </w:rPr>
            </w:pPr>
            <w:r w:rsidRPr="00170E4B">
              <w:rPr>
                <w:rFonts w:eastAsia="Times New Roman" w:cs="Calibri"/>
                <w:b/>
                <w:bCs/>
                <w:i/>
                <w:iCs/>
                <w:sz w:val="20"/>
                <w:szCs w:val="20"/>
                <w:lang w:val="en-US"/>
              </w:rPr>
              <w:t xml:space="preserve"> 203.3 </w:t>
            </w:r>
          </w:p>
        </w:tc>
        <w:tc>
          <w:tcPr>
            <w:tcW w:w="851" w:type="dxa"/>
            <w:tcBorders>
              <w:top w:val="nil"/>
              <w:left w:val="nil"/>
              <w:bottom w:val="single" w:sz="4" w:space="0" w:color="auto"/>
              <w:right w:val="single" w:sz="4" w:space="0" w:color="auto"/>
            </w:tcBorders>
            <w:shd w:val="clear" w:color="auto" w:fill="auto"/>
            <w:noWrap/>
            <w:vAlign w:val="center"/>
            <w:hideMark/>
          </w:tcPr>
          <w:p w14:paraId="3CD74E95"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4,764.2 </w:t>
            </w:r>
          </w:p>
        </w:tc>
        <w:tc>
          <w:tcPr>
            <w:tcW w:w="993" w:type="dxa"/>
            <w:tcBorders>
              <w:top w:val="nil"/>
              <w:left w:val="nil"/>
              <w:bottom w:val="single" w:sz="4" w:space="0" w:color="auto"/>
              <w:right w:val="single" w:sz="4" w:space="0" w:color="auto"/>
            </w:tcBorders>
            <w:shd w:val="clear" w:color="auto" w:fill="auto"/>
            <w:noWrap/>
            <w:vAlign w:val="center"/>
            <w:hideMark/>
          </w:tcPr>
          <w:p w14:paraId="2AEE80E6" w14:textId="77777777" w:rsidR="00170E4B" w:rsidRPr="00170E4B" w:rsidRDefault="00170E4B" w:rsidP="00170E4B">
            <w:pPr>
              <w:spacing w:after="0" w:line="240" w:lineRule="auto"/>
              <w:ind w:left="-113"/>
              <w:jc w:val="right"/>
              <w:rPr>
                <w:rFonts w:eastAsia="Times New Roman" w:cs="Calibri"/>
                <w:b/>
                <w:bCs/>
                <w:i/>
                <w:iCs/>
                <w:sz w:val="20"/>
                <w:szCs w:val="20"/>
                <w:lang w:val="en-US"/>
              </w:rPr>
            </w:pPr>
            <w:r w:rsidRPr="00170E4B">
              <w:rPr>
                <w:rFonts w:eastAsia="Times New Roman" w:cs="Calibri"/>
                <w:b/>
                <w:bCs/>
                <w:i/>
                <w:iCs/>
                <w:sz w:val="20"/>
                <w:szCs w:val="20"/>
                <w:lang w:val="en-US"/>
              </w:rPr>
              <w:t xml:space="preserve">8,936.1 </w:t>
            </w:r>
          </w:p>
        </w:tc>
        <w:tc>
          <w:tcPr>
            <w:tcW w:w="992" w:type="dxa"/>
            <w:tcBorders>
              <w:top w:val="nil"/>
              <w:left w:val="nil"/>
              <w:bottom w:val="single" w:sz="4" w:space="0" w:color="auto"/>
              <w:right w:val="single" w:sz="4" w:space="0" w:color="auto"/>
            </w:tcBorders>
            <w:shd w:val="clear" w:color="auto" w:fill="auto"/>
            <w:noWrap/>
            <w:vAlign w:val="center"/>
            <w:hideMark/>
          </w:tcPr>
          <w:p w14:paraId="1AD3B812"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26,680.2 </w:t>
            </w:r>
          </w:p>
        </w:tc>
        <w:tc>
          <w:tcPr>
            <w:tcW w:w="850" w:type="dxa"/>
            <w:tcBorders>
              <w:top w:val="nil"/>
              <w:left w:val="nil"/>
              <w:bottom w:val="single" w:sz="4" w:space="0" w:color="auto"/>
              <w:right w:val="single" w:sz="4" w:space="0" w:color="auto"/>
            </w:tcBorders>
            <w:shd w:val="clear" w:color="auto" w:fill="auto"/>
            <w:noWrap/>
            <w:vAlign w:val="center"/>
            <w:hideMark/>
          </w:tcPr>
          <w:p w14:paraId="47494D13"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124.5 </w:t>
            </w:r>
          </w:p>
        </w:tc>
        <w:tc>
          <w:tcPr>
            <w:tcW w:w="851" w:type="dxa"/>
            <w:tcBorders>
              <w:top w:val="nil"/>
              <w:left w:val="nil"/>
              <w:bottom w:val="single" w:sz="4" w:space="0" w:color="auto"/>
              <w:right w:val="single" w:sz="4" w:space="0" w:color="auto"/>
            </w:tcBorders>
            <w:shd w:val="clear" w:color="auto" w:fill="auto"/>
            <w:noWrap/>
            <w:vAlign w:val="center"/>
            <w:hideMark/>
          </w:tcPr>
          <w:p w14:paraId="621EB721"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379.6 </w:t>
            </w:r>
          </w:p>
        </w:tc>
        <w:tc>
          <w:tcPr>
            <w:tcW w:w="850" w:type="dxa"/>
            <w:tcBorders>
              <w:top w:val="nil"/>
              <w:left w:val="nil"/>
              <w:bottom w:val="single" w:sz="4" w:space="0" w:color="auto"/>
              <w:right w:val="single" w:sz="4" w:space="0" w:color="auto"/>
            </w:tcBorders>
            <w:shd w:val="clear" w:color="auto" w:fill="auto"/>
            <w:noWrap/>
            <w:vAlign w:val="center"/>
            <w:hideMark/>
          </w:tcPr>
          <w:p w14:paraId="4F64560A" w14:textId="77777777" w:rsidR="00170E4B" w:rsidRPr="00170E4B" w:rsidRDefault="00170E4B" w:rsidP="00170E4B">
            <w:pPr>
              <w:spacing w:after="0" w:line="240" w:lineRule="auto"/>
              <w:ind w:left="-102"/>
              <w:jc w:val="right"/>
              <w:rPr>
                <w:rFonts w:eastAsia="Times New Roman" w:cs="Calibri"/>
                <w:b/>
                <w:bCs/>
                <w:i/>
                <w:iCs/>
                <w:sz w:val="20"/>
                <w:szCs w:val="20"/>
                <w:lang w:val="en-US"/>
              </w:rPr>
            </w:pPr>
            <w:r w:rsidRPr="00170E4B">
              <w:rPr>
                <w:rFonts w:eastAsia="Times New Roman" w:cs="Calibri"/>
                <w:b/>
                <w:bCs/>
                <w:i/>
                <w:iCs/>
                <w:sz w:val="20"/>
                <w:szCs w:val="20"/>
                <w:lang w:val="en-US"/>
              </w:rPr>
              <w:t>59.7</w:t>
            </w:r>
          </w:p>
        </w:tc>
        <w:tc>
          <w:tcPr>
            <w:tcW w:w="851" w:type="dxa"/>
            <w:tcBorders>
              <w:top w:val="nil"/>
              <w:left w:val="nil"/>
              <w:bottom w:val="single" w:sz="4" w:space="0" w:color="auto"/>
              <w:right w:val="single" w:sz="4" w:space="0" w:color="auto"/>
            </w:tcBorders>
            <w:shd w:val="clear" w:color="auto" w:fill="auto"/>
            <w:vAlign w:val="center"/>
          </w:tcPr>
          <w:p w14:paraId="57458A6F" w14:textId="77777777" w:rsidR="00170E4B" w:rsidRPr="00170E4B" w:rsidRDefault="00170E4B" w:rsidP="00170E4B">
            <w:pPr>
              <w:spacing w:after="0" w:line="240" w:lineRule="auto"/>
              <w:ind w:left="-107"/>
              <w:jc w:val="right"/>
              <w:rPr>
                <w:rFonts w:eastAsia="Times New Roman" w:cs="Calibri"/>
                <w:b/>
                <w:bCs/>
                <w:i/>
                <w:iCs/>
                <w:sz w:val="20"/>
                <w:szCs w:val="20"/>
                <w:lang w:val="en-US"/>
              </w:rPr>
            </w:pPr>
            <w:r w:rsidRPr="00170E4B">
              <w:rPr>
                <w:rFonts w:eastAsia="Times New Roman" w:cs="Calibri"/>
                <w:b/>
                <w:bCs/>
                <w:i/>
                <w:iCs/>
                <w:sz w:val="20"/>
                <w:szCs w:val="20"/>
                <w:lang w:val="en-US"/>
              </w:rPr>
              <w:t>4,617.7</w:t>
            </w:r>
          </w:p>
        </w:tc>
        <w:tc>
          <w:tcPr>
            <w:tcW w:w="1133" w:type="dxa"/>
            <w:tcBorders>
              <w:top w:val="nil"/>
              <w:left w:val="nil"/>
              <w:bottom w:val="single" w:sz="4" w:space="0" w:color="auto"/>
              <w:right w:val="single" w:sz="4" w:space="0" w:color="auto"/>
            </w:tcBorders>
            <w:shd w:val="clear" w:color="auto" w:fill="auto"/>
            <w:vAlign w:val="center"/>
          </w:tcPr>
          <w:p w14:paraId="21DCA522" w14:textId="77777777" w:rsidR="00170E4B" w:rsidRPr="00170E4B" w:rsidRDefault="00170E4B" w:rsidP="00170E4B">
            <w:pPr>
              <w:spacing w:after="0" w:line="240" w:lineRule="auto"/>
              <w:ind w:left="-113"/>
              <w:jc w:val="right"/>
              <w:rPr>
                <w:rFonts w:eastAsia="Times New Roman" w:cs="Calibri"/>
                <w:b/>
                <w:bCs/>
                <w:i/>
                <w:iCs/>
                <w:sz w:val="20"/>
                <w:szCs w:val="20"/>
                <w:lang w:val="en-US"/>
              </w:rPr>
            </w:pPr>
            <w:r w:rsidRPr="00170E4B">
              <w:rPr>
                <w:rFonts w:eastAsia="Times New Roman" w:cs="Calibri"/>
                <w:b/>
                <w:bCs/>
                <w:i/>
                <w:iCs/>
                <w:sz w:val="20"/>
                <w:szCs w:val="20"/>
                <w:lang w:val="en-US"/>
              </w:rPr>
              <w:t>8,840.9</w:t>
            </w:r>
          </w:p>
        </w:tc>
        <w:tc>
          <w:tcPr>
            <w:tcW w:w="1276" w:type="dxa"/>
            <w:tcBorders>
              <w:top w:val="nil"/>
              <w:left w:val="nil"/>
              <w:bottom w:val="single" w:sz="4" w:space="0" w:color="auto"/>
              <w:right w:val="single" w:sz="4" w:space="0" w:color="auto"/>
            </w:tcBorders>
            <w:shd w:val="clear" w:color="auto" w:fill="auto"/>
            <w:vAlign w:val="center"/>
          </w:tcPr>
          <w:p w14:paraId="28B7D6E7" w14:textId="77777777" w:rsidR="00170E4B" w:rsidRPr="00170E4B" w:rsidRDefault="00170E4B" w:rsidP="00170E4B">
            <w:pPr>
              <w:spacing w:after="0" w:line="240" w:lineRule="auto"/>
              <w:jc w:val="right"/>
              <w:rPr>
                <w:rFonts w:eastAsia="Times New Roman" w:cs="Calibri"/>
                <w:b/>
                <w:bCs/>
                <w:i/>
                <w:iCs/>
                <w:sz w:val="20"/>
                <w:szCs w:val="20"/>
                <w:lang w:val="en-US"/>
              </w:rPr>
            </w:pPr>
            <w:r w:rsidRPr="00170E4B">
              <w:rPr>
                <w:rFonts w:eastAsia="Times New Roman" w:cs="Calibri"/>
                <w:b/>
                <w:bCs/>
                <w:i/>
                <w:iCs/>
                <w:sz w:val="20"/>
                <w:szCs w:val="20"/>
                <w:lang w:val="en-US"/>
              </w:rPr>
              <w:t xml:space="preserve">54,606.2 </w:t>
            </w:r>
          </w:p>
        </w:tc>
      </w:tr>
      <w:tr w:rsidR="00170E4B" w:rsidRPr="00170E4B" w14:paraId="73EFC3B9" w14:textId="77777777" w:rsidTr="00186266">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44547" w14:textId="77777777" w:rsidR="00170E4B" w:rsidRPr="00170E4B" w:rsidRDefault="00170E4B" w:rsidP="00170E4B">
            <w:pPr>
              <w:spacing w:after="0" w:line="240" w:lineRule="auto"/>
              <w:ind w:left="-66" w:right="-109"/>
              <w:jc w:val="left"/>
              <w:rPr>
                <w:rFonts w:eastAsia="Times New Roman" w:cs="Calibri"/>
                <w:i/>
                <w:iCs/>
                <w:sz w:val="20"/>
                <w:szCs w:val="20"/>
                <w:lang w:val="en-US"/>
              </w:rPr>
            </w:pPr>
            <w:r w:rsidRPr="00170E4B">
              <w:rPr>
                <w:rFonts w:eastAsia="Times New Roman" w:cs="Calibri"/>
                <w:i/>
                <w:iCs/>
                <w:sz w:val="20"/>
                <w:szCs w:val="20"/>
                <w:lang w:val="en-US"/>
              </w:rPr>
              <w:t>պետական գանձապետական պարտատոմսերի գծով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2924E" w14:textId="77777777" w:rsidR="00170E4B" w:rsidRPr="00170E4B" w:rsidRDefault="00170E4B" w:rsidP="00170E4B">
            <w:pPr>
              <w:spacing w:after="0" w:line="240" w:lineRule="auto"/>
              <w:ind w:left="-104"/>
              <w:jc w:val="right"/>
              <w:rPr>
                <w:rFonts w:eastAsia="Times New Roman" w:cs="Calibri"/>
                <w:bCs/>
                <w:i/>
                <w:iCs/>
                <w:sz w:val="20"/>
                <w:szCs w:val="20"/>
                <w:lang w:val="en-US"/>
              </w:rPr>
            </w:pPr>
            <w:r w:rsidRPr="00170E4B">
              <w:rPr>
                <w:rFonts w:eastAsia="Times New Roman" w:cs="Calibri"/>
                <w:bCs/>
                <w:i/>
                <w:iCs/>
                <w:sz w:val="20"/>
                <w:szCs w:val="20"/>
                <w:lang w:val="en-US"/>
              </w:rPr>
              <w:t xml:space="preserve">203.3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8830"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4,764.2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68B7" w14:textId="77777777" w:rsidR="00170E4B" w:rsidRPr="00170E4B" w:rsidRDefault="00170E4B" w:rsidP="00170E4B">
            <w:pPr>
              <w:spacing w:after="0" w:line="240" w:lineRule="auto"/>
              <w:ind w:left="-113"/>
              <w:jc w:val="right"/>
              <w:rPr>
                <w:rFonts w:eastAsia="Times New Roman" w:cs="Calibri"/>
                <w:bCs/>
                <w:i/>
                <w:iCs/>
                <w:sz w:val="20"/>
                <w:szCs w:val="20"/>
                <w:lang w:val="en-US"/>
              </w:rPr>
            </w:pPr>
            <w:r w:rsidRPr="00170E4B">
              <w:rPr>
                <w:rFonts w:eastAsia="Times New Roman" w:cs="Calibri"/>
                <w:bCs/>
                <w:i/>
                <w:iCs/>
                <w:sz w:val="20"/>
                <w:szCs w:val="20"/>
                <w:lang w:val="en-US"/>
              </w:rPr>
              <w:t xml:space="preserve">8,936.1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EEB3"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26,680.2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2809"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124.5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7C767"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379.6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5DA2" w14:textId="77777777" w:rsidR="00170E4B" w:rsidRPr="00170E4B" w:rsidRDefault="00170E4B" w:rsidP="00170E4B">
            <w:pPr>
              <w:spacing w:after="0" w:line="240" w:lineRule="auto"/>
              <w:ind w:left="-102"/>
              <w:jc w:val="right"/>
              <w:rPr>
                <w:rFonts w:eastAsia="Times New Roman" w:cs="Calibri"/>
                <w:i/>
                <w:iCs/>
                <w:sz w:val="20"/>
                <w:szCs w:val="20"/>
                <w:lang w:val="en-US"/>
              </w:rPr>
            </w:pPr>
            <w:r w:rsidRPr="00170E4B">
              <w:rPr>
                <w:rFonts w:eastAsia="Times New Roman" w:cs="Calibri"/>
                <w:i/>
                <w:iCs/>
                <w:sz w:val="20"/>
                <w:szCs w:val="20"/>
                <w:lang w:val="en-US"/>
              </w:rPr>
              <w:t>59.7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E9F7ED" w14:textId="77777777" w:rsidR="00170E4B" w:rsidRPr="00170E4B" w:rsidRDefault="00170E4B" w:rsidP="00170E4B">
            <w:pPr>
              <w:spacing w:after="0" w:line="240" w:lineRule="auto"/>
              <w:ind w:left="-107"/>
              <w:jc w:val="right"/>
              <w:rPr>
                <w:rFonts w:eastAsia="Times New Roman" w:cs="Calibri"/>
                <w:i/>
                <w:iCs/>
                <w:sz w:val="20"/>
                <w:szCs w:val="20"/>
                <w:lang w:val="en-US"/>
              </w:rPr>
            </w:pPr>
            <w:r w:rsidRPr="00170E4B">
              <w:rPr>
                <w:rFonts w:eastAsia="Times New Roman" w:cs="Calibri"/>
                <w:i/>
                <w:iCs/>
                <w:sz w:val="20"/>
                <w:szCs w:val="20"/>
                <w:lang w:val="en-US"/>
              </w:rPr>
              <w:t>4,617.7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9D92FDE" w14:textId="77777777" w:rsidR="00170E4B" w:rsidRPr="00170E4B" w:rsidRDefault="00170E4B" w:rsidP="00170E4B">
            <w:pPr>
              <w:spacing w:after="0" w:line="240" w:lineRule="auto"/>
              <w:ind w:left="-113"/>
              <w:jc w:val="right"/>
              <w:rPr>
                <w:rFonts w:eastAsia="Times New Roman" w:cs="Calibri"/>
                <w:i/>
                <w:iCs/>
                <w:sz w:val="20"/>
                <w:szCs w:val="20"/>
                <w:lang w:val="en-US"/>
              </w:rPr>
            </w:pPr>
            <w:r w:rsidRPr="00170E4B">
              <w:rPr>
                <w:rFonts w:eastAsia="Times New Roman" w:cs="Calibri"/>
                <w:i/>
                <w:iCs/>
                <w:sz w:val="20"/>
                <w:szCs w:val="20"/>
                <w:lang w:val="en-US"/>
              </w:rPr>
              <w:t>8,840.9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0E195C" w14:textId="77777777" w:rsidR="00170E4B" w:rsidRPr="00170E4B" w:rsidRDefault="00170E4B" w:rsidP="00170E4B">
            <w:pPr>
              <w:spacing w:after="0" w:line="240" w:lineRule="auto"/>
              <w:jc w:val="right"/>
              <w:rPr>
                <w:rFonts w:eastAsia="Times New Roman" w:cs="Calibri"/>
                <w:i/>
                <w:iCs/>
                <w:sz w:val="20"/>
                <w:szCs w:val="20"/>
                <w:lang w:val="en-US"/>
              </w:rPr>
            </w:pPr>
            <w:r w:rsidRPr="00170E4B">
              <w:rPr>
                <w:rFonts w:eastAsia="Times New Roman" w:cs="Calibri"/>
                <w:i/>
                <w:iCs/>
                <w:sz w:val="20"/>
                <w:szCs w:val="20"/>
                <w:lang w:val="en-US"/>
              </w:rPr>
              <w:t>54,606.2</w:t>
            </w:r>
          </w:p>
        </w:tc>
      </w:tr>
      <w:tr w:rsidR="00170E4B" w:rsidRPr="00170E4B" w14:paraId="4D4958BD" w14:textId="77777777" w:rsidTr="00186266">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48039" w14:textId="77777777" w:rsidR="00170E4B" w:rsidRPr="00170E4B" w:rsidRDefault="00170E4B" w:rsidP="00170E4B">
            <w:pPr>
              <w:spacing w:after="0" w:line="240" w:lineRule="auto"/>
              <w:ind w:left="-66" w:right="-109"/>
              <w:jc w:val="left"/>
              <w:rPr>
                <w:rFonts w:eastAsia="Times New Roman" w:cs="Calibri"/>
                <w:b/>
                <w:bCs/>
                <w:i/>
                <w:iCs/>
                <w:sz w:val="20"/>
                <w:szCs w:val="20"/>
                <w:lang w:val="en-US"/>
              </w:rPr>
            </w:pPr>
            <w:r w:rsidRPr="00170E4B">
              <w:rPr>
                <w:rFonts w:eastAsia="Times New Roman" w:cs="Calibri"/>
                <w:b/>
                <w:bCs/>
                <w:i/>
                <w:iCs/>
                <w:sz w:val="20"/>
                <w:szCs w:val="20"/>
                <w:lang w:val="en-US"/>
              </w:rPr>
              <w:t>արտաքին տոկոսավճարներ,</w:t>
            </w:r>
            <w:r w:rsidRPr="00170E4B">
              <w:rPr>
                <w:rFonts w:eastAsia="Times New Roman" w:cs="Calibri"/>
                <w:b/>
                <w:bCs/>
                <w:i/>
                <w:iCs/>
                <w:sz w:val="20"/>
                <w:szCs w:val="20"/>
                <w:lang w:val="en-US"/>
              </w:rPr>
              <w:br/>
              <w:t>այդ թվում՝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F9D4" w14:textId="77777777" w:rsidR="00170E4B" w:rsidRPr="00170E4B" w:rsidRDefault="00170E4B" w:rsidP="00170E4B">
            <w:pPr>
              <w:spacing w:after="0" w:line="240" w:lineRule="auto"/>
              <w:ind w:left="-104"/>
              <w:jc w:val="right"/>
              <w:rPr>
                <w:rFonts w:eastAsia="Times New Roman" w:cs="Calibri"/>
                <w:b/>
                <w:bCs/>
                <w:i/>
                <w:iCs/>
                <w:sz w:val="20"/>
                <w:szCs w:val="20"/>
                <w:lang w:val="en-US"/>
              </w:rPr>
            </w:pPr>
            <w:r w:rsidRPr="00170E4B">
              <w:rPr>
                <w:rFonts w:eastAsia="Times New Roman" w:cs="Calibri"/>
                <w:b/>
                <w:bCs/>
                <w:i/>
                <w:iCs/>
                <w:sz w:val="20"/>
                <w:szCs w:val="20"/>
                <w:lang w:val="en-US"/>
              </w:rPr>
              <w:t xml:space="preserve">2,843.3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7FBCD"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3,812.2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D3BF" w14:textId="77777777" w:rsidR="00170E4B" w:rsidRPr="00170E4B" w:rsidRDefault="00170E4B" w:rsidP="00170E4B">
            <w:pPr>
              <w:spacing w:after="0" w:line="240" w:lineRule="auto"/>
              <w:ind w:left="-113"/>
              <w:jc w:val="right"/>
              <w:rPr>
                <w:rFonts w:eastAsia="Times New Roman" w:cs="Calibri"/>
                <w:b/>
                <w:bCs/>
                <w:i/>
                <w:iCs/>
                <w:sz w:val="20"/>
                <w:szCs w:val="20"/>
                <w:lang w:val="en-US"/>
              </w:rPr>
            </w:pPr>
            <w:r w:rsidRPr="00170E4B">
              <w:rPr>
                <w:rFonts w:eastAsia="Times New Roman" w:cs="Calibri"/>
                <w:b/>
                <w:bCs/>
                <w:i/>
                <w:iCs/>
                <w:sz w:val="20"/>
                <w:szCs w:val="20"/>
                <w:lang w:val="en-US"/>
              </w:rPr>
              <w:t xml:space="preserve">17,237.2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0BEC"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3,351.2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25C9"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8,091.9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940B" w14:textId="77777777" w:rsidR="00170E4B" w:rsidRPr="00170E4B" w:rsidRDefault="00170E4B" w:rsidP="00170E4B">
            <w:pPr>
              <w:spacing w:after="0" w:line="240" w:lineRule="auto"/>
              <w:ind w:left="-108"/>
              <w:jc w:val="right"/>
              <w:rPr>
                <w:rFonts w:eastAsia="Times New Roman" w:cs="Calibri"/>
                <w:b/>
                <w:bCs/>
                <w:i/>
                <w:iCs/>
                <w:sz w:val="20"/>
                <w:szCs w:val="20"/>
                <w:lang w:val="en-US"/>
              </w:rPr>
            </w:pPr>
            <w:r w:rsidRPr="00170E4B">
              <w:rPr>
                <w:rFonts w:eastAsia="Times New Roman" w:cs="Calibri"/>
                <w:b/>
                <w:bCs/>
                <w:i/>
                <w:iCs/>
                <w:sz w:val="20"/>
                <w:szCs w:val="20"/>
                <w:lang w:val="en-US"/>
              </w:rPr>
              <w:t xml:space="preserve">3,379.7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45EF" w14:textId="77777777" w:rsidR="00170E4B" w:rsidRPr="00170E4B" w:rsidRDefault="00170E4B" w:rsidP="00170E4B">
            <w:pPr>
              <w:spacing w:after="0" w:line="240" w:lineRule="auto"/>
              <w:ind w:left="-102"/>
              <w:jc w:val="right"/>
              <w:rPr>
                <w:rFonts w:eastAsia="Times New Roman" w:cs="Calibri"/>
                <w:b/>
                <w:bCs/>
                <w:i/>
                <w:iCs/>
                <w:sz w:val="20"/>
                <w:szCs w:val="20"/>
                <w:lang w:val="en-US"/>
              </w:rPr>
            </w:pPr>
            <w:r w:rsidRPr="00170E4B">
              <w:rPr>
                <w:rFonts w:eastAsia="Times New Roman" w:cs="Calibri"/>
                <w:b/>
                <w:bCs/>
                <w:i/>
                <w:iCs/>
                <w:sz w:val="20"/>
                <w:szCs w:val="20"/>
                <w:lang w:val="en-US"/>
              </w:rPr>
              <w:t>3,185.4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26B6CB" w14:textId="77777777" w:rsidR="00170E4B" w:rsidRPr="00170E4B" w:rsidRDefault="00170E4B" w:rsidP="00170E4B">
            <w:pPr>
              <w:spacing w:after="0" w:line="240" w:lineRule="auto"/>
              <w:ind w:left="-107"/>
              <w:jc w:val="right"/>
              <w:rPr>
                <w:rFonts w:eastAsia="Times New Roman" w:cs="Calibri"/>
                <w:b/>
                <w:bCs/>
                <w:i/>
                <w:iCs/>
                <w:sz w:val="20"/>
                <w:szCs w:val="20"/>
                <w:lang w:val="en-US"/>
              </w:rPr>
            </w:pPr>
            <w:r w:rsidRPr="00170E4B">
              <w:rPr>
                <w:rFonts w:eastAsia="Times New Roman" w:cs="Calibri"/>
                <w:b/>
                <w:bCs/>
                <w:i/>
                <w:iCs/>
                <w:sz w:val="20"/>
                <w:szCs w:val="20"/>
                <w:lang w:val="en-US"/>
              </w:rPr>
              <w:t>4,129.0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3F62D6" w14:textId="77777777" w:rsidR="00170E4B" w:rsidRPr="00170E4B" w:rsidRDefault="00170E4B" w:rsidP="00170E4B">
            <w:pPr>
              <w:spacing w:after="0" w:line="240" w:lineRule="auto"/>
              <w:ind w:left="-113"/>
              <w:jc w:val="right"/>
              <w:rPr>
                <w:rFonts w:eastAsia="Times New Roman" w:cs="Calibri"/>
                <w:b/>
                <w:bCs/>
                <w:i/>
                <w:iCs/>
                <w:sz w:val="20"/>
                <w:szCs w:val="20"/>
                <w:lang w:val="en-US"/>
              </w:rPr>
            </w:pPr>
            <w:r w:rsidRPr="00170E4B">
              <w:rPr>
                <w:rFonts w:eastAsia="Times New Roman" w:cs="Calibri"/>
                <w:b/>
                <w:bCs/>
                <w:i/>
                <w:iCs/>
                <w:sz w:val="20"/>
                <w:szCs w:val="20"/>
                <w:lang w:val="en-US"/>
              </w:rPr>
              <w:t>17,043.7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BF8476" w14:textId="77777777" w:rsidR="00170E4B" w:rsidRPr="00170E4B" w:rsidRDefault="00170E4B" w:rsidP="00170E4B">
            <w:pPr>
              <w:spacing w:after="0" w:line="240" w:lineRule="auto"/>
              <w:jc w:val="right"/>
              <w:rPr>
                <w:rFonts w:eastAsia="Times New Roman" w:cs="Calibri"/>
                <w:b/>
                <w:bCs/>
                <w:i/>
                <w:iCs/>
                <w:sz w:val="20"/>
                <w:szCs w:val="20"/>
                <w:lang w:val="en-US"/>
              </w:rPr>
            </w:pPr>
            <w:r w:rsidRPr="00170E4B">
              <w:rPr>
                <w:rFonts w:eastAsia="Times New Roman" w:cs="Calibri"/>
                <w:b/>
                <w:bCs/>
                <w:i/>
                <w:iCs/>
                <w:sz w:val="20"/>
                <w:szCs w:val="20"/>
                <w:lang w:val="en-US"/>
              </w:rPr>
              <w:t xml:space="preserve">63,073.6 </w:t>
            </w:r>
          </w:p>
        </w:tc>
      </w:tr>
      <w:tr w:rsidR="00170E4B" w:rsidRPr="00170E4B" w14:paraId="710539EB" w14:textId="77777777" w:rsidTr="00186266">
        <w:trPr>
          <w:trHeight w:val="7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E3B81" w14:textId="77777777" w:rsidR="00170E4B" w:rsidRPr="00170E4B" w:rsidRDefault="00170E4B" w:rsidP="00170E4B">
            <w:pPr>
              <w:spacing w:after="0" w:line="240" w:lineRule="auto"/>
              <w:ind w:left="-66" w:right="-109"/>
              <w:jc w:val="left"/>
              <w:rPr>
                <w:rFonts w:eastAsia="Times New Roman" w:cs="Calibri"/>
                <w:sz w:val="20"/>
                <w:szCs w:val="20"/>
              </w:rPr>
            </w:pPr>
            <w:r w:rsidRPr="00170E4B">
              <w:rPr>
                <w:rFonts w:eastAsia="Times New Roman" w:cs="Calibri"/>
                <w:sz w:val="20"/>
                <w:szCs w:val="20"/>
              </w:rPr>
              <w:t>արտաքին աղբյուրներից ստացված վարկերի գծով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9D8C79" w14:textId="77777777" w:rsidR="00170E4B" w:rsidRPr="00170E4B" w:rsidRDefault="00170E4B" w:rsidP="00170E4B">
            <w:pPr>
              <w:spacing w:after="0" w:line="240" w:lineRule="auto"/>
              <w:ind w:left="-104"/>
              <w:jc w:val="right"/>
              <w:rPr>
                <w:rFonts w:eastAsia="Times New Roman" w:cs="Calibri"/>
                <w:bCs/>
                <w:i/>
                <w:iCs/>
                <w:sz w:val="20"/>
                <w:szCs w:val="20"/>
                <w:lang w:val="en-US"/>
              </w:rPr>
            </w:pPr>
            <w:r w:rsidRPr="00170E4B">
              <w:rPr>
                <w:rFonts w:eastAsia="Times New Roman" w:cs="Calibri"/>
                <w:bCs/>
                <w:i/>
                <w:iCs/>
                <w:sz w:val="20"/>
                <w:szCs w:val="20"/>
                <w:lang w:val="en-US"/>
              </w:rPr>
              <w:t xml:space="preserve">2,843.3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822B1CE"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3,812.2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60C2059" w14:textId="77777777" w:rsidR="00170E4B" w:rsidRPr="00170E4B" w:rsidRDefault="00170E4B" w:rsidP="00170E4B">
            <w:pPr>
              <w:spacing w:after="0" w:line="240" w:lineRule="auto"/>
              <w:ind w:left="-113"/>
              <w:jc w:val="right"/>
              <w:rPr>
                <w:rFonts w:eastAsia="Times New Roman" w:cs="Calibri"/>
                <w:bCs/>
                <w:i/>
                <w:iCs/>
                <w:sz w:val="20"/>
                <w:szCs w:val="20"/>
                <w:lang w:val="en-US"/>
              </w:rPr>
            </w:pPr>
            <w:r w:rsidRPr="00170E4B">
              <w:rPr>
                <w:rFonts w:eastAsia="Times New Roman" w:cs="Calibri"/>
                <w:bCs/>
                <w:i/>
                <w:iCs/>
                <w:sz w:val="20"/>
                <w:szCs w:val="20"/>
                <w:lang w:val="en-US"/>
              </w:rPr>
              <w:t xml:space="preserve">2,619.6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A41E17A"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3,351.2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C73FBC9"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8,091.9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88F0829"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3,379.7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390B4D" w14:textId="77777777" w:rsidR="00170E4B" w:rsidRPr="00170E4B" w:rsidRDefault="00170E4B" w:rsidP="00170E4B">
            <w:pPr>
              <w:spacing w:after="0" w:line="240" w:lineRule="auto"/>
              <w:ind w:left="-102"/>
              <w:jc w:val="right"/>
              <w:rPr>
                <w:rFonts w:eastAsia="Times New Roman" w:cs="Calibri"/>
                <w:sz w:val="20"/>
                <w:szCs w:val="20"/>
                <w:lang w:val="en-US"/>
              </w:rPr>
            </w:pPr>
            <w:r w:rsidRPr="00170E4B">
              <w:rPr>
                <w:rFonts w:eastAsia="Times New Roman" w:cs="Calibri"/>
                <w:sz w:val="20"/>
                <w:szCs w:val="20"/>
                <w:lang w:val="en-US"/>
              </w:rPr>
              <w:t>3,185.4</w:t>
            </w:r>
          </w:p>
        </w:tc>
        <w:tc>
          <w:tcPr>
            <w:tcW w:w="851" w:type="dxa"/>
            <w:tcBorders>
              <w:top w:val="single" w:sz="4" w:space="0" w:color="auto"/>
              <w:left w:val="nil"/>
              <w:bottom w:val="single" w:sz="4" w:space="0" w:color="auto"/>
              <w:right w:val="single" w:sz="4" w:space="0" w:color="auto"/>
            </w:tcBorders>
            <w:shd w:val="clear" w:color="auto" w:fill="auto"/>
            <w:vAlign w:val="center"/>
          </w:tcPr>
          <w:p w14:paraId="01734CF0" w14:textId="77777777" w:rsidR="00170E4B" w:rsidRPr="00170E4B" w:rsidRDefault="00170E4B" w:rsidP="00170E4B">
            <w:pPr>
              <w:spacing w:after="0" w:line="240" w:lineRule="auto"/>
              <w:ind w:left="-107"/>
              <w:jc w:val="right"/>
              <w:rPr>
                <w:rFonts w:eastAsia="Times New Roman" w:cs="Calibri"/>
                <w:sz w:val="20"/>
                <w:szCs w:val="20"/>
                <w:lang w:val="en-US"/>
              </w:rPr>
            </w:pPr>
            <w:r w:rsidRPr="00170E4B">
              <w:rPr>
                <w:rFonts w:eastAsia="Times New Roman" w:cs="Calibri"/>
                <w:sz w:val="20"/>
                <w:szCs w:val="20"/>
                <w:lang w:val="en-US"/>
              </w:rPr>
              <w:t>4,129.0</w:t>
            </w:r>
          </w:p>
        </w:tc>
        <w:tc>
          <w:tcPr>
            <w:tcW w:w="1133" w:type="dxa"/>
            <w:tcBorders>
              <w:top w:val="single" w:sz="4" w:space="0" w:color="auto"/>
              <w:left w:val="nil"/>
              <w:bottom w:val="single" w:sz="4" w:space="0" w:color="auto"/>
              <w:right w:val="single" w:sz="4" w:space="0" w:color="auto"/>
            </w:tcBorders>
            <w:shd w:val="clear" w:color="auto" w:fill="auto"/>
            <w:vAlign w:val="center"/>
          </w:tcPr>
          <w:p w14:paraId="3F5B3CFF" w14:textId="77777777" w:rsidR="00170E4B" w:rsidRPr="00170E4B" w:rsidRDefault="00170E4B" w:rsidP="00170E4B">
            <w:pPr>
              <w:spacing w:after="0" w:line="240" w:lineRule="auto"/>
              <w:ind w:left="-113"/>
              <w:jc w:val="right"/>
              <w:rPr>
                <w:rFonts w:eastAsia="Times New Roman" w:cs="Calibri"/>
                <w:sz w:val="20"/>
                <w:szCs w:val="20"/>
                <w:lang w:val="en-US"/>
              </w:rPr>
            </w:pPr>
            <w:r w:rsidRPr="00170E4B">
              <w:rPr>
                <w:rFonts w:eastAsia="Times New Roman" w:cs="Calibri"/>
                <w:sz w:val="20"/>
                <w:szCs w:val="20"/>
                <w:lang w:val="en-US"/>
              </w:rPr>
              <w:t>2,426.1</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FEA1E" w14:textId="77777777" w:rsidR="00170E4B" w:rsidRPr="00170E4B" w:rsidRDefault="00170E4B" w:rsidP="00170E4B">
            <w:pPr>
              <w:spacing w:after="0" w:line="240" w:lineRule="auto"/>
              <w:jc w:val="right"/>
              <w:rPr>
                <w:rFonts w:eastAsia="Times New Roman" w:cs="Calibri"/>
                <w:sz w:val="20"/>
                <w:szCs w:val="20"/>
                <w:lang w:val="en-US"/>
              </w:rPr>
            </w:pPr>
            <w:r w:rsidRPr="00170E4B">
              <w:rPr>
                <w:rFonts w:eastAsia="Times New Roman" w:cs="Calibri"/>
                <w:sz w:val="20"/>
                <w:szCs w:val="20"/>
                <w:lang w:val="en-US"/>
              </w:rPr>
              <w:t xml:space="preserve">33,838.3 </w:t>
            </w:r>
          </w:p>
        </w:tc>
      </w:tr>
      <w:tr w:rsidR="00170E4B" w:rsidRPr="00170E4B" w14:paraId="51AC51C0" w14:textId="77777777" w:rsidTr="00186266">
        <w:trPr>
          <w:trHeight w:val="7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8BCEF9" w14:textId="77777777" w:rsidR="00170E4B" w:rsidRPr="00170E4B" w:rsidRDefault="00170E4B" w:rsidP="00170E4B">
            <w:pPr>
              <w:spacing w:after="0" w:line="240" w:lineRule="auto"/>
              <w:ind w:left="-66" w:right="-109"/>
              <w:jc w:val="left"/>
              <w:rPr>
                <w:rFonts w:eastAsia="Times New Roman" w:cs="Calibri"/>
                <w:sz w:val="20"/>
                <w:szCs w:val="20"/>
                <w:lang w:val="en-US"/>
              </w:rPr>
            </w:pPr>
            <w:r w:rsidRPr="00170E4B">
              <w:rPr>
                <w:rFonts w:eastAsia="Times New Roman" w:cs="Calibri"/>
                <w:sz w:val="20"/>
                <w:szCs w:val="20"/>
                <w:lang w:val="en-US"/>
              </w:rPr>
              <w:t>արտարժույթով պետական պարտատոմսերի գծով</w:t>
            </w:r>
          </w:p>
        </w:tc>
        <w:tc>
          <w:tcPr>
            <w:tcW w:w="992" w:type="dxa"/>
            <w:tcBorders>
              <w:top w:val="nil"/>
              <w:left w:val="nil"/>
              <w:bottom w:val="single" w:sz="4" w:space="0" w:color="auto"/>
              <w:right w:val="single" w:sz="4" w:space="0" w:color="auto"/>
            </w:tcBorders>
            <w:shd w:val="clear" w:color="auto" w:fill="auto"/>
            <w:noWrap/>
            <w:vAlign w:val="center"/>
            <w:hideMark/>
          </w:tcPr>
          <w:p w14:paraId="3E902829" w14:textId="77777777" w:rsidR="00170E4B" w:rsidRPr="00170E4B" w:rsidRDefault="00170E4B" w:rsidP="00170E4B">
            <w:pPr>
              <w:spacing w:after="0" w:line="240" w:lineRule="auto"/>
              <w:ind w:left="-104"/>
              <w:jc w:val="right"/>
              <w:rPr>
                <w:rFonts w:eastAsia="Times New Roman" w:cs="Calibri"/>
                <w:bCs/>
                <w:i/>
                <w:iCs/>
                <w:sz w:val="20"/>
                <w:szCs w:val="20"/>
                <w:lang w:val="en-US"/>
              </w:rPr>
            </w:pPr>
            <w:r w:rsidRPr="00170E4B">
              <w:rPr>
                <w:rFonts w:eastAsia="Times New Roman" w:cs="Calibri"/>
                <w:bCs/>
                <w:i/>
                <w:iCs/>
                <w:sz w:val="20"/>
                <w:szCs w:val="20"/>
                <w:lang w:val="en-US"/>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3B61708E"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14:paraId="2427D240" w14:textId="77777777" w:rsidR="00170E4B" w:rsidRPr="00170E4B" w:rsidRDefault="00170E4B" w:rsidP="00170E4B">
            <w:pPr>
              <w:spacing w:after="0" w:line="240" w:lineRule="auto"/>
              <w:ind w:left="-113"/>
              <w:jc w:val="right"/>
              <w:rPr>
                <w:rFonts w:eastAsia="Times New Roman" w:cs="Calibri"/>
                <w:bCs/>
                <w:i/>
                <w:iCs/>
                <w:sz w:val="20"/>
                <w:szCs w:val="20"/>
                <w:lang w:val="en-US"/>
              </w:rPr>
            </w:pPr>
            <w:r w:rsidRPr="00170E4B">
              <w:rPr>
                <w:rFonts w:eastAsia="Times New Roman" w:cs="Calibri"/>
                <w:bCs/>
                <w:i/>
                <w:iCs/>
                <w:sz w:val="20"/>
                <w:szCs w:val="20"/>
                <w:lang w:val="en-US"/>
              </w:rPr>
              <w:t xml:space="preserve">14,617.7 </w:t>
            </w:r>
          </w:p>
        </w:tc>
        <w:tc>
          <w:tcPr>
            <w:tcW w:w="992" w:type="dxa"/>
            <w:tcBorders>
              <w:top w:val="nil"/>
              <w:left w:val="nil"/>
              <w:bottom w:val="single" w:sz="4" w:space="0" w:color="auto"/>
              <w:right w:val="single" w:sz="4" w:space="0" w:color="auto"/>
            </w:tcBorders>
            <w:shd w:val="clear" w:color="auto" w:fill="auto"/>
            <w:noWrap/>
            <w:vAlign w:val="center"/>
            <w:hideMark/>
          </w:tcPr>
          <w:p w14:paraId="26B9B2D9"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14:paraId="3D0F0141"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3AFECF7" w14:textId="77777777" w:rsidR="00170E4B" w:rsidRPr="00170E4B" w:rsidRDefault="00170E4B" w:rsidP="00170E4B">
            <w:pPr>
              <w:spacing w:after="0" w:line="240" w:lineRule="auto"/>
              <w:ind w:left="-108"/>
              <w:jc w:val="right"/>
              <w:rPr>
                <w:rFonts w:eastAsia="Times New Roman" w:cs="Calibri"/>
                <w:bCs/>
                <w:i/>
                <w:iCs/>
                <w:sz w:val="20"/>
                <w:szCs w:val="20"/>
                <w:lang w:val="en-US"/>
              </w:rPr>
            </w:pPr>
            <w:r w:rsidRPr="00170E4B">
              <w:rPr>
                <w:rFonts w:eastAsia="Times New Roman" w:cs="Calibri"/>
                <w:bCs/>
                <w:i/>
                <w:iCs/>
                <w:sz w:val="20"/>
                <w:szCs w:val="20"/>
                <w:lang w:val="en-US"/>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F2264C0" w14:textId="77777777" w:rsidR="00170E4B" w:rsidRPr="00170E4B" w:rsidRDefault="00170E4B" w:rsidP="00170E4B">
            <w:pPr>
              <w:spacing w:after="0" w:line="240" w:lineRule="auto"/>
              <w:ind w:left="-102"/>
              <w:jc w:val="right"/>
              <w:rPr>
                <w:rFonts w:eastAsia="Times New Roman" w:cs="Calibri"/>
                <w:bCs/>
                <w:i/>
                <w:iCs/>
                <w:sz w:val="20"/>
                <w:szCs w:val="20"/>
                <w:lang w:val="en-US"/>
              </w:rPr>
            </w:pPr>
            <w:r w:rsidRPr="00170E4B">
              <w:rPr>
                <w:rFonts w:eastAsia="Times New Roman" w:cs="Calibri"/>
                <w:bCs/>
                <w:i/>
                <w:iCs/>
                <w:sz w:val="20"/>
                <w:szCs w:val="20"/>
                <w:lang w:val="en-US"/>
              </w:rPr>
              <w:t>-</w:t>
            </w:r>
          </w:p>
        </w:tc>
        <w:tc>
          <w:tcPr>
            <w:tcW w:w="851" w:type="dxa"/>
            <w:tcBorders>
              <w:top w:val="nil"/>
              <w:left w:val="nil"/>
              <w:bottom w:val="single" w:sz="4" w:space="0" w:color="auto"/>
              <w:right w:val="single" w:sz="4" w:space="0" w:color="auto"/>
            </w:tcBorders>
            <w:shd w:val="clear" w:color="auto" w:fill="auto"/>
            <w:vAlign w:val="center"/>
          </w:tcPr>
          <w:p w14:paraId="357FC2E3" w14:textId="77777777" w:rsidR="00170E4B" w:rsidRPr="00170E4B" w:rsidRDefault="00170E4B" w:rsidP="00170E4B">
            <w:pPr>
              <w:spacing w:after="0" w:line="240" w:lineRule="auto"/>
              <w:ind w:left="-107"/>
              <w:jc w:val="right"/>
              <w:rPr>
                <w:rFonts w:eastAsia="Times New Roman" w:cs="Calibri"/>
                <w:bCs/>
                <w:i/>
                <w:iCs/>
                <w:sz w:val="20"/>
                <w:szCs w:val="20"/>
                <w:lang w:val="en-US"/>
              </w:rPr>
            </w:pPr>
            <w:r w:rsidRPr="00170E4B">
              <w:rPr>
                <w:rFonts w:eastAsia="Times New Roman" w:cs="Calibri"/>
                <w:bCs/>
                <w:i/>
                <w:iCs/>
                <w:sz w:val="20"/>
                <w:szCs w:val="20"/>
                <w:lang w:val="en-US"/>
              </w:rPr>
              <w:t>-</w:t>
            </w:r>
          </w:p>
        </w:tc>
        <w:tc>
          <w:tcPr>
            <w:tcW w:w="1133" w:type="dxa"/>
            <w:tcBorders>
              <w:top w:val="nil"/>
              <w:left w:val="nil"/>
              <w:bottom w:val="single" w:sz="4" w:space="0" w:color="auto"/>
              <w:right w:val="single" w:sz="4" w:space="0" w:color="auto"/>
            </w:tcBorders>
            <w:shd w:val="clear" w:color="auto" w:fill="auto"/>
            <w:vAlign w:val="center"/>
          </w:tcPr>
          <w:p w14:paraId="01644D98" w14:textId="77777777" w:rsidR="00170E4B" w:rsidRPr="00170E4B" w:rsidRDefault="00170E4B" w:rsidP="00170E4B">
            <w:pPr>
              <w:spacing w:after="0" w:line="240" w:lineRule="auto"/>
              <w:ind w:left="-113"/>
              <w:jc w:val="right"/>
              <w:rPr>
                <w:rFonts w:eastAsia="Times New Roman" w:cs="Calibri"/>
                <w:bCs/>
                <w:i/>
                <w:iCs/>
                <w:sz w:val="20"/>
                <w:szCs w:val="20"/>
                <w:lang w:val="en-US"/>
              </w:rPr>
            </w:pPr>
            <w:r w:rsidRPr="00170E4B">
              <w:rPr>
                <w:rFonts w:eastAsia="Times New Roman" w:cs="Calibri"/>
                <w:bCs/>
                <w:i/>
                <w:iCs/>
                <w:sz w:val="20"/>
                <w:szCs w:val="20"/>
                <w:lang w:val="en-US"/>
              </w:rPr>
              <w:t>14,617.7</w:t>
            </w:r>
          </w:p>
        </w:tc>
        <w:tc>
          <w:tcPr>
            <w:tcW w:w="1276" w:type="dxa"/>
            <w:tcBorders>
              <w:top w:val="nil"/>
              <w:left w:val="nil"/>
              <w:bottom w:val="single" w:sz="4" w:space="0" w:color="auto"/>
              <w:right w:val="single" w:sz="4" w:space="0" w:color="auto"/>
            </w:tcBorders>
            <w:shd w:val="clear" w:color="auto" w:fill="auto"/>
            <w:vAlign w:val="center"/>
          </w:tcPr>
          <w:p w14:paraId="00016C81" w14:textId="77777777" w:rsidR="00170E4B" w:rsidRPr="00170E4B" w:rsidRDefault="00170E4B" w:rsidP="00170E4B">
            <w:pPr>
              <w:spacing w:after="0" w:line="240" w:lineRule="auto"/>
              <w:jc w:val="right"/>
              <w:rPr>
                <w:rFonts w:eastAsia="Times New Roman" w:cs="Calibri"/>
                <w:bCs/>
                <w:i/>
                <w:iCs/>
                <w:sz w:val="20"/>
                <w:szCs w:val="20"/>
                <w:lang w:val="en-US"/>
              </w:rPr>
            </w:pPr>
            <w:r w:rsidRPr="00170E4B">
              <w:rPr>
                <w:rFonts w:eastAsia="Times New Roman" w:cs="Calibri"/>
                <w:bCs/>
                <w:i/>
                <w:iCs/>
                <w:sz w:val="20"/>
                <w:szCs w:val="20"/>
                <w:lang w:val="en-US"/>
              </w:rPr>
              <w:t>29,235.3</w:t>
            </w:r>
          </w:p>
        </w:tc>
      </w:tr>
    </w:tbl>
    <w:p w14:paraId="5AC923A0" w14:textId="77777777" w:rsidR="00170E4B" w:rsidRPr="00170E4B" w:rsidRDefault="00170E4B" w:rsidP="00170E4B">
      <w:pPr>
        <w:spacing w:after="0"/>
        <w:jc w:val="left"/>
        <w:rPr>
          <w:rFonts w:eastAsia="Times New Roman" w:cs="Times New Roman"/>
          <w:sz w:val="20"/>
          <w:szCs w:val="20"/>
        </w:rPr>
      </w:pPr>
    </w:p>
    <w:p w14:paraId="6D278085" w14:textId="77777777" w:rsidR="000C57DC" w:rsidRDefault="000C57DC" w:rsidP="00170E4B">
      <w:pPr>
        <w:spacing w:after="200"/>
        <w:rPr>
          <w:rFonts w:eastAsia="Times New Roman" w:cs="Times New Roman"/>
          <w:highlight w:val="red"/>
        </w:rPr>
      </w:pPr>
    </w:p>
    <w:p w14:paraId="64957F24" w14:textId="77777777" w:rsidR="00472C2F" w:rsidRPr="00472C2F" w:rsidRDefault="00472C2F" w:rsidP="00472C2F">
      <w:pPr>
        <w:spacing w:after="120" w:line="312" w:lineRule="auto"/>
        <w:rPr>
          <w:rFonts w:cs="Arial"/>
          <w:b/>
          <w:i/>
          <w:color w:val="002060"/>
        </w:rPr>
      </w:pPr>
      <w:r w:rsidRPr="00472C2F">
        <w:rPr>
          <w:rFonts w:cs="Arial"/>
          <w:b/>
          <w:i/>
          <w:color w:val="002060"/>
        </w:rPr>
        <w:t>Հաշվեքննության օբյեկտի արձագանք</w:t>
      </w:r>
    </w:p>
    <w:p w14:paraId="77F2F408" w14:textId="0D6CA3A5" w:rsidR="0056632F" w:rsidRDefault="0056632F" w:rsidP="00472C2F">
      <w:pPr>
        <w:spacing w:after="120" w:line="312" w:lineRule="auto"/>
        <w:ind w:firstLine="567"/>
        <w:rPr>
          <w:rFonts w:cs="Sylfaen"/>
        </w:rPr>
      </w:pPr>
      <w:r>
        <w:rPr>
          <w:rFonts w:cs="Sylfaen"/>
        </w:rPr>
        <w:t xml:space="preserve">Արձանագրության 24-րդ էջում </w:t>
      </w:r>
      <w:r w:rsidR="00F263F6">
        <w:rPr>
          <w:rFonts w:cs="Sylfaen"/>
        </w:rPr>
        <w:t>էջում ներկայացված աղյուսակի 4-րդ սյան 5-րդ տողում ՀՀ պետական պարտքի ցուցանիշը՝ 7,854.67-ի փոխարեն, պետք է լինի 7,854.6։</w:t>
      </w:r>
    </w:p>
    <w:p w14:paraId="563B6849" w14:textId="52894A44" w:rsidR="00472C2F" w:rsidRPr="00472C2F" w:rsidRDefault="00472C2F" w:rsidP="00472C2F">
      <w:pPr>
        <w:spacing w:after="120" w:line="312" w:lineRule="auto"/>
        <w:ind w:firstLine="567"/>
        <w:rPr>
          <w:rFonts w:ascii="Courier New" w:hAnsi="Courier New" w:cs="Courier New"/>
          <w:bCs/>
          <w:iCs/>
        </w:rPr>
      </w:pPr>
      <w:r w:rsidRPr="00472C2F">
        <w:rPr>
          <w:rFonts w:cs="Sylfaen"/>
        </w:rPr>
        <w:t xml:space="preserve">Արձանագրության </w:t>
      </w:r>
      <w:r w:rsidR="00CC2B81" w:rsidRPr="00CC2B81">
        <w:rPr>
          <w:rFonts w:cs="Sylfaen"/>
        </w:rPr>
        <w:t>26</w:t>
      </w:r>
      <w:r w:rsidR="00CC2B81">
        <w:rPr>
          <w:rFonts w:cs="Sylfaen"/>
        </w:rPr>
        <w:t>-րդ էջում ներկայացված աղյուսակի 2-րդ սյան 1-ին տողում (Եվրասիական Զարգացման Բանկ (Կայունացման և Զարգացման Եվրասիական Հիմնադրամի կառավարիչ)) ցուցանիշը՝ 7.1-ի փոխարեն, պետք է լինի 7.2, 3-րդ սյան 6-րդ տողում (Ֆրանսիա (</w:t>
      </w:r>
      <w:r w:rsidR="00CC2B81" w:rsidRPr="00CC2B81">
        <w:rPr>
          <w:rFonts w:cs="Sylfaen"/>
        </w:rPr>
        <w:t>France))` 3.0-</w:t>
      </w:r>
      <w:r w:rsidR="00CC2B81">
        <w:rPr>
          <w:rFonts w:cs="Sylfaen"/>
        </w:rPr>
        <w:t>ի փոխարեն 3.1, 2-րդ սյան 8-րդ տողում (Ճապոնիա (</w:t>
      </w:r>
      <w:r w:rsidR="00CC2B81" w:rsidRPr="00CC2B81">
        <w:rPr>
          <w:rFonts w:cs="Sylfaen"/>
        </w:rPr>
        <w:t>JICA))` 5.3-</w:t>
      </w:r>
      <w:r w:rsidR="00CC2B81">
        <w:rPr>
          <w:rFonts w:cs="Sylfaen"/>
        </w:rPr>
        <w:t>ի փոխարեն 5.2</w:t>
      </w:r>
      <w:r w:rsidRPr="00472C2F">
        <w:rPr>
          <w:rFonts w:cs="Arial"/>
          <w:bCs/>
          <w:iCs/>
        </w:rPr>
        <w:t>։</w:t>
      </w:r>
    </w:p>
    <w:p w14:paraId="401C9B0D" w14:textId="77777777" w:rsidR="00472C2F" w:rsidRPr="00472C2F" w:rsidRDefault="00472C2F" w:rsidP="00472C2F">
      <w:pPr>
        <w:rPr>
          <w:rFonts w:cs="Sylfaen"/>
        </w:rPr>
      </w:pPr>
    </w:p>
    <w:p w14:paraId="24751618" w14:textId="77777777" w:rsidR="00472C2F" w:rsidRPr="00472C2F" w:rsidRDefault="00472C2F" w:rsidP="00472C2F">
      <w:pPr>
        <w:spacing w:before="360" w:after="120" w:line="312" w:lineRule="auto"/>
        <w:rPr>
          <w:rFonts w:cs="Arial"/>
          <w:b/>
          <w:i/>
          <w:color w:val="002060"/>
        </w:rPr>
      </w:pPr>
      <w:r w:rsidRPr="00472C2F">
        <w:rPr>
          <w:rFonts w:cs="Arial"/>
          <w:b/>
          <w:i/>
          <w:color w:val="002060"/>
        </w:rPr>
        <w:t>Հաշվեքննիչ պալատի մեկնաբանություն</w:t>
      </w:r>
    </w:p>
    <w:p w14:paraId="7168A21D" w14:textId="258617CF" w:rsidR="00170E4B" w:rsidRPr="00170E4B" w:rsidRDefault="006E4778" w:rsidP="006E4778">
      <w:pPr>
        <w:spacing w:after="200"/>
        <w:ind w:firstLine="567"/>
        <w:rPr>
          <w:rFonts w:eastAsia="Times New Roman" w:cs="Times New Roman"/>
          <w:highlight w:val="red"/>
        </w:rPr>
      </w:pPr>
      <w:r>
        <w:t>Հաշվեքննության օբյեկտի նկատառումները հաշվի են առնվել։</w:t>
      </w:r>
      <w:r w:rsidR="00472C2F" w:rsidRPr="00472C2F">
        <w:t xml:space="preserve"> </w:t>
      </w:r>
      <w:r w:rsidR="00170E4B" w:rsidRPr="00170E4B">
        <w:rPr>
          <w:rFonts w:eastAsia="Times New Roman" w:cs="Times New Roman"/>
          <w:highlight w:val="red"/>
        </w:rPr>
        <w:br w:type="page"/>
      </w:r>
    </w:p>
    <w:p w14:paraId="56202F71" w14:textId="77777777" w:rsidR="00170E4B" w:rsidRPr="00170E4B" w:rsidRDefault="00170E4B" w:rsidP="00EB7AF5">
      <w:pPr>
        <w:pStyle w:val="Heading2"/>
      </w:pPr>
      <w:bookmarkStart w:id="18" w:name="_Toc64560577"/>
      <w:r w:rsidRPr="00170E4B">
        <w:lastRenderedPageBreak/>
        <w:t>ՄՈՒՐՀԱԿՆԵՐԻ ՍՊԱՍԱՐԿՈՒՄ</w:t>
      </w:r>
      <w:bookmarkEnd w:id="18"/>
    </w:p>
    <w:p w14:paraId="2BC8D419" w14:textId="77777777" w:rsidR="00170E4B" w:rsidRPr="00170E4B" w:rsidRDefault="00170E4B" w:rsidP="00170E4B">
      <w:pPr>
        <w:spacing w:after="120"/>
        <w:ind w:firstLine="567"/>
        <w:rPr>
          <w:rFonts w:eastAsia="Times New Roman" w:cs="Sylfaen"/>
        </w:rPr>
      </w:pPr>
    </w:p>
    <w:p w14:paraId="527D98F3" w14:textId="77777777" w:rsidR="00170E4B" w:rsidRPr="00170E4B" w:rsidRDefault="00170E4B" w:rsidP="00170E4B">
      <w:pPr>
        <w:spacing w:after="120"/>
        <w:ind w:firstLine="567"/>
        <w:rPr>
          <w:rFonts w:eastAsia="Times New Roman" w:cs="Times New Roman"/>
        </w:rPr>
      </w:pPr>
      <w:r w:rsidRPr="00170E4B">
        <w:rPr>
          <w:rFonts w:eastAsia="Times New Roman" w:cs="Sylfaen"/>
        </w:rPr>
        <w:t>«</w:t>
      </w:r>
      <w:r w:rsidRPr="00170E4B">
        <w:rPr>
          <w:rFonts w:eastAsia="Times New Roman" w:cs="Times New Roman"/>
        </w:rPr>
        <w:t>Մուրհակների սպասարկում» միջոցառման շրջանակներում 2020թ. տարեկան ծախսերի համար 2020թ. պետական բյուջեով նախատեսվել է 93,232.0 հազ.դրամ գումար, 2020թ. իննամսյա պլանը կազմել է 68,497.50 հազ.դրամ, նույնքան էլ ճշտված պլանը, դրամարկղի ծախսը՝ 68,445.19 հազ.դրամ, ճշտված պլանի և դրամարկղի ծախսի տարբերությունը՝ 52.31 հազ.դրամ:</w:t>
      </w:r>
    </w:p>
    <w:p w14:paraId="37618243"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Թերակատարումը, ֆինանսների նախարարության հիմնավորմամբ, կապված է մարման ենթակա մուրհակների մուրհակատերերի կողմից թվով 3 մուրհակների վճարման հայտերի չներկայացմամբ։</w:t>
      </w:r>
    </w:p>
    <w:p w14:paraId="32CF11F7" w14:textId="77777777" w:rsidR="00170E4B" w:rsidRPr="00170E4B" w:rsidRDefault="00170E4B" w:rsidP="00170E4B">
      <w:pPr>
        <w:spacing w:after="120"/>
        <w:ind w:firstLine="567"/>
        <w:rPr>
          <w:rFonts w:eastAsia="Times New Roman" w:cs="Times New Roman"/>
        </w:rPr>
      </w:pPr>
    </w:p>
    <w:p w14:paraId="121FB173" w14:textId="77777777" w:rsidR="00170E4B" w:rsidRPr="00170E4B" w:rsidRDefault="00170E4B" w:rsidP="00EB7AF5">
      <w:pPr>
        <w:pStyle w:val="Heading2"/>
      </w:pPr>
      <w:bookmarkStart w:id="19" w:name="_Toc64560578"/>
      <w:r w:rsidRPr="00170E4B">
        <w:t>ՊԵՏԱԿԱՆ ՀԻՄՆԱՐԿՆԵՐԻ ԵՎ ԿԱԶՄԱԿԵՐՊՈՒԹՅՈՒՆՆԵՐԻ ԱՇԽԱՏՈՂՆԵՐԻ ՍՈՑԻԱԼԱԿԱՆ  ՓԱԹԵԹՈՎ ԱՊԱՀՈՎՈՒՄ</w:t>
      </w:r>
      <w:bookmarkEnd w:id="19"/>
    </w:p>
    <w:p w14:paraId="64E7531B" w14:textId="77777777" w:rsidR="00170E4B" w:rsidRPr="00170E4B" w:rsidRDefault="00170E4B" w:rsidP="00170E4B">
      <w:pPr>
        <w:spacing w:after="120"/>
        <w:ind w:firstLine="567"/>
        <w:rPr>
          <w:rFonts w:eastAsia="Times New Roman" w:cs="Times New Roman"/>
          <w:highlight w:val="red"/>
        </w:rPr>
      </w:pPr>
    </w:p>
    <w:p w14:paraId="196C13D8" w14:textId="77777777" w:rsidR="00170E4B" w:rsidRPr="00170E4B" w:rsidRDefault="00170E4B" w:rsidP="00170E4B">
      <w:pPr>
        <w:spacing w:after="120"/>
        <w:ind w:firstLine="567"/>
        <w:rPr>
          <w:rFonts w:eastAsia="Times New Roman" w:cs="Times New Roman"/>
        </w:rPr>
      </w:pPr>
      <w:r w:rsidRPr="00170E4B">
        <w:rPr>
          <w:rFonts w:eastAsia="Times New Roman" w:cs="Sylfaen"/>
        </w:rPr>
        <w:t>«</w:t>
      </w:r>
      <w:r w:rsidRPr="00170E4B">
        <w:rPr>
          <w:rFonts w:eastAsia="Times New Roman" w:cs="Times New Roman"/>
        </w:rPr>
        <w:t>Պետական հիմնարկների եվ կազմակերպությունների աշխատողների սոցիալական  փաթեթով ապահովում» միջոցառման շրջանակներում 2020թ. տարեկան ճշտված պլանով  նախատեսվել է 35,136</w:t>
      </w:r>
      <w:r w:rsidRPr="00170E4B">
        <w:rPr>
          <w:rFonts w:ascii="Cambria Math" w:eastAsia="Times New Roman" w:hAnsi="Cambria Math" w:cs="Cambria Math"/>
        </w:rPr>
        <w:t>․</w:t>
      </w:r>
      <w:r w:rsidRPr="00170E4B">
        <w:rPr>
          <w:rFonts w:eastAsia="Times New Roman" w:cs="Times New Roman"/>
        </w:rPr>
        <w:t>0 հազ.դրամ գումար, 2020թ. 9 ամիսների ճշտված պլանով թվով 517 աշխատակցի հաշվարկով պլանավորվել է 25,830</w:t>
      </w:r>
      <w:r w:rsidRPr="00170E4B">
        <w:rPr>
          <w:rFonts w:ascii="Cambria Math" w:eastAsia="Times New Roman" w:hAnsi="Cambria Math" w:cs="Cambria Math"/>
        </w:rPr>
        <w:t>․</w:t>
      </w:r>
      <w:r w:rsidRPr="00170E4B">
        <w:rPr>
          <w:rFonts w:eastAsia="Times New Roman" w:cs="Times New Roman"/>
        </w:rPr>
        <w:t>0 հազ.դրամ։ Դրամարկղի ծախսը կազմել է 15,730.85 հազ. դրամ՝ սոցիալական փաթեթներով ապահովվել է թվով 327 աշխատակից, ճշտված պլանի և դրամարկղի ծախսի տարբերությունը կազմել է 10,099.15 հազ</w:t>
      </w:r>
      <w:r w:rsidRPr="00170E4B">
        <w:rPr>
          <w:rFonts w:ascii="Cambria Math" w:eastAsia="Times New Roman" w:hAnsi="Cambria Math" w:cs="Cambria Math"/>
        </w:rPr>
        <w:t>․</w:t>
      </w:r>
      <w:r w:rsidRPr="00170E4B">
        <w:rPr>
          <w:rFonts w:eastAsia="Times New Roman" w:cs="Times New Roman"/>
        </w:rPr>
        <w:t>դրամ, ինչը պայմանավարված է հաշվետու ժամանակաշրջանում չհամալրված 190 միավոր հաստիքների հանգամանքով։</w:t>
      </w:r>
    </w:p>
    <w:p w14:paraId="6242018F" w14:textId="77777777" w:rsidR="00170E4B" w:rsidRPr="00170E4B" w:rsidRDefault="00170E4B" w:rsidP="00170E4B">
      <w:pPr>
        <w:spacing w:after="120"/>
        <w:ind w:firstLine="567"/>
        <w:rPr>
          <w:rFonts w:eastAsia="Times New Roman" w:cs="Times New Roman"/>
          <w:highlight w:val="red"/>
        </w:rPr>
      </w:pPr>
    </w:p>
    <w:p w14:paraId="309B3E4F" w14:textId="77777777" w:rsidR="00170E4B" w:rsidRPr="00170E4B" w:rsidRDefault="00170E4B" w:rsidP="00EB7AF5">
      <w:pPr>
        <w:pStyle w:val="Heading2"/>
      </w:pPr>
      <w:bookmarkStart w:id="20" w:name="_Toc64560579"/>
      <w:r w:rsidRPr="00170E4B">
        <w:t>ՌՈՒՍԱՍՏԱՆԻ ԴԱՇՆՈՒԹՅԱՆ ԿՈՂՄԻՑ ՀԱՅԱՍՏԱՆԻ ՀԱՆՐԱՊԵՏՈՒԹՅԱՆՆ ԱՆՀԱՏՈՒՅՑ ՖԻՆԱՆՍԱԿԱՆ ՕԳՆՈՒԹՅԱՆ ԴՐԱՄԱՇՆՈՐՀԱՅԻՆ ԾՐԱԳԻՐ</w:t>
      </w:r>
      <w:bookmarkEnd w:id="20"/>
    </w:p>
    <w:p w14:paraId="4EB22FA5" w14:textId="77777777" w:rsidR="00170E4B" w:rsidRPr="00170E4B" w:rsidRDefault="00170E4B" w:rsidP="00170E4B">
      <w:pPr>
        <w:spacing w:after="120"/>
        <w:ind w:firstLine="567"/>
        <w:rPr>
          <w:rFonts w:eastAsia="Times New Roman" w:cs="Times New Roman"/>
          <w:highlight w:val="red"/>
        </w:rPr>
      </w:pPr>
    </w:p>
    <w:p w14:paraId="24DAA9B4" w14:textId="77777777" w:rsidR="00170E4B" w:rsidRPr="00170E4B" w:rsidRDefault="00170E4B" w:rsidP="00170E4B">
      <w:pPr>
        <w:spacing w:after="120"/>
        <w:ind w:firstLine="567"/>
        <w:rPr>
          <w:rFonts w:eastAsia="Times New Roman" w:cs="Times New Roman"/>
          <w:highlight w:val="red"/>
        </w:rPr>
      </w:pPr>
      <w:r w:rsidRPr="00170E4B">
        <w:rPr>
          <w:rFonts w:eastAsia="Times New Roman" w:cs="Times New Roman"/>
        </w:rPr>
        <w:t xml:space="preserve">Պետական հատվածի արդիականացման ծրագրի շրջանակներում իրականացվող Ռուսաստանի Դաշնության կողմից Հայաստանի Հանրապետությանն անհատույց ֆինանսական օգնության դրամաշնորհային ծրագրի շրջանակներում խորհրդատվական </w:t>
      </w:r>
      <w:r w:rsidRPr="00170E4B">
        <w:rPr>
          <w:rFonts w:eastAsia="Times New Roman" w:cs="Times New Roman"/>
        </w:rPr>
        <w:lastRenderedPageBreak/>
        <w:t>ծառայությունների ձեռքբերում միջոցառման մասով 2020թ. 9 ամիսների ընթացքում ծախսեր չեն կատարվել և ծրագրով նախատեսված միջոցները չեն օգտագործվել:</w:t>
      </w:r>
    </w:p>
    <w:p w14:paraId="73AD3348"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Մասնավորապես՝ Կառավարության ֆինանսական կառավարման տեղեկատվական համակարգերի ներդրման նպատակով նախատեսված 1,365,272.4 հազ դրամ միջոցները չեն օգտագործվել։ Դա պայմանավորված է այն հանգամանքով, որ տեղեկատվական համակարգերի ներդման կազմակերպման համար անհրաժեշտ խորհրդատուի ներգրավման գնման ընթացակարգի տեխնիկական բնութագրի կազմման գործընթացը դեռևս ավարտված չէ:</w:t>
      </w:r>
    </w:p>
    <w:p w14:paraId="569549A4"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Նույն հանգամանքով պայմանավորված՝ չի օգտագործվել նաև ՀՀ ֆինանսների նախարարության և ՌԴ ֆինանսների նախարարության միջև` Ռուսաստանի Դաշնության կողմից Հայաստանի Հանրապետությանն անհատույց ֆինանսական օգնության դրամաշնորհային ծրագրի շրջանակներում խորհրդատվական ծառայությունների ձեռքբերման նպատակով նախատեսված 29.7 մլն դրամը:</w:t>
      </w:r>
    </w:p>
    <w:p w14:paraId="39C76D83" w14:textId="2CE24947" w:rsidR="00170E4B" w:rsidRPr="00170E4B" w:rsidRDefault="00170E4B" w:rsidP="00170E4B">
      <w:pPr>
        <w:spacing w:after="200"/>
        <w:rPr>
          <w:rFonts w:eastAsia="Times New Roman" w:cs="Times New Roman"/>
        </w:rPr>
      </w:pPr>
    </w:p>
    <w:p w14:paraId="32C117CD" w14:textId="77777777" w:rsidR="00170E4B" w:rsidRPr="00170E4B" w:rsidRDefault="00170E4B" w:rsidP="00EB7AF5">
      <w:pPr>
        <w:pStyle w:val="Heading2"/>
      </w:pPr>
      <w:bookmarkStart w:id="21" w:name="_Toc64560580"/>
      <w:r w:rsidRPr="00170E4B">
        <w:t>ՀԱՆՐԱՅԻՆ ՀԱՏՎԱԾԻ ՖԻՆԱՆՍԱԿԱՆ ՈԼՈՐՏԻ ՄԱՍՆԱԳԵՏՆԵՐԻ ՎԵՐԱՊԱՏՐԱՍՏՄԱՆ ԾԱՌԱՅՈՒԹՅՈՒՆՆԵՐ</w:t>
      </w:r>
      <w:bookmarkEnd w:id="21"/>
    </w:p>
    <w:p w14:paraId="34BAEBD0" w14:textId="77777777" w:rsidR="00170E4B" w:rsidRPr="00170E4B" w:rsidRDefault="00170E4B" w:rsidP="00170E4B">
      <w:pPr>
        <w:spacing w:after="120"/>
        <w:ind w:firstLine="567"/>
        <w:rPr>
          <w:rFonts w:eastAsia="Times New Roman" w:cs="Times New Roman"/>
          <w:highlight w:val="red"/>
        </w:rPr>
      </w:pPr>
    </w:p>
    <w:p w14:paraId="01F56A53"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Հանրային հատվածի ֆինանսական ոլորտի մասնագետների վերապատրաստման ծրագրով 2020թ. 9 ամիսների ընթացքում նախատեսված 20,626.00 հազ դրամ միջոցներից կորոնավիրուսի համավարակով պայմանավորված ծախսեր չեն իրականացվել: Կնքված պայմանագրի շրջանակներում ծառայությունները նախատեսվել է իրականացնել 4-րդ եռամսյակում։</w:t>
      </w:r>
    </w:p>
    <w:p w14:paraId="3EFCAAE0" w14:textId="77777777" w:rsidR="00170E4B" w:rsidRPr="00170E4B" w:rsidRDefault="00170E4B" w:rsidP="00170E4B">
      <w:pPr>
        <w:spacing w:after="120"/>
        <w:ind w:firstLine="567"/>
        <w:rPr>
          <w:rFonts w:eastAsia="Times New Roman" w:cs="Times New Roman"/>
          <w:highlight w:val="red"/>
        </w:rPr>
      </w:pPr>
    </w:p>
    <w:p w14:paraId="7E341A1B" w14:textId="77777777" w:rsidR="00170E4B" w:rsidRPr="00170E4B" w:rsidRDefault="00170E4B" w:rsidP="00170E4B">
      <w:pPr>
        <w:spacing w:after="120"/>
        <w:ind w:firstLine="567"/>
        <w:rPr>
          <w:rFonts w:eastAsia="Times New Roman" w:cs="Times New Roman"/>
        </w:rPr>
      </w:pPr>
    </w:p>
    <w:p w14:paraId="2FDA80A2" w14:textId="77777777" w:rsidR="00170E4B" w:rsidRPr="00170E4B" w:rsidRDefault="00170E4B" w:rsidP="00EB7AF5">
      <w:pPr>
        <w:pStyle w:val="Heading2"/>
      </w:pPr>
      <w:bookmarkStart w:id="22" w:name="_Toc64560581"/>
      <w:r w:rsidRPr="00170E4B">
        <w:t>ՖԻՆԱՆՍԱԿԱՆ ԿԱՌԱՎԱՐՄԱՆ ՀԱՄԱԿԱՐԳԻ ՎՃԱՐԱՀԱՇՎԱՐԿԱՅԻՆ ԾԱՌԱՅՈՒԹՅՈՒՆՆԵՐ</w:t>
      </w:r>
      <w:bookmarkEnd w:id="22"/>
    </w:p>
    <w:p w14:paraId="6C85A662" w14:textId="77777777" w:rsidR="00170E4B" w:rsidRPr="00170E4B" w:rsidRDefault="00170E4B" w:rsidP="00170E4B">
      <w:pPr>
        <w:spacing w:after="120"/>
        <w:ind w:firstLine="567"/>
        <w:rPr>
          <w:rFonts w:eastAsia="Times New Roman" w:cs="Times New Roman"/>
          <w:color w:val="244061"/>
        </w:rPr>
      </w:pPr>
    </w:p>
    <w:p w14:paraId="5E4CEE24" w14:textId="77777777" w:rsidR="00170E4B" w:rsidRPr="00170E4B" w:rsidRDefault="00170E4B" w:rsidP="00170E4B">
      <w:pPr>
        <w:spacing w:after="120"/>
        <w:ind w:firstLine="567"/>
        <w:rPr>
          <w:rFonts w:eastAsia="Times New Roman" w:cs="Times New Roman"/>
        </w:rPr>
      </w:pPr>
      <w:r w:rsidRPr="00170E4B">
        <w:rPr>
          <w:rFonts w:eastAsia="Times New Roman" w:cs="Sylfaen"/>
        </w:rPr>
        <w:t>«</w:t>
      </w:r>
      <w:r w:rsidRPr="00170E4B">
        <w:rPr>
          <w:rFonts w:eastAsia="Times New Roman" w:cs="Times New Roman"/>
        </w:rPr>
        <w:t xml:space="preserve">Ֆինանսական կառավարման համակարգի վճարահաշվարկային ծառայություններ» ծրագրի շրջանակներում 2020թ. տարեկան ծախսերի համար 2020թ. պետական բյուջեով նախատեսվել է 243,512.50 հազ.դրամ գումար, 2020թ. 9 ամիսների պլանը կազմել է </w:t>
      </w:r>
      <w:r w:rsidRPr="00170E4B">
        <w:rPr>
          <w:rFonts w:eastAsia="Times New Roman" w:cs="Times New Roman"/>
        </w:rPr>
        <w:lastRenderedPageBreak/>
        <w:t>158,371.30 հազ.դրամ, նույնքան էլ ճշտված պլանը, դրամարկղի ծախսը՝ 143,950.34 հազ.դրամ։ Ճշտված պլանի և դրամարկղի ծախսի տարբերությունը կազմել է 14,420.96 հազ.դրամ:</w:t>
      </w:r>
    </w:p>
    <w:p w14:paraId="4858D4B0"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Տարբերությունը, ֆինանսների նախարարության հիմնավորմամբ, պայմանավորված է բանկերի կողմից փաստացի մատուցած ծառայություններով, ինչպես նաև այն հանգամանքով, որ սեպտեմբեր ամսվա մատուցած ծառայության դիմաց վճարումները կատարվել են հոկտեմբեր ամսին։</w:t>
      </w:r>
    </w:p>
    <w:p w14:paraId="2556322A" w14:textId="0021EC88" w:rsidR="00170E4B" w:rsidRPr="00170E4B" w:rsidRDefault="00170E4B" w:rsidP="00170E4B">
      <w:pPr>
        <w:spacing w:after="200"/>
        <w:rPr>
          <w:rFonts w:eastAsia="Times New Roman" w:cs="Times New Roman"/>
        </w:rPr>
      </w:pPr>
    </w:p>
    <w:p w14:paraId="76CF4401" w14:textId="77777777" w:rsidR="00170E4B" w:rsidRPr="00170E4B" w:rsidRDefault="00170E4B" w:rsidP="00EB7AF5">
      <w:pPr>
        <w:pStyle w:val="Heading2"/>
      </w:pPr>
      <w:bookmarkStart w:id="23" w:name="_Toc64560582"/>
      <w:r w:rsidRPr="00170E4B">
        <w:t>ՀՀ ՄԻՋԱԶԳԱՅԻՆ ՎԱՐԿԱՆԻՇԻ ՏՐԱՄԱԴՐՈՒՄ</w:t>
      </w:r>
      <w:bookmarkEnd w:id="23"/>
    </w:p>
    <w:p w14:paraId="0870D6E6" w14:textId="77777777" w:rsidR="00170E4B" w:rsidRPr="00170E4B" w:rsidRDefault="00170E4B" w:rsidP="00170E4B">
      <w:pPr>
        <w:spacing w:after="120"/>
        <w:ind w:firstLine="567"/>
        <w:rPr>
          <w:rFonts w:eastAsia="Times New Roman" w:cs="Times New Roman"/>
        </w:rPr>
      </w:pPr>
    </w:p>
    <w:p w14:paraId="6BF0E4D5" w14:textId="77777777" w:rsidR="00170E4B" w:rsidRPr="00170E4B" w:rsidRDefault="00170E4B" w:rsidP="00170E4B">
      <w:pPr>
        <w:spacing w:after="120"/>
        <w:ind w:firstLine="567"/>
        <w:rPr>
          <w:rFonts w:eastAsia="Times New Roman" w:cs="Times New Roman"/>
        </w:rPr>
      </w:pPr>
      <w:r w:rsidRPr="00170E4B">
        <w:rPr>
          <w:rFonts w:eastAsia="Times New Roman" w:cs="Sylfaen"/>
        </w:rPr>
        <w:t>«</w:t>
      </w:r>
      <w:r w:rsidRPr="00170E4B">
        <w:rPr>
          <w:rFonts w:eastAsia="Times New Roman" w:cs="Times New Roman"/>
        </w:rPr>
        <w:t>ՀՀ միջազգային վարկանիշի տրամադրում» միջոցառման շրջանակներում նախատեսվել է ՀՀ տնտեսական, քաղաքական և ֆինանսական ցուցանիշների գնահատման, գնահատականների հիման վրա վարկանիշի շնորհման նպատակով համագործակցություն վարկանիշ շնորհող հեղինակավոր միջազգային ընկերությունների հետ։ Ծառայությունները մատուցվել են Fitch և Moodys վարկանշային ընկերությունների կողմից։</w:t>
      </w:r>
    </w:p>
    <w:p w14:paraId="1387B0D3"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Միջոցառման շրջանակներում 2020թ. տարեկան ծախսերի համար 2020թ. պետական բյուջեի պլանով նախատեսվել է 80,816.70 հազ.դրամ գումար, ճշտված պլանով՝ 82,316.70 հազ.դրամ։ 2020թ. 9 ամիսների պլանը կազմել է 80,816.70 հազ.դրամ, ճշտված պլանը՝ 82,316.70, դրամարկղի ծախսը՝ 81,973.10 հազ.դրամ։ Ճշտված պլանի և դրամարկղի ծախսի տարբերությունը կազմել է 343.60 հազ.դրամ։</w:t>
      </w:r>
    </w:p>
    <w:p w14:paraId="5797426D" w14:textId="77777777" w:rsidR="00170E4B" w:rsidRPr="00170E4B" w:rsidRDefault="00170E4B" w:rsidP="00170E4B">
      <w:pPr>
        <w:spacing w:after="120"/>
        <w:ind w:firstLine="567"/>
        <w:rPr>
          <w:rFonts w:eastAsia="Times New Roman" w:cs="Times New Roman"/>
        </w:rPr>
      </w:pPr>
      <w:r w:rsidRPr="00170E4B">
        <w:rPr>
          <w:rFonts w:eastAsia="Times New Roman" w:cs="Times New Roman"/>
        </w:rPr>
        <w:t>Տարբերությունը, ֆինանսների նախարարության հիմնավորմամբ, պայմանավորված է տարադրամի փոխարժեքի փոփոխությունով։</w:t>
      </w:r>
    </w:p>
    <w:p w14:paraId="7C227D58" w14:textId="77777777" w:rsidR="00170E4B" w:rsidRPr="00170E4B" w:rsidRDefault="00170E4B" w:rsidP="00170E4B">
      <w:pPr>
        <w:spacing w:after="120"/>
        <w:ind w:firstLine="567"/>
        <w:rPr>
          <w:rFonts w:eastAsia="Times New Roman" w:cs="Times New Roman"/>
          <w:highlight w:val="red"/>
        </w:rPr>
      </w:pPr>
    </w:p>
    <w:p w14:paraId="522F8F0E" w14:textId="77777777" w:rsidR="00170E4B" w:rsidRPr="00170E4B" w:rsidRDefault="00170E4B" w:rsidP="00EB7AF5">
      <w:pPr>
        <w:pStyle w:val="Heading2"/>
      </w:pPr>
      <w:bookmarkStart w:id="24" w:name="_Toc64560583"/>
      <w:r w:rsidRPr="00170E4B">
        <w:t>ԳՆՈՒՄՆԵՐԻ ՊԼԱՆՆԵՐԻ ԿԱԶՄՄԱՆ, ԷԼԵԿՏՐՈՆԱՅԻՆ ՄՐՑՈՒՅԹՆԵՐԻ ԱՆՑԿԱՑՄԱՆ, ՊԱՅՄԱՆԱԳՐԵՐԻ ԿԱՏԱՐՄԱՆ ԵՎ ԳՆՈՒՄՆԵՐԻ ՀԱՇՎԵՏՎՈՂԱԿԱՆՈՒԹՅԱՆ՝ ՄԻՄՅԱՆՑ ԻՆՏԵԳՐՎԱԾ ՄՈԴՈՒԼՆԵՐԻ ՏԵԽՆԻԿԱԿԱՆ ՍՊԱՍԱՐԿՈՒՄ</w:t>
      </w:r>
      <w:bookmarkEnd w:id="24"/>
    </w:p>
    <w:p w14:paraId="058FF01E" w14:textId="77777777" w:rsidR="00170E4B" w:rsidRPr="00170E4B" w:rsidRDefault="00170E4B" w:rsidP="00170E4B">
      <w:pPr>
        <w:spacing w:after="120"/>
        <w:ind w:firstLine="567"/>
        <w:rPr>
          <w:rFonts w:eastAsia="Times New Roman" w:cs="Times New Roman"/>
          <w:highlight w:val="red"/>
        </w:rPr>
      </w:pPr>
    </w:p>
    <w:p w14:paraId="7DFB752D" w14:textId="77777777" w:rsidR="00170E4B" w:rsidRPr="00170E4B" w:rsidRDefault="00170E4B" w:rsidP="00170E4B">
      <w:pPr>
        <w:spacing w:after="120"/>
        <w:ind w:firstLine="567"/>
        <w:rPr>
          <w:rFonts w:eastAsia="Times New Roman" w:cs="Times New Roman"/>
        </w:rPr>
      </w:pPr>
      <w:r w:rsidRPr="00170E4B">
        <w:rPr>
          <w:rFonts w:eastAsia="Times New Roman" w:cs="Sylfaen"/>
        </w:rPr>
        <w:lastRenderedPageBreak/>
        <w:t>«</w:t>
      </w:r>
      <w:r w:rsidRPr="00170E4B">
        <w:rPr>
          <w:rFonts w:eastAsia="Times New Roman" w:cs="Times New Roman"/>
        </w:rPr>
        <w:t>Գնումների պլանների կազմման, էլեկտրոնային մրցույթների անցկացման, պայմանագրերի կատարման և գնումների հաշվետվողականության` միմյանց ինտեգրված մոդուլների տեխնիկական սպասարկում» միջոցառման շրջանակներում 2020թ. տարեկան ծախսերի համար 2020թ. պետական բյուջեի ճշտված պլանով նախատեսվել է 107,355.00 հազ.դրամ գումար, 2020թ. 9 ամիսների պլանը կազմել է 84,966.00 հազ.դրամ, ճշտված պլանը՝ 82,366.00, իսկ դրամարկղի ծախսը՝ 76,180.90 հազ.դրամ, ճշտված պլանի և դրամարկղի ծախսի տարբերությունը՝ 6,185.10 հազ.դրամ:</w:t>
      </w:r>
    </w:p>
    <w:p w14:paraId="32CB4E16" w14:textId="307BD8AD" w:rsidR="00170E4B" w:rsidRDefault="00170E4B" w:rsidP="00170E4B">
      <w:pPr>
        <w:spacing w:after="120"/>
        <w:ind w:firstLine="567"/>
        <w:rPr>
          <w:rFonts w:eastAsia="Times New Roman" w:cs="Times New Roman"/>
        </w:rPr>
      </w:pPr>
      <w:r w:rsidRPr="00170E4B">
        <w:rPr>
          <w:rFonts w:eastAsia="Times New Roman" w:cs="Times New Roman"/>
        </w:rPr>
        <w:t>Տարբերությունը, ֆինանսների նախարարության հիմնավորմամբ, պայմանավորված է նրանով, որ Armeps և PPCM գնումների համակարգերի սպասարկման նպատակով կնքված պայմանագրերի շրջանակներում սեպտեմբեր ամսին մատուցված ծառայության դիմաց վճարումները կատարվել են հոկտեմբեր ամսին։</w:t>
      </w:r>
    </w:p>
    <w:p w14:paraId="1A343254" w14:textId="77777777" w:rsidR="00966DEB" w:rsidRPr="00170E4B" w:rsidRDefault="00966DEB" w:rsidP="00170E4B">
      <w:pPr>
        <w:spacing w:after="120"/>
        <w:ind w:firstLine="567"/>
        <w:rPr>
          <w:rFonts w:eastAsia="Times New Roman" w:cs="Times New Roman"/>
        </w:rPr>
      </w:pPr>
    </w:p>
    <w:p w14:paraId="3C7F7CE1" w14:textId="77777777" w:rsidR="00170E4B" w:rsidRPr="00170E4B" w:rsidRDefault="00170E4B" w:rsidP="00EB7AF5">
      <w:pPr>
        <w:pStyle w:val="Heading2"/>
      </w:pPr>
      <w:bookmarkStart w:id="25" w:name="_Toc64560584"/>
      <w:r w:rsidRPr="00170E4B">
        <w:t>ԴՈՏԱՑԻԱՆԵՐԻ ՏՐԱՄԱԴՐՈՒՄ ԵՎ ՀԱՄԱՅՆՔՆԵՐԻ ԲՅՈՒՋԵՆԵՐԻ ԵԿԱՄՈՒՏՆԵՐԻ ԿՈՐՈՒՍՏՆԵՐԻ ՓՈԽՀԱՏՈՒՑՈՒՄ</w:t>
      </w:r>
      <w:bookmarkEnd w:id="25"/>
    </w:p>
    <w:p w14:paraId="01E6AA3F" w14:textId="77777777" w:rsidR="00170E4B" w:rsidRPr="00170E4B" w:rsidRDefault="00170E4B" w:rsidP="00170E4B">
      <w:pPr>
        <w:spacing w:after="120"/>
        <w:ind w:firstLine="567"/>
        <w:rPr>
          <w:rFonts w:eastAsia="Times New Roman" w:cs="Times New Roman"/>
        </w:rPr>
      </w:pPr>
    </w:p>
    <w:p w14:paraId="45786724" w14:textId="091DD296" w:rsidR="00170E4B" w:rsidRDefault="00170E4B" w:rsidP="00170E4B">
      <w:pPr>
        <w:rPr>
          <w:b/>
        </w:rPr>
      </w:pPr>
      <w:r w:rsidRPr="00170E4B">
        <w:rPr>
          <w:rFonts w:eastAsia="Times New Roman" w:cs="Times New Roman"/>
        </w:rPr>
        <w:t>«Համայնքների բյուջեներին ֆինանսական համահարթեցման սկզբունքով դոտացիաների տրամադրում և Ազգային Ժողովի ընդունած օրենքների կիրարկման արդյունքում համայնքների բյուջեների եկամուտների կորուստների փոխհատուցում» ծրագրի շրջանակներում 2020թ. տարեկան ծախսերի համար 2020թ. պետական բյուջեով թվով 502 համայնքների համար նախատեսվել է 55,378,535.0 հազ.դրամ գումար, 2020թ. 9 ամիսների պլանը կազմել է 41,533,909.90 հազ.դրամ, նույնքան էլ ճշտված պլանը, դրամարկղի ծախսը՝ 41,533,909.90 հազ.դրամ</w:t>
      </w:r>
    </w:p>
    <w:p w14:paraId="2FD73C4C" w14:textId="77777777" w:rsidR="00170E4B" w:rsidRDefault="00170E4B" w:rsidP="00C60AA9">
      <w:pPr>
        <w:rPr>
          <w:b/>
        </w:rPr>
      </w:pPr>
    </w:p>
    <w:p w14:paraId="5F948CBF" w14:textId="60E86F4D" w:rsidR="00170E4B" w:rsidRDefault="00170E4B" w:rsidP="00C60AA9">
      <w:pPr>
        <w:rPr>
          <w:b/>
        </w:rPr>
      </w:pPr>
    </w:p>
    <w:p w14:paraId="5002B6BC" w14:textId="77777777" w:rsidR="00170E4B" w:rsidRDefault="00170E4B" w:rsidP="00C60AA9">
      <w:pPr>
        <w:rPr>
          <w:b/>
        </w:rPr>
      </w:pPr>
    </w:p>
    <w:p w14:paraId="3BC50133" w14:textId="0FCBE868" w:rsidR="00170E4B" w:rsidRDefault="00170E4B" w:rsidP="00C60AA9">
      <w:pPr>
        <w:rPr>
          <w:b/>
        </w:rPr>
      </w:pPr>
    </w:p>
    <w:p w14:paraId="207DF1A2" w14:textId="77777777" w:rsidR="00812E77" w:rsidRDefault="00812E77" w:rsidP="00812E77">
      <w:bookmarkStart w:id="26" w:name="_Toc59214405"/>
    </w:p>
    <w:p w14:paraId="110BE7B3" w14:textId="525148C1" w:rsidR="00895CB4" w:rsidRPr="00F46D81" w:rsidRDefault="00895CB4" w:rsidP="00D27803">
      <w:pPr>
        <w:pStyle w:val="VP1"/>
        <w:jc w:val="left"/>
      </w:pPr>
      <w:bookmarkStart w:id="27" w:name="_Toc64560585"/>
      <w:r w:rsidRPr="00F46D81">
        <w:lastRenderedPageBreak/>
        <w:t>ԱՆՀԱՄԱՊԱՏԱՍԽԱՆՈՒԹՅՈՒՆՆԵՐԻ ՎԵՐԱԲԵՐՅԱԼ ԳՐԱՌՈՒՄՆԵՐ</w:t>
      </w:r>
      <w:bookmarkEnd w:id="26"/>
      <w:bookmarkEnd w:id="27"/>
    </w:p>
    <w:p w14:paraId="10C487D6" w14:textId="77777777" w:rsidR="00895CB4" w:rsidRPr="00F46D81" w:rsidRDefault="00895CB4" w:rsidP="00895CB4">
      <w:pPr>
        <w:ind w:firstLine="567"/>
        <w:jc w:val="left"/>
      </w:pPr>
    </w:p>
    <w:p w14:paraId="5E9BCCFF" w14:textId="77777777" w:rsidR="00895CB4" w:rsidRPr="00F46D81" w:rsidRDefault="00895CB4" w:rsidP="00895CB4">
      <w:pPr>
        <w:ind w:firstLine="567"/>
      </w:pPr>
      <w:r w:rsidRPr="00F46D81">
        <w:t>Հաշվեքննության ընթացքում էական անհամապատասխանություններ չեն հայտնաբերվել։</w:t>
      </w:r>
    </w:p>
    <w:p w14:paraId="1A142B94" w14:textId="77777777" w:rsidR="00895CB4" w:rsidRPr="00F46D81" w:rsidRDefault="00895CB4" w:rsidP="00895CB4">
      <w:pPr>
        <w:jc w:val="left"/>
      </w:pPr>
    </w:p>
    <w:p w14:paraId="6219885A" w14:textId="7F84F0AD" w:rsidR="005678A6" w:rsidRDefault="005678A6" w:rsidP="005678A6">
      <w:pPr>
        <w:rPr>
          <w:highlight w:val="yellow"/>
        </w:rPr>
      </w:pPr>
    </w:p>
    <w:p w14:paraId="093C5180" w14:textId="77777777" w:rsidR="00F46D81" w:rsidRPr="00F46D81" w:rsidRDefault="00F46D81" w:rsidP="00D27803">
      <w:pPr>
        <w:pStyle w:val="VP1"/>
        <w:jc w:val="left"/>
      </w:pPr>
      <w:bookmarkStart w:id="28" w:name="_Toc59214406"/>
      <w:bookmarkStart w:id="29" w:name="_Toc64560586"/>
      <w:r w:rsidRPr="00F46D81">
        <w:t>ԽԵՂԱԹՅՈՒՐՈՒՄՆԵՐԻ ՎԵՐԱԲԵՐՅԱԼ ԳՐԱՌՈՒՄՆԵՐ</w:t>
      </w:r>
      <w:bookmarkEnd w:id="28"/>
      <w:bookmarkEnd w:id="29"/>
    </w:p>
    <w:p w14:paraId="6A0F45E8" w14:textId="77777777" w:rsidR="00F46D81" w:rsidRPr="00F46D81" w:rsidRDefault="00F46D81" w:rsidP="00F46D81">
      <w:pPr>
        <w:jc w:val="left"/>
      </w:pPr>
    </w:p>
    <w:p w14:paraId="66F9CE23" w14:textId="77777777" w:rsidR="00F46D81" w:rsidRPr="00F46D81" w:rsidRDefault="00F46D81" w:rsidP="00F46D81">
      <w:pPr>
        <w:ind w:firstLine="567"/>
      </w:pPr>
      <w:r w:rsidRPr="00F46D81">
        <w:t>Հաշվեքննության ընթացքում էական խեղաթյուրումներ չեն հայտնաբերվել։</w:t>
      </w:r>
    </w:p>
    <w:p w14:paraId="18661465" w14:textId="77777777" w:rsidR="00F46D81" w:rsidRPr="00F46D81" w:rsidRDefault="00F46D81" w:rsidP="00F46D81">
      <w:pPr>
        <w:jc w:val="left"/>
      </w:pPr>
      <w:bookmarkStart w:id="30" w:name="_Toc59214408"/>
    </w:p>
    <w:p w14:paraId="1F292DF3" w14:textId="77777777" w:rsidR="00F46D81" w:rsidRPr="00F46D81" w:rsidRDefault="00F46D81" w:rsidP="00F46D81">
      <w:pPr>
        <w:jc w:val="left"/>
      </w:pPr>
    </w:p>
    <w:p w14:paraId="09D49328" w14:textId="77777777" w:rsidR="00F46D81" w:rsidRPr="00F46D81" w:rsidRDefault="00F46D81" w:rsidP="00D27803">
      <w:pPr>
        <w:pStyle w:val="VP1"/>
        <w:jc w:val="left"/>
      </w:pPr>
      <w:bookmarkStart w:id="31" w:name="_Toc64560587"/>
      <w:r w:rsidRPr="00F46D81">
        <w:t>ՀԵՏՀՍԿՈՂԱԿԱՆ ԳՈՐԾԸՆԹԱՑ</w:t>
      </w:r>
      <w:bookmarkEnd w:id="30"/>
      <w:bookmarkEnd w:id="31"/>
    </w:p>
    <w:p w14:paraId="3B1E0AC5" w14:textId="77777777" w:rsidR="00F46D81" w:rsidRPr="00F46D81" w:rsidRDefault="00F46D81" w:rsidP="00F46D81">
      <w:pPr>
        <w:ind w:firstLine="567"/>
        <w:jc w:val="left"/>
      </w:pPr>
    </w:p>
    <w:p w14:paraId="0A900BF9" w14:textId="42A3CDA3" w:rsidR="00F46D81" w:rsidRPr="00F46D81" w:rsidRDefault="00F46D81" w:rsidP="00F46D81">
      <w:pPr>
        <w:ind w:firstLine="567"/>
      </w:pPr>
      <w:r w:rsidRPr="00F46D81">
        <w:t xml:space="preserve">ՀՀ պետական եկամուտների կոմիտեում 2020 թվականի պետական բյուջեի </w:t>
      </w:r>
      <w:r w:rsidR="00170E4B">
        <w:t>ինն</w:t>
      </w:r>
      <w:r w:rsidRPr="00F46D81">
        <w:t xml:space="preserve"> ամիսների կատարման հաշվեքննության արդյունքում անհամապատասխանություններ և խեղաթյուրումներ չեն հայտնաբերվել, ՀՀ հաշվեքննիչ պալատի կողմից առաջարկություններ չեն ներկայացվել։</w:t>
      </w:r>
    </w:p>
    <w:p w14:paraId="588A3DE7" w14:textId="77777777" w:rsidR="00F46D81" w:rsidRDefault="00F46D81" w:rsidP="005678A6">
      <w:pPr>
        <w:rPr>
          <w:highlight w:val="yellow"/>
        </w:rPr>
      </w:pPr>
    </w:p>
    <w:p w14:paraId="459E412D" w14:textId="4E7AB9DA" w:rsidR="00F46D81" w:rsidRDefault="00F46D81" w:rsidP="005678A6">
      <w:pPr>
        <w:rPr>
          <w:highlight w:val="yellow"/>
        </w:rPr>
      </w:pPr>
    </w:p>
    <w:p w14:paraId="1B4405CD" w14:textId="77777777" w:rsidR="00F46D81" w:rsidRPr="00356A5E" w:rsidRDefault="00F46D81" w:rsidP="005678A6">
      <w:pPr>
        <w:rPr>
          <w:highlight w:val="yellow"/>
        </w:rPr>
      </w:pPr>
    </w:p>
    <w:p w14:paraId="7DA35BAA" w14:textId="7F008EF3" w:rsidR="00FD4B12" w:rsidRDefault="00FD4B12" w:rsidP="00FD4B12"/>
    <w:p w14:paraId="53790CC4" w14:textId="77777777" w:rsidR="00FD4B12" w:rsidRDefault="00FD4B12" w:rsidP="00FD4B12"/>
    <w:sectPr w:rsidR="00FD4B12" w:rsidSect="005E1DC0">
      <w:headerReference w:type="default" r:id="rId11"/>
      <w:pgSz w:w="12240" w:h="15840"/>
      <w:pgMar w:top="1843" w:right="902" w:bottom="851"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F7B8" w14:textId="77777777" w:rsidR="005F0074" w:rsidRDefault="005F0074" w:rsidP="00C60AA9">
      <w:r>
        <w:separator/>
      </w:r>
    </w:p>
    <w:p w14:paraId="444A285B" w14:textId="77777777" w:rsidR="005F0074" w:rsidRDefault="005F0074" w:rsidP="00C60AA9"/>
  </w:endnote>
  <w:endnote w:type="continuationSeparator" w:id="0">
    <w:p w14:paraId="1A64A14B" w14:textId="77777777" w:rsidR="005F0074" w:rsidRDefault="005F0074" w:rsidP="00C60AA9">
      <w:r>
        <w:continuationSeparator/>
      </w:r>
    </w:p>
    <w:p w14:paraId="218C8BFF" w14:textId="77777777" w:rsidR="005F0074" w:rsidRDefault="005F0074" w:rsidP="00C60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914934"/>
      <w:docPartObj>
        <w:docPartGallery w:val="Page Numbers (Bottom of Page)"/>
        <w:docPartUnique/>
      </w:docPartObj>
    </w:sdtPr>
    <w:sdtEndPr>
      <w:rPr>
        <w:noProof/>
        <w:sz w:val="16"/>
        <w:szCs w:val="16"/>
      </w:rPr>
    </w:sdtEndPr>
    <w:sdtContent>
      <w:p w14:paraId="5824719A" w14:textId="24188BE0" w:rsidR="002F56CA" w:rsidRPr="00AB2994" w:rsidRDefault="002F56CA">
        <w:pPr>
          <w:pStyle w:val="Footer"/>
          <w:jc w:val="right"/>
          <w:rPr>
            <w:sz w:val="20"/>
            <w:szCs w:val="20"/>
          </w:rPr>
        </w:pPr>
        <w:r w:rsidRPr="00AB2994">
          <w:rPr>
            <w:sz w:val="20"/>
            <w:szCs w:val="20"/>
          </w:rPr>
          <w:fldChar w:fldCharType="begin"/>
        </w:r>
        <w:r w:rsidRPr="00AB2994">
          <w:rPr>
            <w:sz w:val="20"/>
            <w:szCs w:val="20"/>
          </w:rPr>
          <w:instrText xml:space="preserve"> PAGE   \* MERGEFORMAT </w:instrText>
        </w:r>
        <w:r w:rsidRPr="00AB2994">
          <w:rPr>
            <w:sz w:val="20"/>
            <w:szCs w:val="20"/>
          </w:rPr>
          <w:fldChar w:fldCharType="separate"/>
        </w:r>
        <w:r w:rsidR="00B947DD">
          <w:rPr>
            <w:noProof/>
            <w:sz w:val="20"/>
            <w:szCs w:val="20"/>
          </w:rPr>
          <w:t>25</w:t>
        </w:r>
        <w:r w:rsidRPr="00AB2994">
          <w:rPr>
            <w:noProof/>
            <w:sz w:val="20"/>
            <w:szCs w:val="20"/>
          </w:rPr>
          <w:fldChar w:fldCharType="end"/>
        </w:r>
      </w:p>
    </w:sdtContent>
  </w:sdt>
  <w:p w14:paraId="0926F8C1" w14:textId="77777777" w:rsidR="002F56CA" w:rsidRDefault="002F56CA" w:rsidP="002F56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0429" w14:textId="77777777" w:rsidR="005F0074" w:rsidRDefault="005F0074" w:rsidP="00C60AA9">
      <w:r>
        <w:separator/>
      </w:r>
    </w:p>
    <w:p w14:paraId="1C55409C" w14:textId="77777777" w:rsidR="005F0074" w:rsidRDefault="005F0074" w:rsidP="00C60AA9"/>
  </w:footnote>
  <w:footnote w:type="continuationSeparator" w:id="0">
    <w:p w14:paraId="449AF1C7" w14:textId="77777777" w:rsidR="005F0074" w:rsidRDefault="005F0074" w:rsidP="00C60AA9">
      <w:r>
        <w:continuationSeparator/>
      </w:r>
    </w:p>
    <w:p w14:paraId="073A3FD8" w14:textId="77777777" w:rsidR="005F0074" w:rsidRDefault="005F0074" w:rsidP="00C60AA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EB942" w14:textId="6D93463B" w:rsidR="002F56CA" w:rsidRDefault="002F56CA" w:rsidP="00FB2033">
    <w:pPr>
      <w:pStyle w:val="Header"/>
      <w:jc w:val="right"/>
    </w:pPr>
  </w:p>
  <w:p w14:paraId="1C82E402" w14:textId="1612E76D" w:rsidR="002F56CA" w:rsidRDefault="002F56CA">
    <w:pPr>
      <w:pStyle w:val="Header"/>
    </w:pPr>
    <w:r>
      <w:rPr>
        <w:noProof/>
        <w:lang w:val="en-US"/>
      </w:rPr>
      <mc:AlternateContent>
        <mc:Choice Requires="wps">
          <w:drawing>
            <wp:anchor distT="0" distB="0" distL="114300" distR="114300" simplePos="0" relativeHeight="251662336" behindDoc="1" locked="0" layoutInCell="1" allowOverlap="1" wp14:anchorId="2947E18D" wp14:editId="37C18F52">
              <wp:simplePos x="0" y="0"/>
              <wp:positionH relativeFrom="rightMargin">
                <wp:posOffset>-257175</wp:posOffset>
              </wp:positionH>
              <wp:positionV relativeFrom="page">
                <wp:posOffset>333375</wp:posOffset>
              </wp:positionV>
              <wp:extent cx="432000" cy="720000"/>
              <wp:effectExtent l="0" t="0" r="6350" b="4445"/>
              <wp:wrapTight wrapText="bothSides">
                <wp:wrapPolygon edited="0">
                  <wp:start x="0" y="0"/>
                  <wp:lineTo x="0" y="21162"/>
                  <wp:lineTo x="20965" y="21162"/>
                  <wp:lineTo x="20965"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720000"/>
                      </a:xfrm>
                      <a:prstGeom prst="rect">
                        <a:avLst/>
                      </a:prstGeom>
                      <a:solidFill>
                        <a:schemeClr val="accent1">
                          <a:lumMod val="50000"/>
                        </a:schemeClr>
                      </a:solidFill>
                      <a:ln w="9525">
                        <a:noFill/>
                        <a:miter lim="800000"/>
                        <a:headEnd/>
                        <a:tailEnd/>
                      </a:ln>
                    </wps:spPr>
                    <wps:txbx>
                      <w:txbxContent>
                        <w:p w14:paraId="31FA6FF0" w14:textId="3955BBE2" w:rsidR="002F56CA" w:rsidRPr="00E45F04" w:rsidRDefault="002F56CA" w:rsidP="00234406">
                          <w:pPr>
                            <w:jc w:val="center"/>
                            <w:rPr>
                              <w:color w:val="FFFFFF" w:themeColor="background1"/>
                            </w:rPr>
                          </w:pPr>
                          <w:r w:rsidRPr="00E45F04">
                            <w:fldChar w:fldCharType="begin"/>
                          </w:r>
                          <w:r w:rsidRPr="00E45F04">
                            <w:instrText xml:space="preserve"> PAGE    \* MERGEFORMAT </w:instrText>
                          </w:r>
                          <w:r w:rsidRPr="00E45F04">
                            <w:fldChar w:fldCharType="separate"/>
                          </w:r>
                          <w:r w:rsidR="00B947DD" w:rsidRPr="00B947DD">
                            <w:rPr>
                              <w:b/>
                              <w:bCs/>
                              <w:noProof/>
                              <w:color w:val="FFFFFF" w:themeColor="background1"/>
                            </w:rPr>
                            <w:t>23</w:t>
                          </w:r>
                          <w:r w:rsidRPr="00E45F04">
                            <w:rPr>
                              <w:b/>
                              <w:bCs/>
                              <w:noProof/>
                              <w:color w:val="FFFFFF" w:themeColor="background1"/>
                            </w:rPr>
                            <w:fldChar w:fldCharType="end"/>
                          </w:r>
                        </w:p>
                        <w:p w14:paraId="13092B14" w14:textId="77777777" w:rsidR="002F56CA" w:rsidRDefault="002F56CA" w:rsidP="00CA4B11">
                          <w:pPr>
                            <w:jc w:val="right"/>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47E18D" id="_x0000_t202" coordsize="21600,21600" o:spt="202" path="m,l,21600r21600,l21600,xe">
              <v:stroke joinstyle="miter"/>
              <v:path gradientshapeok="t" o:connecttype="rect"/>
            </v:shapetype>
            <v:shape id="Text Box 5" o:spid="_x0000_s1026" type="#_x0000_t202" style="position:absolute;left:0;text-align:left;margin-left:-20.25pt;margin-top:26.25pt;width:34pt;height:56.7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" fillcolor="#1f4d78 [1604]" stroked="f">
              <v:textbox inset="0,0,0,0">
                <w:txbxContent>
                  <w:p w14:paraId="31FA6FF0" w14:textId="3955BBE2" w:rsidR="002F56CA" w:rsidRPr="00E45F04" w:rsidRDefault="002F56CA" w:rsidP="00234406">
                    <w:pPr>
                      <w:jc w:val="center"/>
                      <w:rPr>
                        <w:color w:val="FFFFFF" w:themeColor="background1"/>
                      </w:rPr>
                    </w:pPr>
                    <w:r w:rsidRPr="00E45F04">
                      <w:fldChar w:fldCharType="begin"/>
                    </w:r>
                    <w:r w:rsidRPr="00E45F04">
                      <w:instrText xml:space="preserve"> PAGE    \* MERGEFORMAT </w:instrText>
                    </w:r>
                    <w:r w:rsidRPr="00E45F04">
                      <w:fldChar w:fldCharType="separate"/>
                    </w:r>
                    <w:r w:rsidR="00B947DD" w:rsidRPr="00B947DD">
                      <w:rPr>
                        <w:b/>
                        <w:bCs/>
                        <w:noProof/>
                        <w:color w:val="FFFFFF" w:themeColor="background1"/>
                      </w:rPr>
                      <w:t>23</w:t>
                    </w:r>
                    <w:r w:rsidRPr="00E45F04">
                      <w:rPr>
                        <w:b/>
                        <w:bCs/>
                        <w:noProof/>
                        <w:color w:val="FFFFFF" w:themeColor="background1"/>
                      </w:rPr>
                      <w:fldChar w:fldCharType="end"/>
                    </w:r>
                  </w:p>
                  <w:p w14:paraId="13092B14" w14:textId="77777777" w:rsidR="002F56CA" w:rsidRDefault="002F56CA" w:rsidP="00CA4B11">
                    <w:pPr>
                      <w:jc w:val="right"/>
                    </w:pPr>
                  </w:p>
                </w:txbxContent>
              </v:textbox>
              <w10:wrap type="tight" anchorx="margin"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3D4D" w14:textId="72059F33" w:rsidR="002F56CA" w:rsidRPr="001E784B" w:rsidRDefault="002F56CA" w:rsidP="001E78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2FD"/>
    <w:multiLevelType w:val="hybridMultilevel"/>
    <w:tmpl w:val="1F100326"/>
    <w:lvl w:ilvl="0" w:tplc="18A0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A3B71"/>
    <w:multiLevelType w:val="hybridMultilevel"/>
    <w:tmpl w:val="A59AAC54"/>
    <w:lvl w:ilvl="0" w:tplc="EBF46E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41CBB"/>
    <w:multiLevelType w:val="hybridMultilevel"/>
    <w:tmpl w:val="D804B5FC"/>
    <w:lvl w:ilvl="0" w:tplc="6FE41D48">
      <w:start w:val="1"/>
      <w:numFmt w:val="upperRoman"/>
      <w:pStyle w:val="VP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4F18"/>
    <w:multiLevelType w:val="hybridMultilevel"/>
    <w:tmpl w:val="575A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4FD4"/>
    <w:multiLevelType w:val="hybridMultilevel"/>
    <w:tmpl w:val="8FCCEDEE"/>
    <w:lvl w:ilvl="0" w:tplc="49B632F2">
      <w:start w:val="1"/>
      <w:numFmt w:val="decimal"/>
      <w:pStyle w:val="Heading2"/>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5B6C21"/>
    <w:multiLevelType w:val="hybridMultilevel"/>
    <w:tmpl w:val="1F346F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C495BAA"/>
    <w:multiLevelType w:val="hybridMultilevel"/>
    <w:tmpl w:val="7C9C138A"/>
    <w:lvl w:ilvl="0" w:tplc="EBF46E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B1498"/>
    <w:multiLevelType w:val="hybridMultilevel"/>
    <w:tmpl w:val="4AFCF94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8" w15:restartNumberingAfterBreak="0">
    <w:nsid w:val="275A53F1"/>
    <w:multiLevelType w:val="hybridMultilevel"/>
    <w:tmpl w:val="69683A1C"/>
    <w:lvl w:ilvl="0" w:tplc="CC92B89A">
      <w:start w:val="1"/>
      <w:numFmt w:val="decimal"/>
      <w:lvlText w:val="%1)"/>
      <w:lvlJc w:val="left"/>
      <w:pPr>
        <w:ind w:left="927" w:hanging="360"/>
      </w:pPr>
      <w:rPr>
        <w:rFonts w:ascii="GHEA Grapalat" w:hAnsi="GHEA Grapalat"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C20BFA"/>
    <w:multiLevelType w:val="hybridMultilevel"/>
    <w:tmpl w:val="72243588"/>
    <w:lvl w:ilvl="0" w:tplc="BD9C9E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E4110"/>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5C2091"/>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A21183"/>
    <w:multiLevelType w:val="hybridMultilevel"/>
    <w:tmpl w:val="FFC8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C0E03"/>
    <w:multiLevelType w:val="hybridMultilevel"/>
    <w:tmpl w:val="0E9E3AE6"/>
    <w:lvl w:ilvl="0" w:tplc="DD8AABCA">
      <w:start w:val="324"/>
      <w:numFmt w:val="bullet"/>
      <w:lvlText w:val="-"/>
      <w:lvlJc w:val="left"/>
      <w:pPr>
        <w:ind w:left="720" w:hanging="360"/>
      </w:pPr>
      <w:rPr>
        <w:rFonts w:ascii="GHEA Grapalat" w:eastAsiaTheme="minorEastAsia"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53FF5"/>
    <w:multiLevelType w:val="hybridMultilevel"/>
    <w:tmpl w:val="C5480D30"/>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351245F"/>
    <w:multiLevelType w:val="hybridMultilevel"/>
    <w:tmpl w:val="2EA6E0F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3E70483"/>
    <w:multiLevelType w:val="hybridMultilevel"/>
    <w:tmpl w:val="E9E20D4C"/>
    <w:lvl w:ilvl="0" w:tplc="BD9C9E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71D9F"/>
    <w:multiLevelType w:val="hybridMultilevel"/>
    <w:tmpl w:val="BF2472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3FA349B"/>
    <w:multiLevelType w:val="hybridMultilevel"/>
    <w:tmpl w:val="5EAA34D2"/>
    <w:lvl w:ilvl="0" w:tplc="D4A686FE">
      <w:start w:val="2020"/>
      <w:numFmt w:val="bullet"/>
      <w:lvlText w:val="-"/>
      <w:lvlJc w:val="left"/>
      <w:pPr>
        <w:ind w:left="1170" w:hanging="360"/>
      </w:pPr>
      <w:rPr>
        <w:rFonts w:ascii="GHEA Grapalat" w:eastAsia="Times New Roman" w:hAnsi="GHEA Grapalat" w:cs="GHEA Grapalat"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68583335"/>
    <w:multiLevelType w:val="hybridMultilevel"/>
    <w:tmpl w:val="B4FA477A"/>
    <w:lvl w:ilvl="0" w:tplc="6F78B526">
      <w:start w:val="1"/>
      <w:numFmt w:val="decimal"/>
      <w:lvlText w:val="%1."/>
      <w:lvlJc w:val="left"/>
      <w:pPr>
        <w:ind w:left="720" w:hanging="360"/>
      </w:pPr>
      <w:rPr>
        <w:color w:val="1F4E79" w:themeColor="accent1" w:themeShade="8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0B22AAD"/>
    <w:multiLevelType w:val="multilevel"/>
    <w:tmpl w:val="C40A2868"/>
    <w:lvl w:ilvl="0">
      <w:start w:val="1"/>
      <w:numFmt w:val="upperRoman"/>
      <w:lvlText w:val="%1."/>
      <w:lvlJc w:val="left"/>
      <w:pPr>
        <w:ind w:left="1080" w:hanging="720"/>
      </w:pPr>
      <w:rPr>
        <w:rFonts w:hint="default"/>
        <w:color w:val="1F4E79" w:themeColor="accent1" w:themeShade="80"/>
      </w:rPr>
    </w:lvl>
    <w:lvl w:ilvl="1">
      <w:start w:val="3"/>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15:restartNumberingAfterBreak="0">
    <w:nsid w:val="722121F5"/>
    <w:multiLevelType w:val="hybridMultilevel"/>
    <w:tmpl w:val="1CAA2372"/>
    <w:lvl w:ilvl="0" w:tplc="57EEAD24">
      <w:start w:val="1"/>
      <w:numFmt w:val="decimal"/>
      <w:lvlText w:val="%1."/>
      <w:lvlJc w:val="left"/>
      <w:pPr>
        <w:ind w:left="1080" w:hanging="36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BB3995"/>
    <w:multiLevelType w:val="hybridMultilevel"/>
    <w:tmpl w:val="CECAA6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33873D0"/>
    <w:multiLevelType w:val="hybridMultilevel"/>
    <w:tmpl w:val="B5AAEBA2"/>
    <w:lvl w:ilvl="0" w:tplc="390E4940">
      <w:start w:val="1"/>
      <w:numFmt w:val="decimal"/>
      <w:lvlText w:val="%1."/>
      <w:lvlJc w:val="left"/>
      <w:pPr>
        <w:ind w:left="720" w:hanging="360"/>
      </w:pPr>
      <w:rPr>
        <w:rFonts w:ascii="GHEA Grapalat" w:hAnsi="GHEA Grapalat" w:hint="default"/>
        <w:color w:val="00206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325B0"/>
    <w:multiLevelType w:val="hybridMultilevel"/>
    <w:tmpl w:val="A1C81A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1B3C6D"/>
    <w:multiLevelType w:val="hybridMultilevel"/>
    <w:tmpl w:val="AE4E6DE8"/>
    <w:lvl w:ilvl="0" w:tplc="BD608DD8">
      <w:start w:val="1"/>
      <w:numFmt w:val="decimal"/>
      <w:pStyle w:val="Heading3"/>
      <w:lvlText w:val="%1."/>
      <w:lvlJc w:val="left"/>
      <w:pPr>
        <w:ind w:left="720" w:hanging="360"/>
      </w:pPr>
      <w:rPr>
        <w:color w:val="00206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3"/>
  </w:num>
  <w:num w:numId="5">
    <w:abstractNumId w:val="17"/>
  </w:num>
  <w:num w:numId="6">
    <w:abstractNumId w:val="18"/>
  </w:num>
  <w:num w:numId="7">
    <w:abstractNumId w:val="23"/>
  </w:num>
  <w:num w:numId="8">
    <w:abstractNumId w:val="2"/>
  </w:num>
  <w:num w:numId="9">
    <w:abstractNumId w:val="24"/>
  </w:num>
  <w:num w:numId="10">
    <w:abstractNumId w:val="11"/>
  </w:num>
  <w:num w:numId="11">
    <w:abstractNumId w:val="10"/>
  </w:num>
  <w:num w:numId="12">
    <w:abstractNumId w:val="22"/>
  </w:num>
  <w:num w:numId="13">
    <w:abstractNumId w:val="23"/>
  </w:num>
  <w:num w:numId="14">
    <w:abstractNumId w:val="25"/>
  </w:num>
  <w:num w:numId="15">
    <w:abstractNumId w:val="9"/>
  </w:num>
  <w:num w:numId="16">
    <w:abstractNumId w:val="16"/>
  </w:num>
  <w:num w:numId="17">
    <w:abstractNumId w:val="23"/>
    <w:lvlOverride w:ilvl="0">
      <w:startOverride w:val="1"/>
    </w:lvlOverride>
  </w:num>
  <w:num w:numId="18">
    <w:abstractNumId w:val="3"/>
  </w:num>
  <w:num w:numId="19">
    <w:abstractNumId w:val="0"/>
  </w:num>
  <w:num w:numId="20">
    <w:abstractNumId w:val="15"/>
  </w:num>
  <w:num w:numId="21">
    <w:abstractNumId w:val="14"/>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8"/>
  </w:num>
  <w:num w:numId="31">
    <w:abstractNumId w:val="21"/>
  </w:num>
  <w:num w:numId="32">
    <w:abstractNumId w:val="5"/>
  </w:num>
  <w:num w:numId="33">
    <w:abstractNumId w:val="19"/>
  </w:num>
  <w:num w:numId="34">
    <w:abstractNumId w:val="20"/>
  </w:num>
  <w:num w:numId="35">
    <w:abstractNumId w:val="6"/>
  </w:num>
  <w:num w:numId="36">
    <w:abstractNumId w:val="1"/>
  </w:num>
  <w:num w:numId="37">
    <w:abstractNumId w:val="13"/>
  </w:num>
  <w:num w:numId="3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3"/>
    <w:rsid w:val="000069C5"/>
    <w:rsid w:val="000073E2"/>
    <w:rsid w:val="000133A6"/>
    <w:rsid w:val="00015B65"/>
    <w:rsid w:val="000240B0"/>
    <w:rsid w:val="00026CDF"/>
    <w:rsid w:val="00033F36"/>
    <w:rsid w:val="00034231"/>
    <w:rsid w:val="00037790"/>
    <w:rsid w:val="00040C84"/>
    <w:rsid w:val="00043D12"/>
    <w:rsid w:val="000602EF"/>
    <w:rsid w:val="00060B13"/>
    <w:rsid w:val="00065F6B"/>
    <w:rsid w:val="00077A64"/>
    <w:rsid w:val="00084BF1"/>
    <w:rsid w:val="000864F3"/>
    <w:rsid w:val="000922FF"/>
    <w:rsid w:val="0009240D"/>
    <w:rsid w:val="000946B6"/>
    <w:rsid w:val="000946ED"/>
    <w:rsid w:val="00094759"/>
    <w:rsid w:val="00094E28"/>
    <w:rsid w:val="00095928"/>
    <w:rsid w:val="00097BEA"/>
    <w:rsid w:val="000A0A36"/>
    <w:rsid w:val="000A2E1F"/>
    <w:rsid w:val="000A5844"/>
    <w:rsid w:val="000A5A6A"/>
    <w:rsid w:val="000A63F6"/>
    <w:rsid w:val="000B0D04"/>
    <w:rsid w:val="000B1719"/>
    <w:rsid w:val="000B2DD3"/>
    <w:rsid w:val="000B397E"/>
    <w:rsid w:val="000B74D7"/>
    <w:rsid w:val="000B7DF0"/>
    <w:rsid w:val="000C00F7"/>
    <w:rsid w:val="000C2AA3"/>
    <w:rsid w:val="000C57DC"/>
    <w:rsid w:val="000C75DF"/>
    <w:rsid w:val="000D0670"/>
    <w:rsid w:val="000D1835"/>
    <w:rsid w:val="000D497F"/>
    <w:rsid w:val="000D57D8"/>
    <w:rsid w:val="000E0C8C"/>
    <w:rsid w:val="000E11E4"/>
    <w:rsid w:val="000E23F9"/>
    <w:rsid w:val="000E2699"/>
    <w:rsid w:val="000E3149"/>
    <w:rsid w:val="000E314D"/>
    <w:rsid w:val="000F0FCA"/>
    <w:rsid w:val="000F3D40"/>
    <w:rsid w:val="000F5528"/>
    <w:rsid w:val="000F5EFE"/>
    <w:rsid w:val="00100C04"/>
    <w:rsid w:val="001062F9"/>
    <w:rsid w:val="00111CAA"/>
    <w:rsid w:val="00111D09"/>
    <w:rsid w:val="0011232A"/>
    <w:rsid w:val="00114C55"/>
    <w:rsid w:val="00114CC8"/>
    <w:rsid w:val="00115AF3"/>
    <w:rsid w:val="00116B3E"/>
    <w:rsid w:val="00117EA4"/>
    <w:rsid w:val="00123264"/>
    <w:rsid w:val="001232A9"/>
    <w:rsid w:val="001240F0"/>
    <w:rsid w:val="00124752"/>
    <w:rsid w:val="00131000"/>
    <w:rsid w:val="00136A4C"/>
    <w:rsid w:val="001416AC"/>
    <w:rsid w:val="001426C7"/>
    <w:rsid w:val="0014467B"/>
    <w:rsid w:val="00146E91"/>
    <w:rsid w:val="00153005"/>
    <w:rsid w:val="0015668C"/>
    <w:rsid w:val="00156695"/>
    <w:rsid w:val="00165671"/>
    <w:rsid w:val="00165F7A"/>
    <w:rsid w:val="00166C00"/>
    <w:rsid w:val="00170454"/>
    <w:rsid w:val="00170E4B"/>
    <w:rsid w:val="00170F47"/>
    <w:rsid w:val="001718C3"/>
    <w:rsid w:val="001770EE"/>
    <w:rsid w:val="00177F7D"/>
    <w:rsid w:val="001832BD"/>
    <w:rsid w:val="00183758"/>
    <w:rsid w:val="00184193"/>
    <w:rsid w:val="00184C97"/>
    <w:rsid w:val="001855FB"/>
    <w:rsid w:val="00185F07"/>
    <w:rsid w:val="00186266"/>
    <w:rsid w:val="00187707"/>
    <w:rsid w:val="00187EBB"/>
    <w:rsid w:val="00194E3E"/>
    <w:rsid w:val="00195B8B"/>
    <w:rsid w:val="001965B7"/>
    <w:rsid w:val="0019665C"/>
    <w:rsid w:val="00196822"/>
    <w:rsid w:val="00197555"/>
    <w:rsid w:val="001A3B45"/>
    <w:rsid w:val="001B36C5"/>
    <w:rsid w:val="001B38D6"/>
    <w:rsid w:val="001B6BD3"/>
    <w:rsid w:val="001B789A"/>
    <w:rsid w:val="001B7EC8"/>
    <w:rsid w:val="001C03A1"/>
    <w:rsid w:val="001C03CD"/>
    <w:rsid w:val="001C056B"/>
    <w:rsid w:val="001C216F"/>
    <w:rsid w:val="001C3535"/>
    <w:rsid w:val="001C6F69"/>
    <w:rsid w:val="001D3836"/>
    <w:rsid w:val="001D620D"/>
    <w:rsid w:val="001D63CD"/>
    <w:rsid w:val="001E5E20"/>
    <w:rsid w:val="001E784B"/>
    <w:rsid w:val="001F0111"/>
    <w:rsid w:val="001F0B15"/>
    <w:rsid w:val="001F274D"/>
    <w:rsid w:val="001F2F7C"/>
    <w:rsid w:val="001F3088"/>
    <w:rsid w:val="001F32A9"/>
    <w:rsid w:val="001F35E0"/>
    <w:rsid w:val="001F40CE"/>
    <w:rsid w:val="001F64D6"/>
    <w:rsid w:val="001F69C2"/>
    <w:rsid w:val="0020305D"/>
    <w:rsid w:val="0020534D"/>
    <w:rsid w:val="00206414"/>
    <w:rsid w:val="002072E9"/>
    <w:rsid w:val="002106DC"/>
    <w:rsid w:val="00216FBF"/>
    <w:rsid w:val="00220E21"/>
    <w:rsid w:val="00221888"/>
    <w:rsid w:val="00221BFB"/>
    <w:rsid w:val="00221E48"/>
    <w:rsid w:val="002220FF"/>
    <w:rsid w:val="002224BA"/>
    <w:rsid w:val="00222647"/>
    <w:rsid w:val="0023103B"/>
    <w:rsid w:val="002321B8"/>
    <w:rsid w:val="00234406"/>
    <w:rsid w:val="00236DF2"/>
    <w:rsid w:val="00243660"/>
    <w:rsid w:val="00243665"/>
    <w:rsid w:val="002473B1"/>
    <w:rsid w:val="0025043C"/>
    <w:rsid w:val="00250539"/>
    <w:rsid w:val="00252F11"/>
    <w:rsid w:val="00260875"/>
    <w:rsid w:val="00260CB0"/>
    <w:rsid w:val="00261E0D"/>
    <w:rsid w:val="0026433F"/>
    <w:rsid w:val="002662D5"/>
    <w:rsid w:val="00266AB0"/>
    <w:rsid w:val="00270BFD"/>
    <w:rsid w:val="00271C6A"/>
    <w:rsid w:val="002737D1"/>
    <w:rsid w:val="00281664"/>
    <w:rsid w:val="00285779"/>
    <w:rsid w:val="00290F02"/>
    <w:rsid w:val="0029184A"/>
    <w:rsid w:val="00291D04"/>
    <w:rsid w:val="0029324C"/>
    <w:rsid w:val="002935FD"/>
    <w:rsid w:val="00293FA3"/>
    <w:rsid w:val="00294119"/>
    <w:rsid w:val="002955BE"/>
    <w:rsid w:val="00295C8A"/>
    <w:rsid w:val="00295D71"/>
    <w:rsid w:val="00296F74"/>
    <w:rsid w:val="00297744"/>
    <w:rsid w:val="002A1671"/>
    <w:rsid w:val="002A4946"/>
    <w:rsid w:val="002A5608"/>
    <w:rsid w:val="002A5BA1"/>
    <w:rsid w:val="002B1CF4"/>
    <w:rsid w:val="002B1E4D"/>
    <w:rsid w:val="002B4F00"/>
    <w:rsid w:val="002B503E"/>
    <w:rsid w:val="002B74B8"/>
    <w:rsid w:val="002C3561"/>
    <w:rsid w:val="002C43A2"/>
    <w:rsid w:val="002C50E5"/>
    <w:rsid w:val="002D395E"/>
    <w:rsid w:val="002D4FB5"/>
    <w:rsid w:val="002D5BF9"/>
    <w:rsid w:val="002D7B0A"/>
    <w:rsid w:val="002E37DA"/>
    <w:rsid w:val="002E5235"/>
    <w:rsid w:val="002E6D31"/>
    <w:rsid w:val="002E7EB6"/>
    <w:rsid w:val="002F288E"/>
    <w:rsid w:val="002F35C0"/>
    <w:rsid w:val="002F56CA"/>
    <w:rsid w:val="002F7260"/>
    <w:rsid w:val="0030097F"/>
    <w:rsid w:val="00301C4D"/>
    <w:rsid w:val="00302263"/>
    <w:rsid w:val="00307176"/>
    <w:rsid w:val="00316427"/>
    <w:rsid w:val="00316874"/>
    <w:rsid w:val="00316F20"/>
    <w:rsid w:val="00316FC9"/>
    <w:rsid w:val="00317930"/>
    <w:rsid w:val="00320506"/>
    <w:rsid w:val="00320ED2"/>
    <w:rsid w:val="00321BD3"/>
    <w:rsid w:val="00322C2F"/>
    <w:rsid w:val="00322DC8"/>
    <w:rsid w:val="00323333"/>
    <w:rsid w:val="0032687A"/>
    <w:rsid w:val="0033301F"/>
    <w:rsid w:val="00334184"/>
    <w:rsid w:val="003351F4"/>
    <w:rsid w:val="00340B60"/>
    <w:rsid w:val="0034222B"/>
    <w:rsid w:val="00342405"/>
    <w:rsid w:val="003434A5"/>
    <w:rsid w:val="003521FD"/>
    <w:rsid w:val="00352EE0"/>
    <w:rsid w:val="0035346F"/>
    <w:rsid w:val="0035351C"/>
    <w:rsid w:val="00354524"/>
    <w:rsid w:val="00354F74"/>
    <w:rsid w:val="00356A5E"/>
    <w:rsid w:val="0036086D"/>
    <w:rsid w:val="00360EA0"/>
    <w:rsid w:val="00361FAA"/>
    <w:rsid w:val="00362121"/>
    <w:rsid w:val="00362796"/>
    <w:rsid w:val="0036492F"/>
    <w:rsid w:val="003671C3"/>
    <w:rsid w:val="00371032"/>
    <w:rsid w:val="0037165F"/>
    <w:rsid w:val="00374A5B"/>
    <w:rsid w:val="00375088"/>
    <w:rsid w:val="00375F7D"/>
    <w:rsid w:val="0037731D"/>
    <w:rsid w:val="003869A3"/>
    <w:rsid w:val="003905D8"/>
    <w:rsid w:val="00393330"/>
    <w:rsid w:val="0039624F"/>
    <w:rsid w:val="003963FF"/>
    <w:rsid w:val="00397145"/>
    <w:rsid w:val="003A0BF3"/>
    <w:rsid w:val="003A5577"/>
    <w:rsid w:val="003B2450"/>
    <w:rsid w:val="003B6010"/>
    <w:rsid w:val="003C0C27"/>
    <w:rsid w:val="003C13FE"/>
    <w:rsid w:val="003C1CCA"/>
    <w:rsid w:val="003C6302"/>
    <w:rsid w:val="003C743C"/>
    <w:rsid w:val="003C7586"/>
    <w:rsid w:val="003D04E2"/>
    <w:rsid w:val="003D0E62"/>
    <w:rsid w:val="003D0FD0"/>
    <w:rsid w:val="003D12E7"/>
    <w:rsid w:val="003D53E0"/>
    <w:rsid w:val="003E43D7"/>
    <w:rsid w:val="003E57EF"/>
    <w:rsid w:val="003E7C3F"/>
    <w:rsid w:val="003F7082"/>
    <w:rsid w:val="00402894"/>
    <w:rsid w:val="00402EA0"/>
    <w:rsid w:val="0040302A"/>
    <w:rsid w:val="0040660A"/>
    <w:rsid w:val="00407B4B"/>
    <w:rsid w:val="00411D9A"/>
    <w:rsid w:val="00413089"/>
    <w:rsid w:val="00414F78"/>
    <w:rsid w:val="004151EC"/>
    <w:rsid w:val="00416F6B"/>
    <w:rsid w:val="004175FB"/>
    <w:rsid w:val="0042543F"/>
    <w:rsid w:val="00431CC9"/>
    <w:rsid w:val="00432511"/>
    <w:rsid w:val="00432640"/>
    <w:rsid w:val="004333F6"/>
    <w:rsid w:val="00433F9B"/>
    <w:rsid w:val="00434DED"/>
    <w:rsid w:val="004367A9"/>
    <w:rsid w:val="00440758"/>
    <w:rsid w:val="00440A4E"/>
    <w:rsid w:val="00441BAE"/>
    <w:rsid w:val="00442255"/>
    <w:rsid w:val="004450DF"/>
    <w:rsid w:val="004464A6"/>
    <w:rsid w:val="00447750"/>
    <w:rsid w:val="0045137B"/>
    <w:rsid w:val="00451746"/>
    <w:rsid w:val="00454FCD"/>
    <w:rsid w:val="0045513E"/>
    <w:rsid w:val="00455822"/>
    <w:rsid w:val="00460331"/>
    <w:rsid w:val="004614DC"/>
    <w:rsid w:val="00462267"/>
    <w:rsid w:val="00462566"/>
    <w:rsid w:val="00470341"/>
    <w:rsid w:val="00472C2F"/>
    <w:rsid w:val="00472CCB"/>
    <w:rsid w:val="004814CC"/>
    <w:rsid w:val="00491D12"/>
    <w:rsid w:val="0049337E"/>
    <w:rsid w:val="004948F0"/>
    <w:rsid w:val="004956ED"/>
    <w:rsid w:val="004A1C25"/>
    <w:rsid w:val="004A578F"/>
    <w:rsid w:val="004A67EE"/>
    <w:rsid w:val="004A7335"/>
    <w:rsid w:val="004A7408"/>
    <w:rsid w:val="004B47FC"/>
    <w:rsid w:val="004B4CD2"/>
    <w:rsid w:val="004B6557"/>
    <w:rsid w:val="004C02CC"/>
    <w:rsid w:val="004C169B"/>
    <w:rsid w:val="004C2294"/>
    <w:rsid w:val="004C3DC8"/>
    <w:rsid w:val="004C537F"/>
    <w:rsid w:val="004C64DC"/>
    <w:rsid w:val="004C7F10"/>
    <w:rsid w:val="004C7F77"/>
    <w:rsid w:val="004D0BE8"/>
    <w:rsid w:val="004D2E4C"/>
    <w:rsid w:val="004D2FE4"/>
    <w:rsid w:val="004D4FDA"/>
    <w:rsid w:val="004D5659"/>
    <w:rsid w:val="004D5688"/>
    <w:rsid w:val="004D6A69"/>
    <w:rsid w:val="004D7B2B"/>
    <w:rsid w:val="004E034D"/>
    <w:rsid w:val="004E2A48"/>
    <w:rsid w:val="004E498A"/>
    <w:rsid w:val="004F0F37"/>
    <w:rsid w:val="004F1033"/>
    <w:rsid w:val="004F2B69"/>
    <w:rsid w:val="004F4A47"/>
    <w:rsid w:val="004F4B2C"/>
    <w:rsid w:val="005034A9"/>
    <w:rsid w:val="00503C7D"/>
    <w:rsid w:val="00510832"/>
    <w:rsid w:val="00510870"/>
    <w:rsid w:val="0051384A"/>
    <w:rsid w:val="00517214"/>
    <w:rsid w:val="0052331E"/>
    <w:rsid w:val="00523390"/>
    <w:rsid w:val="00523E81"/>
    <w:rsid w:val="00524A92"/>
    <w:rsid w:val="00540FB1"/>
    <w:rsid w:val="005423AF"/>
    <w:rsid w:val="00542A52"/>
    <w:rsid w:val="00546736"/>
    <w:rsid w:val="00546EA1"/>
    <w:rsid w:val="00547A20"/>
    <w:rsid w:val="00554645"/>
    <w:rsid w:val="00555A08"/>
    <w:rsid w:val="00556414"/>
    <w:rsid w:val="00560D90"/>
    <w:rsid w:val="0056259D"/>
    <w:rsid w:val="00562E6F"/>
    <w:rsid w:val="005645F4"/>
    <w:rsid w:val="00565A19"/>
    <w:rsid w:val="00565F5E"/>
    <w:rsid w:val="0056632F"/>
    <w:rsid w:val="00566EB4"/>
    <w:rsid w:val="005678A6"/>
    <w:rsid w:val="00567D85"/>
    <w:rsid w:val="00577D1D"/>
    <w:rsid w:val="00577DC8"/>
    <w:rsid w:val="00580DAC"/>
    <w:rsid w:val="00581229"/>
    <w:rsid w:val="00581E41"/>
    <w:rsid w:val="00582D7F"/>
    <w:rsid w:val="00592DF6"/>
    <w:rsid w:val="00593C68"/>
    <w:rsid w:val="00593CA2"/>
    <w:rsid w:val="00595410"/>
    <w:rsid w:val="00597883"/>
    <w:rsid w:val="005A09E7"/>
    <w:rsid w:val="005A17E3"/>
    <w:rsid w:val="005A34CE"/>
    <w:rsid w:val="005A59BE"/>
    <w:rsid w:val="005A77F3"/>
    <w:rsid w:val="005B0566"/>
    <w:rsid w:val="005B1A24"/>
    <w:rsid w:val="005B1DF7"/>
    <w:rsid w:val="005B24F2"/>
    <w:rsid w:val="005B7310"/>
    <w:rsid w:val="005C2E51"/>
    <w:rsid w:val="005C4691"/>
    <w:rsid w:val="005C69F3"/>
    <w:rsid w:val="005D3F30"/>
    <w:rsid w:val="005E13B1"/>
    <w:rsid w:val="005E1DC0"/>
    <w:rsid w:val="005E1F10"/>
    <w:rsid w:val="005E682A"/>
    <w:rsid w:val="005F0074"/>
    <w:rsid w:val="00603934"/>
    <w:rsid w:val="00603E7A"/>
    <w:rsid w:val="00603F6C"/>
    <w:rsid w:val="006062DE"/>
    <w:rsid w:val="00606A9D"/>
    <w:rsid w:val="00607324"/>
    <w:rsid w:val="00607500"/>
    <w:rsid w:val="00612260"/>
    <w:rsid w:val="006125A7"/>
    <w:rsid w:val="00616DDF"/>
    <w:rsid w:val="00617AA4"/>
    <w:rsid w:val="00622C5D"/>
    <w:rsid w:val="0062759F"/>
    <w:rsid w:val="00630086"/>
    <w:rsid w:val="00642447"/>
    <w:rsid w:val="0064288D"/>
    <w:rsid w:val="00644480"/>
    <w:rsid w:val="006515C4"/>
    <w:rsid w:val="00651E34"/>
    <w:rsid w:val="006525CB"/>
    <w:rsid w:val="00653096"/>
    <w:rsid w:val="00654CF4"/>
    <w:rsid w:val="006551CD"/>
    <w:rsid w:val="0065523F"/>
    <w:rsid w:val="00661434"/>
    <w:rsid w:val="00664BDD"/>
    <w:rsid w:val="006715DC"/>
    <w:rsid w:val="00672B70"/>
    <w:rsid w:val="00675AE1"/>
    <w:rsid w:val="00675BE5"/>
    <w:rsid w:val="0067692B"/>
    <w:rsid w:val="00680614"/>
    <w:rsid w:val="00680C17"/>
    <w:rsid w:val="00681D49"/>
    <w:rsid w:val="006829E3"/>
    <w:rsid w:val="00684F2E"/>
    <w:rsid w:val="00686BBC"/>
    <w:rsid w:val="00687901"/>
    <w:rsid w:val="0069133F"/>
    <w:rsid w:val="0069239B"/>
    <w:rsid w:val="006927CF"/>
    <w:rsid w:val="00696E5B"/>
    <w:rsid w:val="006A2E6A"/>
    <w:rsid w:val="006A3300"/>
    <w:rsid w:val="006A40D3"/>
    <w:rsid w:val="006A475A"/>
    <w:rsid w:val="006A7B93"/>
    <w:rsid w:val="006A7E50"/>
    <w:rsid w:val="006B2762"/>
    <w:rsid w:val="006B5BBD"/>
    <w:rsid w:val="006B6D5F"/>
    <w:rsid w:val="006C001C"/>
    <w:rsid w:val="006C1FAF"/>
    <w:rsid w:val="006C2D70"/>
    <w:rsid w:val="006C2EFB"/>
    <w:rsid w:val="006C41C4"/>
    <w:rsid w:val="006C5A68"/>
    <w:rsid w:val="006C6A08"/>
    <w:rsid w:val="006D065E"/>
    <w:rsid w:val="006D1082"/>
    <w:rsid w:val="006D3773"/>
    <w:rsid w:val="006D3E34"/>
    <w:rsid w:val="006D4A36"/>
    <w:rsid w:val="006D58C2"/>
    <w:rsid w:val="006E0ABC"/>
    <w:rsid w:val="006E16D2"/>
    <w:rsid w:val="006E4778"/>
    <w:rsid w:val="006E510B"/>
    <w:rsid w:val="006E6B49"/>
    <w:rsid w:val="006F0409"/>
    <w:rsid w:val="006F0EBF"/>
    <w:rsid w:val="006F1148"/>
    <w:rsid w:val="006F12A1"/>
    <w:rsid w:val="006F1845"/>
    <w:rsid w:val="006F379B"/>
    <w:rsid w:val="006F3F87"/>
    <w:rsid w:val="006F7683"/>
    <w:rsid w:val="0070140D"/>
    <w:rsid w:val="00703CA6"/>
    <w:rsid w:val="007057F6"/>
    <w:rsid w:val="00707859"/>
    <w:rsid w:val="00711F4C"/>
    <w:rsid w:val="00714CA7"/>
    <w:rsid w:val="00723A96"/>
    <w:rsid w:val="00724696"/>
    <w:rsid w:val="00731735"/>
    <w:rsid w:val="007320A9"/>
    <w:rsid w:val="00732EDE"/>
    <w:rsid w:val="00733A17"/>
    <w:rsid w:val="0074045F"/>
    <w:rsid w:val="00740754"/>
    <w:rsid w:val="00742AD0"/>
    <w:rsid w:val="0074653E"/>
    <w:rsid w:val="0075451B"/>
    <w:rsid w:val="00755974"/>
    <w:rsid w:val="00763987"/>
    <w:rsid w:val="00763D34"/>
    <w:rsid w:val="0076558D"/>
    <w:rsid w:val="00766EF2"/>
    <w:rsid w:val="00772766"/>
    <w:rsid w:val="0077678F"/>
    <w:rsid w:val="00777E1D"/>
    <w:rsid w:val="00781A2E"/>
    <w:rsid w:val="00781EA7"/>
    <w:rsid w:val="00782935"/>
    <w:rsid w:val="00785950"/>
    <w:rsid w:val="00791D9E"/>
    <w:rsid w:val="00796CBF"/>
    <w:rsid w:val="007A0551"/>
    <w:rsid w:val="007A36E7"/>
    <w:rsid w:val="007A3B20"/>
    <w:rsid w:val="007B7879"/>
    <w:rsid w:val="007C0136"/>
    <w:rsid w:val="007C2A5E"/>
    <w:rsid w:val="007C34AC"/>
    <w:rsid w:val="007C3584"/>
    <w:rsid w:val="007C4957"/>
    <w:rsid w:val="007D13DD"/>
    <w:rsid w:val="007D3751"/>
    <w:rsid w:val="007D4358"/>
    <w:rsid w:val="007E059E"/>
    <w:rsid w:val="007E0A98"/>
    <w:rsid w:val="007E0CA5"/>
    <w:rsid w:val="007E1986"/>
    <w:rsid w:val="007E7DBE"/>
    <w:rsid w:val="007F3AA7"/>
    <w:rsid w:val="007F53C5"/>
    <w:rsid w:val="007F71CA"/>
    <w:rsid w:val="007F79E2"/>
    <w:rsid w:val="00800342"/>
    <w:rsid w:val="008006C5"/>
    <w:rsid w:val="0080184E"/>
    <w:rsid w:val="00801B8B"/>
    <w:rsid w:val="00802833"/>
    <w:rsid w:val="00803A27"/>
    <w:rsid w:val="00804104"/>
    <w:rsid w:val="00804740"/>
    <w:rsid w:val="0080548C"/>
    <w:rsid w:val="00805D2F"/>
    <w:rsid w:val="00806025"/>
    <w:rsid w:val="0080739D"/>
    <w:rsid w:val="0081111F"/>
    <w:rsid w:val="00812E77"/>
    <w:rsid w:val="008132BA"/>
    <w:rsid w:val="0081693F"/>
    <w:rsid w:val="00820B84"/>
    <w:rsid w:val="00822F52"/>
    <w:rsid w:val="00823613"/>
    <w:rsid w:val="00823A3D"/>
    <w:rsid w:val="0082538E"/>
    <w:rsid w:val="00826298"/>
    <w:rsid w:val="00826CF7"/>
    <w:rsid w:val="00840784"/>
    <w:rsid w:val="00840986"/>
    <w:rsid w:val="00842068"/>
    <w:rsid w:val="00842FE5"/>
    <w:rsid w:val="008441BD"/>
    <w:rsid w:val="008463CD"/>
    <w:rsid w:val="0084696F"/>
    <w:rsid w:val="00850354"/>
    <w:rsid w:val="00857BC5"/>
    <w:rsid w:val="00860022"/>
    <w:rsid w:val="008625FE"/>
    <w:rsid w:val="00866F0D"/>
    <w:rsid w:val="008670CF"/>
    <w:rsid w:val="00873A5F"/>
    <w:rsid w:val="00874879"/>
    <w:rsid w:val="008756F5"/>
    <w:rsid w:val="0088259C"/>
    <w:rsid w:val="0088352D"/>
    <w:rsid w:val="00886E84"/>
    <w:rsid w:val="00890773"/>
    <w:rsid w:val="0089083E"/>
    <w:rsid w:val="00891401"/>
    <w:rsid w:val="008933C0"/>
    <w:rsid w:val="008945C8"/>
    <w:rsid w:val="00894D1A"/>
    <w:rsid w:val="008954AA"/>
    <w:rsid w:val="00895CB4"/>
    <w:rsid w:val="008972D8"/>
    <w:rsid w:val="00897802"/>
    <w:rsid w:val="008A07F4"/>
    <w:rsid w:val="008A16BE"/>
    <w:rsid w:val="008A178C"/>
    <w:rsid w:val="008A36B5"/>
    <w:rsid w:val="008A6520"/>
    <w:rsid w:val="008A6B94"/>
    <w:rsid w:val="008A7150"/>
    <w:rsid w:val="008A716A"/>
    <w:rsid w:val="008B3684"/>
    <w:rsid w:val="008B3F2C"/>
    <w:rsid w:val="008B4113"/>
    <w:rsid w:val="008C07D2"/>
    <w:rsid w:val="008C08B3"/>
    <w:rsid w:val="008C54D8"/>
    <w:rsid w:val="008C55FE"/>
    <w:rsid w:val="008D60FE"/>
    <w:rsid w:val="008E29ED"/>
    <w:rsid w:val="008E4833"/>
    <w:rsid w:val="008E497F"/>
    <w:rsid w:val="008E7660"/>
    <w:rsid w:val="008E7FEB"/>
    <w:rsid w:val="008F2E36"/>
    <w:rsid w:val="008F52B1"/>
    <w:rsid w:val="008F5570"/>
    <w:rsid w:val="008F5ED8"/>
    <w:rsid w:val="008F721C"/>
    <w:rsid w:val="008F7246"/>
    <w:rsid w:val="008F7648"/>
    <w:rsid w:val="008F7ACD"/>
    <w:rsid w:val="00902918"/>
    <w:rsid w:val="00902BEB"/>
    <w:rsid w:val="0090395C"/>
    <w:rsid w:val="009052A8"/>
    <w:rsid w:val="00906166"/>
    <w:rsid w:val="00912085"/>
    <w:rsid w:val="00913F57"/>
    <w:rsid w:val="00915002"/>
    <w:rsid w:val="0091527C"/>
    <w:rsid w:val="009173E2"/>
    <w:rsid w:val="009211E3"/>
    <w:rsid w:val="00925044"/>
    <w:rsid w:val="00926201"/>
    <w:rsid w:val="00926CAF"/>
    <w:rsid w:val="00927387"/>
    <w:rsid w:val="00933D49"/>
    <w:rsid w:val="00934C98"/>
    <w:rsid w:val="00934E25"/>
    <w:rsid w:val="00935451"/>
    <w:rsid w:val="0093650D"/>
    <w:rsid w:val="00937C97"/>
    <w:rsid w:val="00940541"/>
    <w:rsid w:val="009415B7"/>
    <w:rsid w:val="0094240D"/>
    <w:rsid w:val="0094418A"/>
    <w:rsid w:val="00944CE6"/>
    <w:rsid w:val="009511D1"/>
    <w:rsid w:val="0095233D"/>
    <w:rsid w:val="00957472"/>
    <w:rsid w:val="009612C9"/>
    <w:rsid w:val="00961B8D"/>
    <w:rsid w:val="00961C02"/>
    <w:rsid w:val="00966952"/>
    <w:rsid w:val="00966DEB"/>
    <w:rsid w:val="00972055"/>
    <w:rsid w:val="00972187"/>
    <w:rsid w:val="00972C59"/>
    <w:rsid w:val="009754F0"/>
    <w:rsid w:val="00975D57"/>
    <w:rsid w:val="00980C27"/>
    <w:rsid w:val="00981348"/>
    <w:rsid w:val="00985FAD"/>
    <w:rsid w:val="00990A78"/>
    <w:rsid w:val="009935B3"/>
    <w:rsid w:val="00995235"/>
    <w:rsid w:val="009966F0"/>
    <w:rsid w:val="009A0014"/>
    <w:rsid w:val="009A5638"/>
    <w:rsid w:val="009A5F43"/>
    <w:rsid w:val="009A6D1A"/>
    <w:rsid w:val="009B4EA4"/>
    <w:rsid w:val="009C0030"/>
    <w:rsid w:val="009C17B9"/>
    <w:rsid w:val="009C5563"/>
    <w:rsid w:val="009C6552"/>
    <w:rsid w:val="009C6E12"/>
    <w:rsid w:val="009D21BA"/>
    <w:rsid w:val="009D2696"/>
    <w:rsid w:val="009D3CB4"/>
    <w:rsid w:val="009D4685"/>
    <w:rsid w:val="009D4841"/>
    <w:rsid w:val="009D6A75"/>
    <w:rsid w:val="009E02DB"/>
    <w:rsid w:val="009E0B55"/>
    <w:rsid w:val="009E5D35"/>
    <w:rsid w:val="009E6872"/>
    <w:rsid w:val="009E6E97"/>
    <w:rsid w:val="009E7941"/>
    <w:rsid w:val="009E7B56"/>
    <w:rsid w:val="009F2644"/>
    <w:rsid w:val="009F2C28"/>
    <w:rsid w:val="009F41BB"/>
    <w:rsid w:val="009F5985"/>
    <w:rsid w:val="009F6542"/>
    <w:rsid w:val="00A05BD9"/>
    <w:rsid w:val="00A0738E"/>
    <w:rsid w:val="00A079CE"/>
    <w:rsid w:val="00A07E03"/>
    <w:rsid w:val="00A10BA5"/>
    <w:rsid w:val="00A11EF9"/>
    <w:rsid w:val="00A153B8"/>
    <w:rsid w:val="00A24E33"/>
    <w:rsid w:val="00A30DC9"/>
    <w:rsid w:val="00A31C0E"/>
    <w:rsid w:val="00A34990"/>
    <w:rsid w:val="00A35B9E"/>
    <w:rsid w:val="00A361DD"/>
    <w:rsid w:val="00A36901"/>
    <w:rsid w:val="00A40792"/>
    <w:rsid w:val="00A45713"/>
    <w:rsid w:val="00A457EF"/>
    <w:rsid w:val="00A45878"/>
    <w:rsid w:val="00A458E5"/>
    <w:rsid w:val="00A46CA5"/>
    <w:rsid w:val="00A47FEE"/>
    <w:rsid w:val="00A54030"/>
    <w:rsid w:val="00A55A3E"/>
    <w:rsid w:val="00A5684F"/>
    <w:rsid w:val="00A56B37"/>
    <w:rsid w:val="00A56D4A"/>
    <w:rsid w:val="00A57922"/>
    <w:rsid w:val="00A60BE8"/>
    <w:rsid w:val="00A62BFB"/>
    <w:rsid w:val="00A6378D"/>
    <w:rsid w:val="00A64C76"/>
    <w:rsid w:val="00A707BB"/>
    <w:rsid w:val="00A71098"/>
    <w:rsid w:val="00A72741"/>
    <w:rsid w:val="00A736E5"/>
    <w:rsid w:val="00A7451E"/>
    <w:rsid w:val="00A75FB3"/>
    <w:rsid w:val="00A81E01"/>
    <w:rsid w:val="00A82C60"/>
    <w:rsid w:val="00A864F2"/>
    <w:rsid w:val="00A86E7B"/>
    <w:rsid w:val="00A86E96"/>
    <w:rsid w:val="00A8752D"/>
    <w:rsid w:val="00A9160B"/>
    <w:rsid w:val="00A9254C"/>
    <w:rsid w:val="00A97749"/>
    <w:rsid w:val="00AA013F"/>
    <w:rsid w:val="00AA3136"/>
    <w:rsid w:val="00AA41F5"/>
    <w:rsid w:val="00AA523B"/>
    <w:rsid w:val="00AA7123"/>
    <w:rsid w:val="00AB0022"/>
    <w:rsid w:val="00AB0F05"/>
    <w:rsid w:val="00AB1D19"/>
    <w:rsid w:val="00AB1DDD"/>
    <w:rsid w:val="00AB41C4"/>
    <w:rsid w:val="00AB4724"/>
    <w:rsid w:val="00AC0D70"/>
    <w:rsid w:val="00AC5191"/>
    <w:rsid w:val="00AC71C7"/>
    <w:rsid w:val="00AD0D2B"/>
    <w:rsid w:val="00AD1D00"/>
    <w:rsid w:val="00AD2724"/>
    <w:rsid w:val="00AD2CED"/>
    <w:rsid w:val="00AD2E02"/>
    <w:rsid w:val="00AD5362"/>
    <w:rsid w:val="00AD579A"/>
    <w:rsid w:val="00AE1DF5"/>
    <w:rsid w:val="00AE42F9"/>
    <w:rsid w:val="00AE59F4"/>
    <w:rsid w:val="00AE7D02"/>
    <w:rsid w:val="00AF0811"/>
    <w:rsid w:val="00AF0DAC"/>
    <w:rsid w:val="00AF4C3A"/>
    <w:rsid w:val="00B01866"/>
    <w:rsid w:val="00B03737"/>
    <w:rsid w:val="00B07049"/>
    <w:rsid w:val="00B10F9B"/>
    <w:rsid w:val="00B118BD"/>
    <w:rsid w:val="00B17713"/>
    <w:rsid w:val="00B17C95"/>
    <w:rsid w:val="00B2053A"/>
    <w:rsid w:val="00B21484"/>
    <w:rsid w:val="00B21C3F"/>
    <w:rsid w:val="00B22315"/>
    <w:rsid w:val="00B30A38"/>
    <w:rsid w:val="00B30C32"/>
    <w:rsid w:val="00B40D20"/>
    <w:rsid w:val="00B44C69"/>
    <w:rsid w:val="00B46B17"/>
    <w:rsid w:val="00B52E82"/>
    <w:rsid w:val="00B53E6C"/>
    <w:rsid w:val="00B60C3E"/>
    <w:rsid w:val="00B60D07"/>
    <w:rsid w:val="00B6113B"/>
    <w:rsid w:val="00B61990"/>
    <w:rsid w:val="00B660E0"/>
    <w:rsid w:val="00B70D08"/>
    <w:rsid w:val="00B76BA7"/>
    <w:rsid w:val="00B82153"/>
    <w:rsid w:val="00B8308D"/>
    <w:rsid w:val="00B84B10"/>
    <w:rsid w:val="00B84D66"/>
    <w:rsid w:val="00B940C8"/>
    <w:rsid w:val="00B947DD"/>
    <w:rsid w:val="00B95CD1"/>
    <w:rsid w:val="00BA02C2"/>
    <w:rsid w:val="00BA1E24"/>
    <w:rsid w:val="00BA5262"/>
    <w:rsid w:val="00BA63F4"/>
    <w:rsid w:val="00BB025E"/>
    <w:rsid w:val="00BB2764"/>
    <w:rsid w:val="00BB3B60"/>
    <w:rsid w:val="00BB7112"/>
    <w:rsid w:val="00BC0EBF"/>
    <w:rsid w:val="00BC0F95"/>
    <w:rsid w:val="00BC2794"/>
    <w:rsid w:val="00BC3163"/>
    <w:rsid w:val="00BC5BC7"/>
    <w:rsid w:val="00BC6FB3"/>
    <w:rsid w:val="00BD1EA2"/>
    <w:rsid w:val="00BD21FF"/>
    <w:rsid w:val="00BD5D0A"/>
    <w:rsid w:val="00BD5E4E"/>
    <w:rsid w:val="00BE6310"/>
    <w:rsid w:val="00BE6842"/>
    <w:rsid w:val="00BF177A"/>
    <w:rsid w:val="00BF17BC"/>
    <w:rsid w:val="00BF3406"/>
    <w:rsid w:val="00BF35AF"/>
    <w:rsid w:val="00BF462B"/>
    <w:rsid w:val="00BF4C11"/>
    <w:rsid w:val="00BF5B31"/>
    <w:rsid w:val="00BF739C"/>
    <w:rsid w:val="00C01720"/>
    <w:rsid w:val="00C01D7E"/>
    <w:rsid w:val="00C023AA"/>
    <w:rsid w:val="00C02794"/>
    <w:rsid w:val="00C04B76"/>
    <w:rsid w:val="00C05498"/>
    <w:rsid w:val="00C06728"/>
    <w:rsid w:val="00C068AC"/>
    <w:rsid w:val="00C112CA"/>
    <w:rsid w:val="00C115D1"/>
    <w:rsid w:val="00C15C70"/>
    <w:rsid w:val="00C205C9"/>
    <w:rsid w:val="00C2067C"/>
    <w:rsid w:val="00C248DD"/>
    <w:rsid w:val="00C27887"/>
    <w:rsid w:val="00C31E76"/>
    <w:rsid w:val="00C32469"/>
    <w:rsid w:val="00C3668E"/>
    <w:rsid w:val="00C378B4"/>
    <w:rsid w:val="00C401BA"/>
    <w:rsid w:val="00C40C66"/>
    <w:rsid w:val="00C42ECC"/>
    <w:rsid w:val="00C442BC"/>
    <w:rsid w:val="00C54D70"/>
    <w:rsid w:val="00C557BC"/>
    <w:rsid w:val="00C56D23"/>
    <w:rsid w:val="00C57A74"/>
    <w:rsid w:val="00C6077D"/>
    <w:rsid w:val="00C60AA9"/>
    <w:rsid w:val="00C64290"/>
    <w:rsid w:val="00C65564"/>
    <w:rsid w:val="00C723F1"/>
    <w:rsid w:val="00C80A40"/>
    <w:rsid w:val="00C83A35"/>
    <w:rsid w:val="00C83D95"/>
    <w:rsid w:val="00C96B6D"/>
    <w:rsid w:val="00C97942"/>
    <w:rsid w:val="00C97A27"/>
    <w:rsid w:val="00CA4B11"/>
    <w:rsid w:val="00CA76F7"/>
    <w:rsid w:val="00CC0442"/>
    <w:rsid w:val="00CC0FA1"/>
    <w:rsid w:val="00CC252C"/>
    <w:rsid w:val="00CC2B81"/>
    <w:rsid w:val="00CC4EC9"/>
    <w:rsid w:val="00CD7DDC"/>
    <w:rsid w:val="00CE3C9F"/>
    <w:rsid w:val="00CE47EC"/>
    <w:rsid w:val="00CE5D4D"/>
    <w:rsid w:val="00CE6886"/>
    <w:rsid w:val="00CF11C8"/>
    <w:rsid w:val="00CF2A11"/>
    <w:rsid w:val="00CF6BB5"/>
    <w:rsid w:val="00D05EC1"/>
    <w:rsid w:val="00D1156D"/>
    <w:rsid w:val="00D126D6"/>
    <w:rsid w:val="00D12C7C"/>
    <w:rsid w:val="00D12D86"/>
    <w:rsid w:val="00D13A1B"/>
    <w:rsid w:val="00D16381"/>
    <w:rsid w:val="00D168B7"/>
    <w:rsid w:val="00D24A52"/>
    <w:rsid w:val="00D25611"/>
    <w:rsid w:val="00D27644"/>
    <w:rsid w:val="00D27803"/>
    <w:rsid w:val="00D27B96"/>
    <w:rsid w:val="00D300A4"/>
    <w:rsid w:val="00D318D2"/>
    <w:rsid w:val="00D3377B"/>
    <w:rsid w:val="00D3489E"/>
    <w:rsid w:val="00D40702"/>
    <w:rsid w:val="00D42786"/>
    <w:rsid w:val="00D43F2A"/>
    <w:rsid w:val="00D44C67"/>
    <w:rsid w:val="00D45C0D"/>
    <w:rsid w:val="00D468A6"/>
    <w:rsid w:val="00D50FD1"/>
    <w:rsid w:val="00D517FF"/>
    <w:rsid w:val="00D54939"/>
    <w:rsid w:val="00D57A73"/>
    <w:rsid w:val="00D57E12"/>
    <w:rsid w:val="00D633D1"/>
    <w:rsid w:val="00D6363C"/>
    <w:rsid w:val="00D64869"/>
    <w:rsid w:val="00D66348"/>
    <w:rsid w:val="00D66E75"/>
    <w:rsid w:val="00D70036"/>
    <w:rsid w:val="00D73833"/>
    <w:rsid w:val="00D80F6F"/>
    <w:rsid w:val="00D83184"/>
    <w:rsid w:val="00D876E1"/>
    <w:rsid w:val="00D900E5"/>
    <w:rsid w:val="00D90645"/>
    <w:rsid w:val="00D92EE9"/>
    <w:rsid w:val="00D93C12"/>
    <w:rsid w:val="00D97CF2"/>
    <w:rsid w:val="00DA0069"/>
    <w:rsid w:val="00DA39AB"/>
    <w:rsid w:val="00DA443C"/>
    <w:rsid w:val="00DA52CC"/>
    <w:rsid w:val="00DA5E89"/>
    <w:rsid w:val="00DA6478"/>
    <w:rsid w:val="00DB0C8F"/>
    <w:rsid w:val="00DB22A2"/>
    <w:rsid w:val="00DB3E57"/>
    <w:rsid w:val="00DB48CC"/>
    <w:rsid w:val="00DB6FD3"/>
    <w:rsid w:val="00DB750E"/>
    <w:rsid w:val="00DC0A27"/>
    <w:rsid w:val="00DC4508"/>
    <w:rsid w:val="00DC4941"/>
    <w:rsid w:val="00DC49AA"/>
    <w:rsid w:val="00DC5FAF"/>
    <w:rsid w:val="00DC7476"/>
    <w:rsid w:val="00DC781E"/>
    <w:rsid w:val="00DD4E6E"/>
    <w:rsid w:val="00DD59A0"/>
    <w:rsid w:val="00DD6426"/>
    <w:rsid w:val="00DE224D"/>
    <w:rsid w:val="00DE2396"/>
    <w:rsid w:val="00DE2858"/>
    <w:rsid w:val="00DF0792"/>
    <w:rsid w:val="00DF1D03"/>
    <w:rsid w:val="00DF230B"/>
    <w:rsid w:val="00DF2668"/>
    <w:rsid w:val="00DF6674"/>
    <w:rsid w:val="00DF6B07"/>
    <w:rsid w:val="00DF6B25"/>
    <w:rsid w:val="00E01713"/>
    <w:rsid w:val="00E02730"/>
    <w:rsid w:val="00E06E63"/>
    <w:rsid w:val="00E10544"/>
    <w:rsid w:val="00E1797B"/>
    <w:rsid w:val="00E17B5D"/>
    <w:rsid w:val="00E22805"/>
    <w:rsid w:val="00E234A2"/>
    <w:rsid w:val="00E236BE"/>
    <w:rsid w:val="00E250C4"/>
    <w:rsid w:val="00E2685C"/>
    <w:rsid w:val="00E31084"/>
    <w:rsid w:val="00E34AC9"/>
    <w:rsid w:val="00E3572C"/>
    <w:rsid w:val="00E45768"/>
    <w:rsid w:val="00E45F04"/>
    <w:rsid w:val="00E51231"/>
    <w:rsid w:val="00E57F2B"/>
    <w:rsid w:val="00E65495"/>
    <w:rsid w:val="00E65EFF"/>
    <w:rsid w:val="00E67516"/>
    <w:rsid w:val="00E67F46"/>
    <w:rsid w:val="00E711CB"/>
    <w:rsid w:val="00E720CA"/>
    <w:rsid w:val="00E7275D"/>
    <w:rsid w:val="00E73480"/>
    <w:rsid w:val="00E75B49"/>
    <w:rsid w:val="00E8188A"/>
    <w:rsid w:val="00E83FF2"/>
    <w:rsid w:val="00E85F89"/>
    <w:rsid w:val="00E94823"/>
    <w:rsid w:val="00E95AC9"/>
    <w:rsid w:val="00E96DF2"/>
    <w:rsid w:val="00EA008C"/>
    <w:rsid w:val="00EA22FF"/>
    <w:rsid w:val="00EA2875"/>
    <w:rsid w:val="00EA329B"/>
    <w:rsid w:val="00EA508F"/>
    <w:rsid w:val="00EA56AE"/>
    <w:rsid w:val="00EB0FE9"/>
    <w:rsid w:val="00EB19C4"/>
    <w:rsid w:val="00EB1BD7"/>
    <w:rsid w:val="00EB1D68"/>
    <w:rsid w:val="00EB7AF5"/>
    <w:rsid w:val="00EC0137"/>
    <w:rsid w:val="00EC0B4E"/>
    <w:rsid w:val="00EC263F"/>
    <w:rsid w:val="00EC365D"/>
    <w:rsid w:val="00EC388D"/>
    <w:rsid w:val="00ED102C"/>
    <w:rsid w:val="00ED15AD"/>
    <w:rsid w:val="00ED441F"/>
    <w:rsid w:val="00ED555C"/>
    <w:rsid w:val="00ED662A"/>
    <w:rsid w:val="00ED72F9"/>
    <w:rsid w:val="00ED76AC"/>
    <w:rsid w:val="00ED7950"/>
    <w:rsid w:val="00EE04A1"/>
    <w:rsid w:val="00EE11D9"/>
    <w:rsid w:val="00EE4AAC"/>
    <w:rsid w:val="00EE5FCC"/>
    <w:rsid w:val="00EF3119"/>
    <w:rsid w:val="00F025A1"/>
    <w:rsid w:val="00F04C6D"/>
    <w:rsid w:val="00F05B20"/>
    <w:rsid w:val="00F12F51"/>
    <w:rsid w:val="00F13D4C"/>
    <w:rsid w:val="00F1484B"/>
    <w:rsid w:val="00F22ACA"/>
    <w:rsid w:val="00F25E40"/>
    <w:rsid w:val="00F263F6"/>
    <w:rsid w:val="00F2675D"/>
    <w:rsid w:val="00F26EBD"/>
    <w:rsid w:val="00F30F40"/>
    <w:rsid w:val="00F34BE4"/>
    <w:rsid w:val="00F34C63"/>
    <w:rsid w:val="00F41968"/>
    <w:rsid w:val="00F453BC"/>
    <w:rsid w:val="00F46744"/>
    <w:rsid w:val="00F46D81"/>
    <w:rsid w:val="00F53C2B"/>
    <w:rsid w:val="00F53E67"/>
    <w:rsid w:val="00F55185"/>
    <w:rsid w:val="00F61C5B"/>
    <w:rsid w:val="00F623D7"/>
    <w:rsid w:val="00F624A1"/>
    <w:rsid w:val="00F634F8"/>
    <w:rsid w:val="00F637F9"/>
    <w:rsid w:val="00F66750"/>
    <w:rsid w:val="00F74A54"/>
    <w:rsid w:val="00F757BD"/>
    <w:rsid w:val="00F77002"/>
    <w:rsid w:val="00F77134"/>
    <w:rsid w:val="00F77B07"/>
    <w:rsid w:val="00F87570"/>
    <w:rsid w:val="00F87809"/>
    <w:rsid w:val="00F91BFC"/>
    <w:rsid w:val="00F9483B"/>
    <w:rsid w:val="00F94D93"/>
    <w:rsid w:val="00F95DA3"/>
    <w:rsid w:val="00FA2AAF"/>
    <w:rsid w:val="00FA49A7"/>
    <w:rsid w:val="00FA598D"/>
    <w:rsid w:val="00FA5E3C"/>
    <w:rsid w:val="00FB1BC5"/>
    <w:rsid w:val="00FB2033"/>
    <w:rsid w:val="00FB2CBC"/>
    <w:rsid w:val="00FB42C5"/>
    <w:rsid w:val="00FB5F76"/>
    <w:rsid w:val="00FC2A75"/>
    <w:rsid w:val="00FC3F9F"/>
    <w:rsid w:val="00FD054F"/>
    <w:rsid w:val="00FD41BB"/>
    <w:rsid w:val="00FD4B12"/>
    <w:rsid w:val="00FD527C"/>
    <w:rsid w:val="00FE6D9E"/>
    <w:rsid w:val="00FF11A0"/>
    <w:rsid w:val="00FF22CD"/>
    <w:rsid w:val="00FF3F7D"/>
    <w:rsid w:val="00FF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9ADED"/>
  <w15:chartTrackingRefBased/>
  <w15:docId w15:val="{56FB0A75-26E7-45DF-937E-87989D30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22"/>
    <w:pPr>
      <w:spacing w:line="276" w:lineRule="auto"/>
      <w:jc w:val="both"/>
    </w:pPr>
    <w:rPr>
      <w:rFonts w:ascii="GHEA Grapalat" w:hAnsi="GHEA Grapalat"/>
      <w:sz w:val="24"/>
      <w:szCs w:val="24"/>
      <w:lang w:val="hy-AM"/>
    </w:rPr>
  </w:style>
  <w:style w:type="paragraph" w:styleId="Heading1">
    <w:name w:val="heading 1"/>
    <w:basedOn w:val="Normal"/>
    <w:next w:val="Normal"/>
    <w:link w:val="Heading1Char"/>
    <w:uiPriority w:val="9"/>
    <w:qFormat/>
    <w:rsid w:val="00B60C3E"/>
    <w:pPr>
      <w:keepNext/>
      <w:keepLines/>
      <w:spacing w:before="240" w:after="0"/>
      <w:ind w:left="284"/>
      <w:outlineLvl w:val="0"/>
    </w:pPr>
    <w:rPr>
      <w:rFonts w:eastAsiaTheme="majorEastAsia" w:cstheme="majorBidi"/>
      <w:b/>
      <w:bCs/>
      <w:color w:val="002060"/>
      <w:sz w:val="28"/>
      <w:szCs w:val="28"/>
    </w:rPr>
  </w:style>
  <w:style w:type="paragraph" w:styleId="Heading2">
    <w:name w:val="heading 2"/>
    <w:basedOn w:val="Normal"/>
    <w:next w:val="Normal"/>
    <w:link w:val="Heading2Char"/>
    <w:uiPriority w:val="9"/>
    <w:unhideWhenUsed/>
    <w:qFormat/>
    <w:rsid w:val="00EA329B"/>
    <w:pPr>
      <w:keepNext/>
      <w:keepLines/>
      <w:numPr>
        <w:numId w:val="1"/>
      </w:numPr>
      <w:spacing w:before="40" w:after="0"/>
      <w:outlineLvl w:val="1"/>
    </w:pPr>
    <w:rPr>
      <w:rFonts w:eastAsia="Times New Roman" w:cs="Times New Roman"/>
      <w:b/>
      <w:smallCaps/>
      <w:noProof/>
      <w:color w:val="244061"/>
      <w:spacing w:val="5"/>
      <w:szCs w:val="28"/>
    </w:rPr>
  </w:style>
  <w:style w:type="paragraph" w:styleId="Heading3">
    <w:name w:val="heading 3"/>
    <w:basedOn w:val="Normal"/>
    <w:next w:val="Normal"/>
    <w:link w:val="Heading3Char"/>
    <w:uiPriority w:val="9"/>
    <w:unhideWhenUsed/>
    <w:qFormat/>
    <w:rsid w:val="001F64D6"/>
    <w:pPr>
      <w:keepNext/>
      <w:keepLines/>
      <w:numPr>
        <w:numId w:val="14"/>
      </w:numPr>
      <w:spacing w:before="40" w:after="0" w:line="240" w:lineRule="auto"/>
      <w:ind w:left="1134" w:hanging="567"/>
      <w:jc w:val="left"/>
      <w:outlineLvl w:val="2"/>
    </w:pPr>
    <w:rPr>
      <w:rFonts w:eastAsia="Times New Roman" w:cstheme="majorBidi"/>
      <w:b/>
      <w:bCs/>
      <w:color w:val="002060"/>
      <w:sz w:val="28"/>
      <w:szCs w:val="28"/>
    </w:rPr>
  </w:style>
  <w:style w:type="paragraph" w:styleId="Heading4">
    <w:name w:val="heading 4"/>
    <w:basedOn w:val="Normal"/>
    <w:next w:val="Normal"/>
    <w:link w:val="Heading4Char"/>
    <w:uiPriority w:val="9"/>
    <w:unhideWhenUsed/>
    <w:qFormat/>
    <w:rsid w:val="00BF35AF"/>
    <w:pPr>
      <w:keepNext/>
      <w:keepLines/>
      <w:spacing w:before="40" w:after="0" w:line="259" w:lineRule="auto"/>
      <w:outlineLvl w:val="3"/>
    </w:pPr>
    <w:rPr>
      <w:rFonts w:asciiTheme="majorHAnsi" w:eastAsiaTheme="majorEastAsia" w:hAnsiTheme="majorHAnsi" w:cstheme="majorBidi"/>
      <w:i/>
      <w:iCs/>
      <w:color w:val="2F5496" w:themeColor="accent5" w:themeShade="BF"/>
      <w:sz w:val="25"/>
      <w:szCs w:val="25"/>
      <w:lang w:val="en-US"/>
    </w:rPr>
  </w:style>
  <w:style w:type="paragraph" w:styleId="Heading5">
    <w:name w:val="heading 5"/>
    <w:basedOn w:val="Normal"/>
    <w:next w:val="Normal"/>
    <w:link w:val="Heading5Char"/>
    <w:uiPriority w:val="9"/>
    <w:unhideWhenUsed/>
    <w:qFormat/>
    <w:rsid w:val="00BF35AF"/>
    <w:pPr>
      <w:keepNext/>
      <w:keepLines/>
      <w:spacing w:before="40" w:after="0" w:line="259" w:lineRule="auto"/>
      <w:outlineLvl w:val="4"/>
    </w:pPr>
    <w:rPr>
      <w:rFonts w:asciiTheme="majorHAnsi" w:eastAsiaTheme="majorEastAsia" w:hAnsiTheme="majorHAnsi" w:cstheme="majorBidi"/>
      <w:i/>
      <w:iCs/>
      <w:color w:val="833C0B" w:themeColor="accent2" w:themeShade="80"/>
      <w:lang w:val="en-US"/>
    </w:rPr>
  </w:style>
  <w:style w:type="paragraph" w:styleId="Heading6">
    <w:name w:val="heading 6"/>
    <w:basedOn w:val="Normal"/>
    <w:next w:val="Normal"/>
    <w:link w:val="Heading6Char"/>
    <w:uiPriority w:val="9"/>
    <w:unhideWhenUsed/>
    <w:qFormat/>
    <w:rsid w:val="00BF35AF"/>
    <w:pPr>
      <w:keepNext/>
      <w:keepLines/>
      <w:spacing w:before="40" w:after="0" w:line="259" w:lineRule="auto"/>
      <w:outlineLvl w:val="5"/>
    </w:pPr>
    <w:rPr>
      <w:rFonts w:asciiTheme="majorHAnsi" w:eastAsiaTheme="majorEastAsia" w:hAnsiTheme="majorHAnsi" w:cstheme="majorBidi"/>
      <w:i/>
      <w:iCs/>
      <w:color w:val="385623" w:themeColor="accent6" w:themeShade="80"/>
      <w:sz w:val="23"/>
      <w:szCs w:val="23"/>
      <w:lang w:val="en-US"/>
    </w:rPr>
  </w:style>
  <w:style w:type="paragraph" w:styleId="Heading7">
    <w:name w:val="heading 7"/>
    <w:basedOn w:val="Normal"/>
    <w:next w:val="Normal"/>
    <w:link w:val="Heading7Char"/>
    <w:uiPriority w:val="9"/>
    <w:unhideWhenUsed/>
    <w:qFormat/>
    <w:rsid w:val="00BF35AF"/>
    <w:pPr>
      <w:keepNext/>
      <w:keepLines/>
      <w:spacing w:before="40" w:after="0" w:line="259" w:lineRule="auto"/>
      <w:outlineLvl w:val="6"/>
    </w:pPr>
    <w:rPr>
      <w:rFonts w:asciiTheme="majorHAnsi" w:eastAsiaTheme="majorEastAsia" w:hAnsiTheme="majorHAnsi" w:cstheme="majorBidi"/>
      <w:color w:val="1F4E79" w:themeColor="accent1" w:themeShade="80"/>
      <w:sz w:val="22"/>
      <w:szCs w:val="22"/>
      <w:lang w:val="en-US"/>
    </w:rPr>
  </w:style>
  <w:style w:type="paragraph" w:styleId="Heading8">
    <w:name w:val="heading 8"/>
    <w:basedOn w:val="Normal"/>
    <w:next w:val="Normal"/>
    <w:link w:val="Heading8Char"/>
    <w:uiPriority w:val="9"/>
    <w:semiHidden/>
    <w:unhideWhenUsed/>
    <w:qFormat/>
    <w:rsid w:val="00BF35AF"/>
    <w:pPr>
      <w:keepNext/>
      <w:keepLines/>
      <w:spacing w:before="40" w:after="0" w:line="259" w:lineRule="auto"/>
      <w:outlineLvl w:val="7"/>
    </w:pPr>
    <w:rPr>
      <w:rFonts w:asciiTheme="majorHAnsi" w:eastAsiaTheme="majorEastAsia" w:hAnsiTheme="majorHAnsi" w:cstheme="majorBidi"/>
      <w:color w:val="833C0B" w:themeColor="accent2" w:themeShade="80"/>
      <w:sz w:val="21"/>
      <w:szCs w:val="21"/>
      <w:lang w:val="en-US"/>
    </w:rPr>
  </w:style>
  <w:style w:type="paragraph" w:styleId="Heading9">
    <w:name w:val="heading 9"/>
    <w:basedOn w:val="Normal"/>
    <w:next w:val="Normal"/>
    <w:link w:val="Heading9Char"/>
    <w:uiPriority w:val="9"/>
    <w:semiHidden/>
    <w:unhideWhenUsed/>
    <w:qFormat/>
    <w:rsid w:val="00BF35AF"/>
    <w:pPr>
      <w:keepNext/>
      <w:keepLines/>
      <w:spacing w:before="40" w:after="0" w:line="259" w:lineRule="auto"/>
      <w:outlineLvl w:val="8"/>
    </w:pPr>
    <w:rPr>
      <w:rFonts w:asciiTheme="majorHAnsi" w:eastAsiaTheme="majorEastAsia" w:hAnsiTheme="majorHAnsi" w:cstheme="majorBidi"/>
      <w:color w:val="385623" w:themeColor="accent6"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C3E"/>
    <w:rPr>
      <w:rFonts w:ascii="GHEA Grapalat" w:eastAsiaTheme="majorEastAsia" w:hAnsi="GHEA Grapalat" w:cstheme="majorBidi"/>
      <w:b/>
      <w:bCs/>
      <w:color w:val="002060"/>
      <w:sz w:val="28"/>
      <w:szCs w:val="28"/>
      <w:lang w:val="hy-AM"/>
    </w:rPr>
  </w:style>
  <w:style w:type="character" w:customStyle="1" w:styleId="Heading2Char">
    <w:name w:val="Heading 2 Char"/>
    <w:basedOn w:val="DefaultParagraphFont"/>
    <w:link w:val="Heading2"/>
    <w:uiPriority w:val="9"/>
    <w:rsid w:val="00EA329B"/>
    <w:rPr>
      <w:rFonts w:ascii="GHEA Grapalat" w:eastAsia="Times New Roman" w:hAnsi="GHEA Grapalat" w:cs="Times New Roman"/>
      <w:b/>
      <w:smallCaps/>
      <w:noProof/>
      <w:color w:val="244061"/>
      <w:spacing w:val="5"/>
      <w:sz w:val="24"/>
      <w:szCs w:val="28"/>
      <w:lang w:val="hy-AM"/>
    </w:rPr>
  </w:style>
  <w:style w:type="character" w:customStyle="1" w:styleId="Heading3Char">
    <w:name w:val="Heading 3 Char"/>
    <w:basedOn w:val="DefaultParagraphFont"/>
    <w:link w:val="Heading3"/>
    <w:uiPriority w:val="9"/>
    <w:rsid w:val="001F64D6"/>
    <w:rPr>
      <w:rFonts w:ascii="GHEA Grapalat" w:eastAsia="Times New Roman" w:hAnsi="GHEA Grapalat" w:cstheme="majorBidi"/>
      <w:b/>
      <w:bCs/>
      <w:color w:val="002060"/>
      <w:sz w:val="28"/>
      <w:szCs w:val="28"/>
      <w:lang w:val="hy-AM"/>
    </w:rPr>
  </w:style>
  <w:style w:type="character" w:customStyle="1" w:styleId="Heading4Char">
    <w:name w:val="Heading 4 Char"/>
    <w:basedOn w:val="DefaultParagraphFont"/>
    <w:link w:val="Heading4"/>
    <w:uiPriority w:val="9"/>
    <w:rsid w:val="00BF35AF"/>
    <w:rPr>
      <w:rFonts w:asciiTheme="majorHAnsi" w:eastAsiaTheme="majorEastAsia" w:hAnsiTheme="majorHAnsi" w:cstheme="majorBidi"/>
      <w:i/>
      <w:iCs/>
      <w:color w:val="2F5496" w:themeColor="accent5" w:themeShade="BF"/>
      <w:sz w:val="25"/>
      <w:szCs w:val="25"/>
    </w:rPr>
  </w:style>
  <w:style w:type="paragraph" w:styleId="Header">
    <w:name w:val="header"/>
    <w:basedOn w:val="Normal"/>
    <w:link w:val="HeaderChar"/>
    <w:uiPriority w:val="99"/>
    <w:unhideWhenUsed/>
    <w:rsid w:val="008C0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8B3"/>
  </w:style>
  <w:style w:type="paragraph" w:styleId="Footer">
    <w:name w:val="footer"/>
    <w:basedOn w:val="Normal"/>
    <w:link w:val="FooterChar"/>
    <w:uiPriority w:val="99"/>
    <w:unhideWhenUsed/>
    <w:rsid w:val="008C0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8B3"/>
  </w:style>
  <w:style w:type="paragraph" w:styleId="TOCHeading">
    <w:name w:val="TOC Heading"/>
    <w:basedOn w:val="Heading1"/>
    <w:next w:val="Normal"/>
    <w:uiPriority w:val="39"/>
    <w:unhideWhenUsed/>
    <w:qFormat/>
    <w:rsid w:val="008F5570"/>
    <w:pPr>
      <w:outlineLvl w:val="9"/>
    </w:pPr>
  </w:style>
  <w:style w:type="table" w:styleId="TableGrid">
    <w:name w:val="Table Grid"/>
    <w:basedOn w:val="TableNormal"/>
    <w:uiPriority w:val="39"/>
    <w:rsid w:val="00B0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03737"/>
    <w:pPr>
      <w:spacing w:line="240" w:lineRule="auto"/>
    </w:pPr>
    <w:rPr>
      <w:sz w:val="20"/>
      <w:szCs w:val="20"/>
    </w:rPr>
  </w:style>
  <w:style w:type="character" w:customStyle="1" w:styleId="CommentTextChar">
    <w:name w:val="Comment Text Char"/>
    <w:basedOn w:val="DefaultParagraphFont"/>
    <w:link w:val="CommentText"/>
    <w:uiPriority w:val="99"/>
    <w:rsid w:val="00B03737"/>
    <w:rPr>
      <w:sz w:val="20"/>
      <w:szCs w:val="20"/>
    </w:rPr>
  </w:style>
  <w:style w:type="paragraph" w:styleId="FootnoteText">
    <w:name w:val="footnote text"/>
    <w:basedOn w:val="Normal"/>
    <w:link w:val="FootnoteTextChar"/>
    <w:unhideWhenUsed/>
    <w:rsid w:val="00B03737"/>
    <w:pPr>
      <w:spacing w:after="0" w:line="240" w:lineRule="auto"/>
    </w:pPr>
    <w:rPr>
      <w:sz w:val="20"/>
      <w:szCs w:val="20"/>
    </w:rPr>
  </w:style>
  <w:style w:type="character" w:customStyle="1" w:styleId="FootnoteTextChar">
    <w:name w:val="Footnote Text Char"/>
    <w:basedOn w:val="DefaultParagraphFont"/>
    <w:link w:val="FootnoteText"/>
    <w:rsid w:val="00B03737"/>
    <w:rPr>
      <w:sz w:val="20"/>
      <w:szCs w:val="20"/>
    </w:rPr>
  </w:style>
  <w:style w:type="character" w:styleId="FootnoteReference">
    <w:name w:val="footnote reference"/>
    <w:basedOn w:val="DefaultParagraphFont"/>
    <w:uiPriority w:val="99"/>
    <w:semiHidden/>
    <w:unhideWhenUsed/>
    <w:rsid w:val="00B03737"/>
    <w:rPr>
      <w:vertAlign w:val="superscript"/>
    </w:rPr>
  </w:style>
  <w:style w:type="paragraph" w:styleId="TOC1">
    <w:name w:val="toc 1"/>
    <w:basedOn w:val="Normal"/>
    <w:next w:val="Normal"/>
    <w:autoRedefine/>
    <w:uiPriority w:val="39"/>
    <w:unhideWhenUsed/>
    <w:rsid w:val="000D57D8"/>
    <w:pPr>
      <w:spacing w:after="100"/>
    </w:pPr>
  </w:style>
  <w:style w:type="character" w:styleId="Hyperlink">
    <w:name w:val="Hyperlink"/>
    <w:basedOn w:val="DefaultParagraphFont"/>
    <w:uiPriority w:val="99"/>
    <w:unhideWhenUsed/>
    <w:rsid w:val="000D57D8"/>
    <w:rPr>
      <w:color w:val="0563C1" w:themeColor="hyperlink"/>
      <w:u w:val="single"/>
    </w:rPr>
  </w:style>
  <w:style w:type="paragraph" w:styleId="NoSpacing">
    <w:name w:val="No Spacing"/>
    <w:uiPriority w:val="1"/>
    <w:qFormat/>
    <w:rsid w:val="00A6378D"/>
    <w:pPr>
      <w:spacing w:after="0" w:line="240" w:lineRule="auto"/>
    </w:pPr>
    <w:rPr>
      <w:rFonts w:ascii="GHEA Grapalat" w:hAnsi="GHEA Grapalat"/>
      <w:sz w:val="24"/>
      <w:szCs w:val="24"/>
      <w:lang w:val="hy-AM"/>
    </w:rPr>
  </w:style>
  <w:style w:type="paragraph" w:styleId="TOC2">
    <w:name w:val="toc 2"/>
    <w:basedOn w:val="Normal"/>
    <w:next w:val="Normal"/>
    <w:autoRedefine/>
    <w:uiPriority w:val="39"/>
    <w:unhideWhenUsed/>
    <w:rsid w:val="008463CD"/>
    <w:pPr>
      <w:tabs>
        <w:tab w:val="left" w:pos="880"/>
        <w:tab w:val="left" w:pos="990"/>
        <w:tab w:val="right" w:leader="dot" w:pos="9304"/>
      </w:tabs>
      <w:spacing w:after="100"/>
      <w:ind w:left="240"/>
    </w:pPr>
  </w:style>
  <w:style w:type="paragraph" w:styleId="BodyText2">
    <w:name w:val="Body Text 2"/>
    <w:aliases w:val="1Text"/>
    <w:basedOn w:val="Normal"/>
    <w:link w:val="BodyText2Char"/>
    <w:autoRedefine/>
    <w:rsid w:val="00A736E5"/>
    <w:pPr>
      <w:spacing w:after="0"/>
      <w:ind w:left="2" w:hanging="2"/>
      <w:contextualSpacing/>
    </w:pPr>
    <w:rPr>
      <w:rFonts w:eastAsia="Calibri" w:cs="Times New Roman"/>
      <w:sz w:val="20"/>
      <w:szCs w:val="20"/>
    </w:rPr>
  </w:style>
  <w:style w:type="character" w:customStyle="1" w:styleId="BodyText2Char">
    <w:name w:val="Body Text 2 Char"/>
    <w:aliases w:val="1Text Char"/>
    <w:basedOn w:val="DefaultParagraphFont"/>
    <w:link w:val="BodyText2"/>
    <w:rsid w:val="00A736E5"/>
    <w:rPr>
      <w:rFonts w:ascii="GHEA Grapalat" w:eastAsia="Calibri" w:hAnsi="GHEA Grapalat" w:cs="Times New Roman"/>
      <w:sz w:val="20"/>
      <w:szCs w:val="20"/>
      <w:lang w:val="hy-AM"/>
    </w:rPr>
  </w:style>
  <w:style w:type="paragraph" w:styleId="ListParagraph">
    <w:name w:val="List Paragraph"/>
    <w:aliases w:val="List Paragraph (numbered (a)),Bullets,List Paragraph nowy,Liste 1,ECDC AF Paragraph,Paragraphe de liste PBLH,Akapit z listą BS,List Paragraph 1,List_Paragraph,Multilevel para_II,List Paragraph1,References,IBL List Paragraph,OBC Bullet"/>
    <w:basedOn w:val="Normal"/>
    <w:link w:val="ListParagraphChar"/>
    <w:uiPriority w:val="34"/>
    <w:qFormat/>
    <w:rsid w:val="000F5EFE"/>
    <w:pPr>
      <w:ind w:left="720"/>
      <w:contextualSpacing/>
    </w:pPr>
  </w:style>
  <w:style w:type="character" w:customStyle="1" w:styleId="Heading5Char">
    <w:name w:val="Heading 5 Char"/>
    <w:basedOn w:val="DefaultParagraphFont"/>
    <w:link w:val="Heading5"/>
    <w:uiPriority w:val="9"/>
    <w:rsid w:val="00BF35A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rsid w:val="00BF35A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rsid w:val="00BF35A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F35A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F35AF"/>
    <w:rPr>
      <w:rFonts w:asciiTheme="majorHAnsi" w:eastAsiaTheme="majorEastAsia" w:hAnsiTheme="majorHAnsi" w:cstheme="majorBidi"/>
      <w:color w:val="385623" w:themeColor="accent6" w:themeShade="80"/>
    </w:rPr>
  </w:style>
  <w:style w:type="character" w:customStyle="1" w:styleId="BalloonTextChar">
    <w:name w:val="Balloon Text Char"/>
    <w:basedOn w:val="DefaultParagraphFont"/>
    <w:link w:val="BalloonText"/>
    <w:uiPriority w:val="99"/>
    <w:semiHidden/>
    <w:rsid w:val="00BF35AF"/>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BF35AF"/>
    <w:pPr>
      <w:spacing w:after="0" w:line="259" w:lineRule="auto"/>
    </w:pPr>
    <w:rPr>
      <w:rFonts w:ascii="Segoe UI" w:eastAsiaTheme="minorEastAsia" w:hAnsi="Segoe UI" w:cs="Segoe UI"/>
      <w:sz w:val="18"/>
      <w:szCs w:val="18"/>
      <w:lang w:val="en-US"/>
    </w:rPr>
  </w:style>
  <w:style w:type="character" w:customStyle="1" w:styleId="CommentSubjectChar">
    <w:name w:val="Comment Subject Char"/>
    <w:basedOn w:val="CommentTextChar"/>
    <w:link w:val="CommentSubject"/>
    <w:uiPriority w:val="99"/>
    <w:semiHidden/>
    <w:rsid w:val="00BF35AF"/>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F35AF"/>
    <w:pPr>
      <w:spacing w:line="259" w:lineRule="auto"/>
    </w:pPr>
    <w:rPr>
      <w:rFonts w:asciiTheme="minorHAnsi" w:eastAsiaTheme="minorEastAsia" w:hAnsiTheme="minorHAnsi"/>
      <w:b/>
      <w:bCs/>
      <w:lang w:val="en-US"/>
    </w:rPr>
  </w:style>
  <w:style w:type="paragraph" w:styleId="BlockText">
    <w:name w:val="Block Text"/>
    <w:basedOn w:val="Normal"/>
    <w:rsid w:val="00BF35AF"/>
    <w:pPr>
      <w:spacing w:after="0" w:line="259" w:lineRule="auto"/>
      <w:ind w:left="209" w:right="-108" w:hanging="209"/>
    </w:pPr>
    <w:rPr>
      <w:rFonts w:ascii="Arial Armenian" w:eastAsia="Times New Roman" w:hAnsi="Arial Armenian" w:cs="Times New Roman"/>
      <w:sz w:val="22"/>
      <w:szCs w:val="20"/>
      <w:lang w:val="en-US"/>
    </w:rPr>
  </w:style>
  <w:style w:type="character" w:customStyle="1" w:styleId="EndnoteTextChar">
    <w:name w:val="Endnote Text Char"/>
    <w:basedOn w:val="DefaultParagraphFont"/>
    <w:link w:val="EndnoteText"/>
    <w:uiPriority w:val="99"/>
    <w:semiHidden/>
    <w:rsid w:val="00BF35AF"/>
    <w:rPr>
      <w:rFonts w:eastAsiaTheme="minorEastAsia"/>
      <w:sz w:val="20"/>
      <w:szCs w:val="20"/>
    </w:rPr>
  </w:style>
  <w:style w:type="paragraph" w:styleId="EndnoteText">
    <w:name w:val="endnote text"/>
    <w:basedOn w:val="Normal"/>
    <w:link w:val="EndnoteTextChar"/>
    <w:uiPriority w:val="99"/>
    <w:semiHidden/>
    <w:unhideWhenUsed/>
    <w:rsid w:val="00BF35AF"/>
    <w:pPr>
      <w:spacing w:after="0" w:line="259" w:lineRule="auto"/>
    </w:pPr>
    <w:rPr>
      <w:rFonts w:asciiTheme="minorHAnsi" w:eastAsiaTheme="minorEastAsia" w:hAnsiTheme="minorHAnsi"/>
      <w:sz w:val="20"/>
      <w:szCs w:val="20"/>
      <w:lang w:val="en-US"/>
    </w:rPr>
  </w:style>
  <w:style w:type="paragraph" w:customStyle="1" w:styleId="IASBTitle">
    <w:name w:val="IASB Title"/>
    <w:basedOn w:val="Normal"/>
    <w:rsid w:val="00BF35AF"/>
    <w:pPr>
      <w:keepNext/>
      <w:keepLines/>
      <w:spacing w:before="300" w:after="400" w:line="259" w:lineRule="auto"/>
    </w:pPr>
    <w:rPr>
      <w:rFonts w:ascii="Arial" w:eastAsia="Times New Roman" w:hAnsi="Arial" w:cs="Arial"/>
      <w:b/>
      <w:sz w:val="36"/>
      <w:szCs w:val="20"/>
      <w:lang w:val="en-US"/>
    </w:rPr>
  </w:style>
  <w:style w:type="paragraph" w:styleId="NormalWeb">
    <w:name w:val="Normal (Web)"/>
    <w:basedOn w:val="Normal"/>
    <w:uiPriority w:val="99"/>
    <w:unhideWhenUsed/>
    <w:rsid w:val="00BF35AF"/>
    <w:pPr>
      <w:spacing w:before="100" w:beforeAutospacing="1" w:after="100" w:afterAutospacing="1" w:line="259" w:lineRule="auto"/>
    </w:pPr>
    <w:rPr>
      <w:rFonts w:ascii="Times New Roman" w:eastAsia="Times New Roman" w:hAnsi="Times New Roman" w:cs="Times New Roman"/>
      <w:lang w:val="en-US"/>
    </w:rPr>
  </w:style>
  <w:style w:type="character" w:styleId="Strong">
    <w:name w:val="Strong"/>
    <w:basedOn w:val="DefaultParagraphFont"/>
    <w:uiPriority w:val="22"/>
    <w:qFormat/>
    <w:rsid w:val="00BF35AF"/>
    <w:rPr>
      <w:b/>
      <w:bCs/>
    </w:rPr>
  </w:style>
  <w:style w:type="paragraph" w:customStyle="1" w:styleId="Heading11">
    <w:name w:val="Heading 11"/>
    <w:basedOn w:val="ListParagraph"/>
    <w:next w:val="Normal"/>
    <w:autoRedefine/>
    <w:uiPriority w:val="9"/>
    <w:rsid w:val="00BF35AF"/>
    <w:pPr>
      <w:pageBreakBefore/>
      <w:tabs>
        <w:tab w:val="left" w:pos="90"/>
        <w:tab w:val="num" w:pos="360"/>
      </w:tabs>
      <w:spacing w:after="0" w:line="259" w:lineRule="auto"/>
      <w:outlineLvl w:val="0"/>
    </w:pPr>
    <w:rPr>
      <w:rFonts w:asciiTheme="minorHAnsi" w:eastAsia="Times New Roman" w:hAnsiTheme="minorHAnsi" w:cs="Sylfaen"/>
      <w:b/>
      <w:sz w:val="28"/>
      <w:szCs w:val="22"/>
      <w:lang w:val="en-US"/>
    </w:rPr>
  </w:style>
  <w:style w:type="paragraph" w:customStyle="1" w:styleId="mechtex">
    <w:name w:val="mechtex"/>
    <w:basedOn w:val="Normal"/>
    <w:link w:val="mechtexChar"/>
    <w:rsid w:val="00BF35AF"/>
    <w:pPr>
      <w:spacing w:after="0" w:line="259" w:lineRule="auto"/>
      <w:jc w:val="center"/>
    </w:pPr>
    <w:rPr>
      <w:rFonts w:ascii="Arial Armenian" w:eastAsia="Times New Roman" w:hAnsi="Arial Armenian" w:cs="Times New Roman"/>
      <w:sz w:val="22"/>
      <w:szCs w:val="22"/>
      <w:lang w:val="en-US" w:eastAsia="ru-RU"/>
    </w:rPr>
  </w:style>
  <w:style w:type="character" w:customStyle="1" w:styleId="mechtexChar">
    <w:name w:val="mechtex Char"/>
    <w:link w:val="mechtex"/>
    <w:locked/>
    <w:rsid w:val="00BF35AF"/>
    <w:rPr>
      <w:rFonts w:ascii="Arial Armenian" w:eastAsia="Times New Roman" w:hAnsi="Arial Armenian" w:cs="Times New Roman"/>
      <w:lang w:eastAsia="ru-RU"/>
    </w:rPr>
  </w:style>
  <w:style w:type="paragraph" w:styleId="BodyTextIndent">
    <w:name w:val="Body Text Indent"/>
    <w:basedOn w:val="Normal"/>
    <w:link w:val="BodyTextIndentChar"/>
    <w:uiPriority w:val="99"/>
    <w:semiHidden/>
    <w:unhideWhenUsed/>
    <w:rsid w:val="00BF35AF"/>
    <w:pPr>
      <w:spacing w:line="259" w:lineRule="auto"/>
      <w:ind w:left="283"/>
    </w:pPr>
    <w:rPr>
      <w:rFonts w:asciiTheme="minorHAnsi" w:eastAsiaTheme="minorEastAsia" w:hAnsiTheme="minorHAnsi"/>
      <w:sz w:val="22"/>
      <w:szCs w:val="22"/>
      <w:lang w:val="en-US"/>
    </w:rPr>
  </w:style>
  <w:style w:type="character" w:customStyle="1" w:styleId="BodyTextIndentChar">
    <w:name w:val="Body Text Indent Char"/>
    <w:basedOn w:val="DefaultParagraphFont"/>
    <w:link w:val="BodyTextIndent"/>
    <w:uiPriority w:val="99"/>
    <w:semiHidden/>
    <w:rsid w:val="00BF35AF"/>
    <w:rPr>
      <w:rFonts w:eastAsiaTheme="minorEastAsia"/>
    </w:rPr>
  </w:style>
  <w:style w:type="paragraph" w:styleId="Title">
    <w:name w:val="Title"/>
    <w:basedOn w:val="Normal"/>
    <w:next w:val="Normal"/>
    <w:link w:val="TitleChar"/>
    <w:uiPriority w:val="10"/>
    <w:qFormat/>
    <w:rsid w:val="00BF35AF"/>
    <w:pPr>
      <w:spacing w:after="0" w:line="240" w:lineRule="auto"/>
      <w:contextualSpacing/>
    </w:pPr>
    <w:rPr>
      <w:rFonts w:asciiTheme="majorHAnsi" w:eastAsiaTheme="majorEastAsia" w:hAnsiTheme="majorHAnsi" w:cstheme="majorBidi"/>
      <w:color w:val="2E74B5" w:themeColor="accent1" w:themeShade="BF"/>
      <w:spacing w:val="-10"/>
      <w:sz w:val="52"/>
      <w:szCs w:val="52"/>
      <w:lang w:val="en-US"/>
    </w:rPr>
  </w:style>
  <w:style w:type="character" w:customStyle="1" w:styleId="TitleChar">
    <w:name w:val="Title Char"/>
    <w:basedOn w:val="DefaultParagraphFont"/>
    <w:link w:val="Title"/>
    <w:uiPriority w:val="10"/>
    <w:rsid w:val="00BF35A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BF35AF"/>
    <w:pPr>
      <w:numPr>
        <w:ilvl w:val="1"/>
      </w:numPr>
      <w:spacing w:line="240" w:lineRule="auto"/>
    </w:pPr>
    <w:rPr>
      <w:rFonts w:asciiTheme="majorHAnsi" w:eastAsiaTheme="majorEastAsia" w:hAnsiTheme="majorHAnsi" w:cstheme="majorBidi"/>
      <w:sz w:val="22"/>
      <w:szCs w:val="22"/>
      <w:lang w:val="en-US"/>
    </w:rPr>
  </w:style>
  <w:style w:type="character" w:customStyle="1" w:styleId="SubtitleChar">
    <w:name w:val="Subtitle Char"/>
    <w:basedOn w:val="DefaultParagraphFont"/>
    <w:link w:val="Subtitle"/>
    <w:uiPriority w:val="11"/>
    <w:rsid w:val="00BF35AF"/>
    <w:rPr>
      <w:rFonts w:asciiTheme="majorHAnsi" w:eastAsiaTheme="majorEastAsia" w:hAnsiTheme="majorHAnsi" w:cstheme="majorBidi"/>
    </w:rPr>
  </w:style>
  <w:style w:type="character" w:styleId="Emphasis">
    <w:name w:val="Emphasis"/>
    <w:basedOn w:val="DefaultParagraphFont"/>
    <w:uiPriority w:val="20"/>
    <w:qFormat/>
    <w:rsid w:val="00BF35AF"/>
    <w:rPr>
      <w:i/>
      <w:iCs/>
    </w:rPr>
  </w:style>
  <w:style w:type="paragraph" w:styleId="Quote">
    <w:name w:val="Quote"/>
    <w:basedOn w:val="Normal"/>
    <w:next w:val="Normal"/>
    <w:link w:val="QuoteChar"/>
    <w:uiPriority w:val="29"/>
    <w:qFormat/>
    <w:rsid w:val="00BF35AF"/>
    <w:pPr>
      <w:spacing w:before="120" w:line="259" w:lineRule="auto"/>
      <w:ind w:left="720" w:right="720"/>
      <w:jc w:val="center"/>
    </w:pPr>
    <w:rPr>
      <w:rFonts w:asciiTheme="minorHAnsi" w:eastAsiaTheme="minorEastAsia" w:hAnsiTheme="minorHAnsi"/>
      <w:i/>
      <w:iCs/>
      <w:sz w:val="22"/>
      <w:szCs w:val="22"/>
      <w:lang w:val="en-US"/>
    </w:rPr>
  </w:style>
  <w:style w:type="character" w:customStyle="1" w:styleId="QuoteChar">
    <w:name w:val="Quote Char"/>
    <w:basedOn w:val="DefaultParagraphFont"/>
    <w:link w:val="Quote"/>
    <w:uiPriority w:val="29"/>
    <w:rsid w:val="00BF35AF"/>
    <w:rPr>
      <w:rFonts w:eastAsiaTheme="minorEastAsia"/>
      <w:i/>
      <w:iCs/>
    </w:rPr>
  </w:style>
  <w:style w:type="paragraph" w:styleId="IntenseQuote">
    <w:name w:val="Intense Quote"/>
    <w:basedOn w:val="Normal"/>
    <w:next w:val="Normal"/>
    <w:link w:val="IntenseQuoteChar"/>
    <w:uiPriority w:val="30"/>
    <w:qFormat/>
    <w:rsid w:val="00BF35AF"/>
    <w:pPr>
      <w:spacing w:before="120" w:line="300" w:lineRule="auto"/>
      <w:ind w:left="576" w:right="576"/>
      <w:jc w:val="center"/>
    </w:pPr>
    <w:rPr>
      <w:rFonts w:asciiTheme="majorHAnsi" w:eastAsiaTheme="majorEastAsia" w:hAnsiTheme="majorHAnsi" w:cstheme="majorBidi"/>
      <w:color w:val="5B9BD5" w:themeColor="accent1"/>
      <w:lang w:val="en-US"/>
    </w:rPr>
  </w:style>
  <w:style w:type="character" w:customStyle="1" w:styleId="IntenseQuoteChar">
    <w:name w:val="Intense Quote Char"/>
    <w:basedOn w:val="DefaultParagraphFont"/>
    <w:link w:val="IntenseQuote"/>
    <w:uiPriority w:val="30"/>
    <w:rsid w:val="00BF35A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F35AF"/>
    <w:rPr>
      <w:i/>
      <w:iCs/>
      <w:color w:val="404040" w:themeColor="text1" w:themeTint="BF"/>
    </w:rPr>
  </w:style>
  <w:style w:type="character" w:styleId="IntenseEmphasis">
    <w:name w:val="Intense Emphasis"/>
    <w:basedOn w:val="DefaultParagraphFont"/>
    <w:uiPriority w:val="21"/>
    <w:qFormat/>
    <w:rsid w:val="00BF35AF"/>
    <w:rPr>
      <w:b w:val="0"/>
      <w:bCs w:val="0"/>
      <w:i/>
      <w:iCs/>
      <w:color w:val="5B9BD5" w:themeColor="accent1"/>
    </w:rPr>
  </w:style>
  <w:style w:type="character" w:styleId="SubtleReference">
    <w:name w:val="Subtle Reference"/>
    <w:basedOn w:val="DefaultParagraphFont"/>
    <w:uiPriority w:val="31"/>
    <w:qFormat/>
    <w:rsid w:val="00BF35A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35AF"/>
    <w:rPr>
      <w:b/>
      <w:bCs/>
      <w:smallCaps/>
      <w:color w:val="5B9BD5" w:themeColor="accent1"/>
      <w:spacing w:val="5"/>
      <w:u w:val="single"/>
    </w:rPr>
  </w:style>
  <w:style w:type="character" w:styleId="BookTitle">
    <w:name w:val="Book Title"/>
    <w:basedOn w:val="DefaultParagraphFont"/>
    <w:uiPriority w:val="33"/>
    <w:qFormat/>
    <w:rsid w:val="00BF35AF"/>
    <w:rPr>
      <w:b/>
      <w:bCs/>
      <w:smallCaps/>
    </w:rPr>
  </w:style>
  <w:style w:type="paragraph" w:styleId="TOC3">
    <w:name w:val="toc 3"/>
    <w:basedOn w:val="Normal"/>
    <w:next w:val="Normal"/>
    <w:autoRedefine/>
    <w:uiPriority w:val="39"/>
    <w:unhideWhenUsed/>
    <w:rsid w:val="00AD1D00"/>
    <w:pPr>
      <w:spacing w:after="100"/>
      <w:ind w:left="480"/>
    </w:pPr>
  </w:style>
  <w:style w:type="character" w:styleId="CommentReference">
    <w:name w:val="annotation reference"/>
    <w:basedOn w:val="DefaultParagraphFont"/>
    <w:uiPriority w:val="99"/>
    <w:semiHidden/>
    <w:unhideWhenUsed/>
    <w:rsid w:val="0052331E"/>
    <w:rPr>
      <w:sz w:val="16"/>
      <w:szCs w:val="16"/>
    </w:rPr>
  </w:style>
  <w:style w:type="paragraph" w:styleId="Revision">
    <w:name w:val="Revision"/>
    <w:hidden/>
    <w:uiPriority w:val="99"/>
    <w:semiHidden/>
    <w:rsid w:val="0052331E"/>
    <w:pPr>
      <w:spacing w:after="0" w:line="240" w:lineRule="auto"/>
    </w:pPr>
    <w:rPr>
      <w:rFonts w:eastAsiaTheme="minorEastAsia"/>
    </w:rPr>
  </w:style>
  <w:style w:type="paragraph" w:styleId="TOC6">
    <w:name w:val="toc 6"/>
    <w:basedOn w:val="Normal"/>
    <w:next w:val="Normal"/>
    <w:autoRedefine/>
    <w:uiPriority w:val="39"/>
    <w:semiHidden/>
    <w:unhideWhenUsed/>
    <w:rsid w:val="0052331E"/>
    <w:pPr>
      <w:spacing w:after="100" w:line="259" w:lineRule="auto"/>
      <w:ind w:left="1100"/>
    </w:pPr>
    <w:rPr>
      <w:rFonts w:asciiTheme="minorHAnsi" w:eastAsiaTheme="minorEastAsia" w:hAnsiTheme="minorHAnsi"/>
      <w:sz w:val="22"/>
      <w:szCs w:val="22"/>
      <w:lang w:val="en-US"/>
    </w:rPr>
  </w:style>
  <w:style w:type="character" w:styleId="EndnoteReference">
    <w:name w:val="endnote reference"/>
    <w:basedOn w:val="DefaultParagraphFont"/>
    <w:uiPriority w:val="99"/>
    <w:semiHidden/>
    <w:unhideWhenUsed/>
    <w:rsid w:val="0052331E"/>
    <w:rPr>
      <w:vertAlign w:val="superscript"/>
    </w:rPr>
  </w:style>
  <w:style w:type="paragraph" w:styleId="Caption">
    <w:name w:val="caption"/>
    <w:basedOn w:val="Normal"/>
    <w:next w:val="Normal"/>
    <w:uiPriority w:val="35"/>
    <w:semiHidden/>
    <w:unhideWhenUsed/>
    <w:qFormat/>
    <w:rsid w:val="0052331E"/>
    <w:pPr>
      <w:spacing w:line="240" w:lineRule="auto"/>
    </w:pPr>
    <w:rPr>
      <w:rFonts w:asciiTheme="minorHAnsi" w:eastAsiaTheme="minorEastAsia" w:hAnsiTheme="minorHAnsi"/>
      <w:b/>
      <w:bCs/>
      <w:smallCaps/>
      <w:color w:val="5B9BD5" w:themeColor="accent1"/>
      <w:spacing w:val="6"/>
      <w:sz w:val="22"/>
      <w:szCs w:val="22"/>
      <w:lang w:val="en-US"/>
    </w:rPr>
  </w:style>
  <w:style w:type="paragraph" w:customStyle="1" w:styleId="VP1">
    <w:name w:val="VP 1"/>
    <w:basedOn w:val="Heading1"/>
    <w:link w:val="VP1Char"/>
    <w:qFormat/>
    <w:rsid w:val="00593C68"/>
    <w:pPr>
      <w:numPr>
        <w:numId w:val="8"/>
      </w:numPr>
      <w:spacing w:before="320" w:line="240" w:lineRule="auto"/>
    </w:pPr>
    <w:rPr>
      <w:bCs w:val="0"/>
      <w:noProof/>
      <w:szCs w:val="30"/>
      <w:lang w:val="en-US"/>
    </w:rPr>
  </w:style>
  <w:style w:type="paragraph" w:customStyle="1" w:styleId="VP2">
    <w:name w:val="VP 2"/>
    <w:basedOn w:val="Heading2"/>
    <w:next w:val="VP1"/>
    <w:link w:val="VP2Char"/>
    <w:qFormat/>
    <w:rsid w:val="0052331E"/>
    <w:pPr>
      <w:numPr>
        <w:numId w:val="0"/>
      </w:numPr>
      <w:spacing w:line="240" w:lineRule="auto"/>
    </w:pPr>
    <w:rPr>
      <w:b w:val="0"/>
    </w:rPr>
  </w:style>
  <w:style w:type="character" w:customStyle="1" w:styleId="VP1Char">
    <w:name w:val="VP 1 Char"/>
    <w:basedOn w:val="Heading1Char"/>
    <w:link w:val="VP1"/>
    <w:rsid w:val="00593C68"/>
    <w:rPr>
      <w:rFonts w:ascii="GHEA Grapalat" w:eastAsiaTheme="majorEastAsia" w:hAnsi="GHEA Grapalat" w:cstheme="majorBidi"/>
      <w:b/>
      <w:bCs w:val="0"/>
      <w:noProof/>
      <w:color w:val="002060"/>
      <w:sz w:val="28"/>
      <w:szCs w:val="30"/>
      <w:lang w:val="hy-AM"/>
    </w:rPr>
  </w:style>
  <w:style w:type="character" w:customStyle="1" w:styleId="VP2Char">
    <w:name w:val="VP 2 Char"/>
    <w:basedOn w:val="Heading2Char"/>
    <w:link w:val="VP2"/>
    <w:rsid w:val="0052331E"/>
    <w:rPr>
      <w:rFonts w:ascii="GHEA Grapalat" w:eastAsiaTheme="majorEastAsia" w:hAnsi="GHEA Grapalat" w:cstheme="majorBidi"/>
      <w:b w:val="0"/>
      <w:smallCaps/>
      <w:noProof/>
      <w:color w:val="2E74B5" w:themeColor="accent1" w:themeShade="BF"/>
      <w:spacing w:val="5"/>
      <w:sz w:val="24"/>
      <w:szCs w:val="28"/>
      <w:lang w:val="hy-AM"/>
    </w:rPr>
  </w:style>
  <w:style w:type="character" w:customStyle="1" w:styleId="ListParagraphChar">
    <w:name w:val="List Paragraph Char"/>
    <w:aliases w:val="List Paragraph (numbered (a)) Char,Bullets Char,List Paragraph nowy Char,Liste 1 Char,ECDC AF Paragraph Char,Paragraphe de liste PBLH Char,Akapit z listą BS Char,List Paragraph 1 Char,List_Paragraph Char,Multilevel para_II Char"/>
    <w:link w:val="ListParagraph"/>
    <w:uiPriority w:val="34"/>
    <w:locked/>
    <w:rsid w:val="004B6557"/>
    <w:rPr>
      <w:rFonts w:ascii="GHEA Grapalat" w:hAnsi="GHEA Grapalat"/>
      <w:sz w:val="24"/>
      <w:szCs w:val="24"/>
      <w:lang w:val="hy-AM"/>
    </w:rPr>
  </w:style>
  <w:style w:type="character" w:customStyle="1" w:styleId="UnresolvedMention">
    <w:name w:val="Unresolved Mention"/>
    <w:basedOn w:val="DefaultParagraphFont"/>
    <w:uiPriority w:val="99"/>
    <w:semiHidden/>
    <w:unhideWhenUsed/>
    <w:rsid w:val="00C56D23"/>
    <w:rPr>
      <w:color w:val="605E5C"/>
      <w:shd w:val="clear" w:color="auto" w:fill="E1DFDD"/>
    </w:rPr>
  </w:style>
  <w:style w:type="character" w:styleId="FollowedHyperlink">
    <w:name w:val="FollowedHyperlink"/>
    <w:basedOn w:val="DefaultParagraphFont"/>
    <w:uiPriority w:val="99"/>
    <w:semiHidden/>
    <w:unhideWhenUsed/>
    <w:rsid w:val="00C56D23"/>
    <w:rPr>
      <w:color w:val="954F72" w:themeColor="followedHyperlink"/>
      <w:u w:val="single"/>
    </w:rPr>
  </w:style>
  <w:style w:type="table" w:customStyle="1" w:styleId="TableGrid1">
    <w:name w:val="Table Grid1"/>
    <w:basedOn w:val="TableNormal"/>
    <w:next w:val="TableGrid"/>
    <w:uiPriority w:val="39"/>
    <w:rsid w:val="000B7DF0"/>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62D5"/>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16AC"/>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416AC"/>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7176"/>
    <w:pPr>
      <w:spacing w:after="0" w:line="240" w:lineRule="auto"/>
      <w:jc w:val="both"/>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45C0D"/>
    <w:pPr>
      <w:spacing w:after="0" w:line="240" w:lineRule="auto"/>
      <w:jc w:val="both"/>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9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0FE9"/>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EB0FE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70E4B"/>
  </w:style>
  <w:style w:type="table" w:customStyle="1" w:styleId="TableGrid8">
    <w:name w:val="Table Grid8"/>
    <w:basedOn w:val="TableNormal"/>
    <w:next w:val="TableGrid"/>
    <w:uiPriority w:val="39"/>
    <w:rsid w:val="00170E4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70E4B"/>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170E4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2450">
      <w:bodyDiv w:val="1"/>
      <w:marLeft w:val="0"/>
      <w:marRight w:val="0"/>
      <w:marTop w:val="0"/>
      <w:marBottom w:val="0"/>
      <w:divBdr>
        <w:top w:val="none" w:sz="0" w:space="0" w:color="auto"/>
        <w:left w:val="none" w:sz="0" w:space="0" w:color="auto"/>
        <w:bottom w:val="none" w:sz="0" w:space="0" w:color="auto"/>
        <w:right w:val="none" w:sz="0" w:space="0" w:color="auto"/>
      </w:divBdr>
    </w:div>
    <w:div w:id="76295004">
      <w:bodyDiv w:val="1"/>
      <w:marLeft w:val="0"/>
      <w:marRight w:val="0"/>
      <w:marTop w:val="0"/>
      <w:marBottom w:val="0"/>
      <w:divBdr>
        <w:top w:val="none" w:sz="0" w:space="0" w:color="auto"/>
        <w:left w:val="none" w:sz="0" w:space="0" w:color="auto"/>
        <w:bottom w:val="none" w:sz="0" w:space="0" w:color="auto"/>
        <w:right w:val="none" w:sz="0" w:space="0" w:color="auto"/>
      </w:divBdr>
    </w:div>
    <w:div w:id="141973520">
      <w:bodyDiv w:val="1"/>
      <w:marLeft w:val="0"/>
      <w:marRight w:val="0"/>
      <w:marTop w:val="0"/>
      <w:marBottom w:val="0"/>
      <w:divBdr>
        <w:top w:val="none" w:sz="0" w:space="0" w:color="auto"/>
        <w:left w:val="none" w:sz="0" w:space="0" w:color="auto"/>
        <w:bottom w:val="none" w:sz="0" w:space="0" w:color="auto"/>
        <w:right w:val="none" w:sz="0" w:space="0" w:color="auto"/>
      </w:divBdr>
    </w:div>
    <w:div w:id="148139543">
      <w:bodyDiv w:val="1"/>
      <w:marLeft w:val="0"/>
      <w:marRight w:val="0"/>
      <w:marTop w:val="0"/>
      <w:marBottom w:val="0"/>
      <w:divBdr>
        <w:top w:val="none" w:sz="0" w:space="0" w:color="auto"/>
        <w:left w:val="none" w:sz="0" w:space="0" w:color="auto"/>
        <w:bottom w:val="none" w:sz="0" w:space="0" w:color="auto"/>
        <w:right w:val="none" w:sz="0" w:space="0" w:color="auto"/>
      </w:divBdr>
    </w:div>
    <w:div w:id="329256499">
      <w:bodyDiv w:val="1"/>
      <w:marLeft w:val="0"/>
      <w:marRight w:val="0"/>
      <w:marTop w:val="0"/>
      <w:marBottom w:val="0"/>
      <w:divBdr>
        <w:top w:val="none" w:sz="0" w:space="0" w:color="auto"/>
        <w:left w:val="none" w:sz="0" w:space="0" w:color="auto"/>
        <w:bottom w:val="none" w:sz="0" w:space="0" w:color="auto"/>
        <w:right w:val="none" w:sz="0" w:space="0" w:color="auto"/>
      </w:divBdr>
    </w:div>
    <w:div w:id="360589082">
      <w:bodyDiv w:val="1"/>
      <w:marLeft w:val="0"/>
      <w:marRight w:val="0"/>
      <w:marTop w:val="0"/>
      <w:marBottom w:val="0"/>
      <w:divBdr>
        <w:top w:val="none" w:sz="0" w:space="0" w:color="auto"/>
        <w:left w:val="none" w:sz="0" w:space="0" w:color="auto"/>
        <w:bottom w:val="none" w:sz="0" w:space="0" w:color="auto"/>
        <w:right w:val="none" w:sz="0" w:space="0" w:color="auto"/>
      </w:divBdr>
    </w:div>
    <w:div w:id="514416223">
      <w:bodyDiv w:val="1"/>
      <w:marLeft w:val="0"/>
      <w:marRight w:val="0"/>
      <w:marTop w:val="0"/>
      <w:marBottom w:val="0"/>
      <w:divBdr>
        <w:top w:val="none" w:sz="0" w:space="0" w:color="auto"/>
        <w:left w:val="none" w:sz="0" w:space="0" w:color="auto"/>
        <w:bottom w:val="none" w:sz="0" w:space="0" w:color="auto"/>
        <w:right w:val="none" w:sz="0" w:space="0" w:color="auto"/>
      </w:divBdr>
    </w:div>
    <w:div w:id="530455127">
      <w:bodyDiv w:val="1"/>
      <w:marLeft w:val="0"/>
      <w:marRight w:val="0"/>
      <w:marTop w:val="0"/>
      <w:marBottom w:val="0"/>
      <w:divBdr>
        <w:top w:val="none" w:sz="0" w:space="0" w:color="auto"/>
        <w:left w:val="none" w:sz="0" w:space="0" w:color="auto"/>
        <w:bottom w:val="none" w:sz="0" w:space="0" w:color="auto"/>
        <w:right w:val="none" w:sz="0" w:space="0" w:color="auto"/>
      </w:divBdr>
    </w:div>
    <w:div w:id="556551014">
      <w:bodyDiv w:val="1"/>
      <w:marLeft w:val="0"/>
      <w:marRight w:val="0"/>
      <w:marTop w:val="0"/>
      <w:marBottom w:val="0"/>
      <w:divBdr>
        <w:top w:val="none" w:sz="0" w:space="0" w:color="auto"/>
        <w:left w:val="none" w:sz="0" w:space="0" w:color="auto"/>
        <w:bottom w:val="none" w:sz="0" w:space="0" w:color="auto"/>
        <w:right w:val="none" w:sz="0" w:space="0" w:color="auto"/>
      </w:divBdr>
    </w:div>
    <w:div w:id="632105265">
      <w:bodyDiv w:val="1"/>
      <w:marLeft w:val="0"/>
      <w:marRight w:val="0"/>
      <w:marTop w:val="0"/>
      <w:marBottom w:val="0"/>
      <w:divBdr>
        <w:top w:val="none" w:sz="0" w:space="0" w:color="auto"/>
        <w:left w:val="none" w:sz="0" w:space="0" w:color="auto"/>
        <w:bottom w:val="none" w:sz="0" w:space="0" w:color="auto"/>
        <w:right w:val="none" w:sz="0" w:space="0" w:color="auto"/>
      </w:divBdr>
    </w:div>
    <w:div w:id="656229075">
      <w:bodyDiv w:val="1"/>
      <w:marLeft w:val="0"/>
      <w:marRight w:val="0"/>
      <w:marTop w:val="0"/>
      <w:marBottom w:val="0"/>
      <w:divBdr>
        <w:top w:val="none" w:sz="0" w:space="0" w:color="auto"/>
        <w:left w:val="none" w:sz="0" w:space="0" w:color="auto"/>
        <w:bottom w:val="none" w:sz="0" w:space="0" w:color="auto"/>
        <w:right w:val="none" w:sz="0" w:space="0" w:color="auto"/>
      </w:divBdr>
    </w:div>
    <w:div w:id="755324774">
      <w:bodyDiv w:val="1"/>
      <w:marLeft w:val="0"/>
      <w:marRight w:val="0"/>
      <w:marTop w:val="0"/>
      <w:marBottom w:val="0"/>
      <w:divBdr>
        <w:top w:val="none" w:sz="0" w:space="0" w:color="auto"/>
        <w:left w:val="none" w:sz="0" w:space="0" w:color="auto"/>
        <w:bottom w:val="none" w:sz="0" w:space="0" w:color="auto"/>
        <w:right w:val="none" w:sz="0" w:space="0" w:color="auto"/>
      </w:divBdr>
    </w:div>
    <w:div w:id="869029122">
      <w:bodyDiv w:val="1"/>
      <w:marLeft w:val="0"/>
      <w:marRight w:val="0"/>
      <w:marTop w:val="0"/>
      <w:marBottom w:val="0"/>
      <w:divBdr>
        <w:top w:val="none" w:sz="0" w:space="0" w:color="auto"/>
        <w:left w:val="none" w:sz="0" w:space="0" w:color="auto"/>
        <w:bottom w:val="none" w:sz="0" w:space="0" w:color="auto"/>
        <w:right w:val="none" w:sz="0" w:space="0" w:color="auto"/>
      </w:divBdr>
    </w:div>
    <w:div w:id="1066955898">
      <w:bodyDiv w:val="1"/>
      <w:marLeft w:val="0"/>
      <w:marRight w:val="0"/>
      <w:marTop w:val="0"/>
      <w:marBottom w:val="0"/>
      <w:divBdr>
        <w:top w:val="none" w:sz="0" w:space="0" w:color="auto"/>
        <w:left w:val="none" w:sz="0" w:space="0" w:color="auto"/>
        <w:bottom w:val="none" w:sz="0" w:space="0" w:color="auto"/>
        <w:right w:val="none" w:sz="0" w:space="0" w:color="auto"/>
      </w:divBdr>
    </w:div>
    <w:div w:id="1287420709">
      <w:bodyDiv w:val="1"/>
      <w:marLeft w:val="0"/>
      <w:marRight w:val="0"/>
      <w:marTop w:val="0"/>
      <w:marBottom w:val="0"/>
      <w:divBdr>
        <w:top w:val="none" w:sz="0" w:space="0" w:color="auto"/>
        <w:left w:val="none" w:sz="0" w:space="0" w:color="auto"/>
        <w:bottom w:val="none" w:sz="0" w:space="0" w:color="auto"/>
        <w:right w:val="none" w:sz="0" w:space="0" w:color="auto"/>
      </w:divBdr>
    </w:div>
    <w:div w:id="1374109799">
      <w:bodyDiv w:val="1"/>
      <w:marLeft w:val="0"/>
      <w:marRight w:val="0"/>
      <w:marTop w:val="0"/>
      <w:marBottom w:val="0"/>
      <w:divBdr>
        <w:top w:val="none" w:sz="0" w:space="0" w:color="auto"/>
        <w:left w:val="none" w:sz="0" w:space="0" w:color="auto"/>
        <w:bottom w:val="none" w:sz="0" w:space="0" w:color="auto"/>
        <w:right w:val="none" w:sz="0" w:space="0" w:color="auto"/>
      </w:divBdr>
    </w:div>
    <w:div w:id="1483229393">
      <w:bodyDiv w:val="1"/>
      <w:marLeft w:val="0"/>
      <w:marRight w:val="0"/>
      <w:marTop w:val="0"/>
      <w:marBottom w:val="0"/>
      <w:divBdr>
        <w:top w:val="none" w:sz="0" w:space="0" w:color="auto"/>
        <w:left w:val="none" w:sz="0" w:space="0" w:color="auto"/>
        <w:bottom w:val="none" w:sz="0" w:space="0" w:color="auto"/>
        <w:right w:val="none" w:sz="0" w:space="0" w:color="auto"/>
      </w:divBdr>
    </w:div>
    <w:div w:id="1505511690">
      <w:bodyDiv w:val="1"/>
      <w:marLeft w:val="0"/>
      <w:marRight w:val="0"/>
      <w:marTop w:val="0"/>
      <w:marBottom w:val="0"/>
      <w:divBdr>
        <w:top w:val="none" w:sz="0" w:space="0" w:color="auto"/>
        <w:left w:val="none" w:sz="0" w:space="0" w:color="auto"/>
        <w:bottom w:val="none" w:sz="0" w:space="0" w:color="auto"/>
        <w:right w:val="none" w:sz="0" w:space="0" w:color="auto"/>
      </w:divBdr>
    </w:div>
    <w:div w:id="1561669579">
      <w:bodyDiv w:val="1"/>
      <w:marLeft w:val="0"/>
      <w:marRight w:val="0"/>
      <w:marTop w:val="0"/>
      <w:marBottom w:val="0"/>
      <w:divBdr>
        <w:top w:val="none" w:sz="0" w:space="0" w:color="auto"/>
        <w:left w:val="none" w:sz="0" w:space="0" w:color="auto"/>
        <w:bottom w:val="none" w:sz="0" w:space="0" w:color="auto"/>
        <w:right w:val="none" w:sz="0" w:space="0" w:color="auto"/>
      </w:divBdr>
    </w:div>
    <w:div w:id="1730030184">
      <w:bodyDiv w:val="1"/>
      <w:marLeft w:val="0"/>
      <w:marRight w:val="0"/>
      <w:marTop w:val="0"/>
      <w:marBottom w:val="0"/>
      <w:divBdr>
        <w:top w:val="none" w:sz="0" w:space="0" w:color="auto"/>
        <w:left w:val="none" w:sz="0" w:space="0" w:color="auto"/>
        <w:bottom w:val="none" w:sz="0" w:space="0" w:color="auto"/>
        <w:right w:val="none" w:sz="0" w:space="0" w:color="auto"/>
      </w:divBdr>
    </w:div>
    <w:div w:id="1840196884">
      <w:bodyDiv w:val="1"/>
      <w:marLeft w:val="0"/>
      <w:marRight w:val="0"/>
      <w:marTop w:val="0"/>
      <w:marBottom w:val="0"/>
      <w:divBdr>
        <w:top w:val="none" w:sz="0" w:space="0" w:color="auto"/>
        <w:left w:val="none" w:sz="0" w:space="0" w:color="auto"/>
        <w:bottom w:val="none" w:sz="0" w:space="0" w:color="auto"/>
        <w:right w:val="none" w:sz="0" w:space="0" w:color="auto"/>
      </w:divBdr>
    </w:div>
    <w:div w:id="20279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D59D-A87A-4D1F-9D53-41E5E583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7333</Words>
  <Characters>41803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NARA</cp:lastModifiedBy>
  <cp:revision>1210</cp:revision>
  <cp:lastPrinted>2021-02-26T05:42:00Z</cp:lastPrinted>
  <dcterms:created xsi:type="dcterms:W3CDTF">2020-07-20T10:34:00Z</dcterms:created>
  <dcterms:modified xsi:type="dcterms:W3CDTF">2021-02-26T05:47:00Z</dcterms:modified>
</cp:coreProperties>
</file>