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51" w:rsidRPr="007D079A" w:rsidRDefault="0043122E" w:rsidP="00214351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</w:t>
      </w:r>
      <w:r w:rsidR="00214351"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="00214351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214351" w:rsidRPr="007D079A">
        <w:rPr>
          <w:rFonts w:ascii="GHEA Grapalat" w:eastAsia="GHEA Grapalat" w:hAnsi="GHEA Grapalat"/>
          <w:sz w:val="18"/>
          <w:szCs w:val="18"/>
        </w:rPr>
        <w:t>N</w:t>
      </w:r>
      <w:r w:rsidR="00214351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214351">
        <w:rPr>
          <w:rFonts w:ascii="GHEA Grapalat" w:eastAsia="GHEA Grapalat" w:hAnsi="GHEA Grapalat"/>
          <w:sz w:val="18"/>
          <w:szCs w:val="18"/>
          <w:lang w:val="hy-AM"/>
        </w:rPr>
        <w:t>33</w:t>
      </w:r>
      <w:r w:rsidR="00214351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214351" w:rsidRPr="007D079A" w:rsidRDefault="00214351" w:rsidP="00214351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214351" w:rsidRPr="007D079A" w:rsidRDefault="00214351" w:rsidP="00214351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E32F2D" w:rsidRDefault="009428AA" w:rsidP="009428AA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D55BD7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bookmarkStart w:id="0" w:name="_GoBack"/>
      <w:bookmarkEnd w:id="0"/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1A52D8" w:rsidRDefault="0043122E" w:rsidP="0043122E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</w:p>
    <w:p w:rsidR="00B01011" w:rsidRPr="00615E39" w:rsidRDefault="00052B3F" w:rsidP="00E93301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E93301">
        <w:rPr>
          <w:rFonts w:ascii="GHEA Grapalat" w:eastAsia="Sylfaen" w:hAnsi="GHEA Grapalat" w:cs="Sylfaen"/>
          <w:b/>
          <w:sz w:val="24"/>
          <w:lang w:val="hy-AM"/>
        </w:rPr>
        <w:t xml:space="preserve">ՌԻՍԿԻ ԳՆԱՀԱՏՄԱՆ, ՍՏՈՒԳՈՒՄՆԵՐԻ ՊԼԱՆԱՎՈՐՄԱՆ ԵՎ ՎԵՐԼՈՒԾՈՒԹՅՈՒՆՆԵՐԻ </w:t>
      </w:r>
      <w:r w:rsidR="0043122E"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="0043122E"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</w:p>
    <w:p w:rsidR="0043122E" w:rsidRPr="001A52D8" w:rsidRDefault="009B041E" w:rsidP="00E93301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lang w:val="hy-AM"/>
        </w:rPr>
        <w:t>Ա</w:t>
      </w:r>
      <w:r>
        <w:rPr>
          <w:rFonts w:ascii="GHEA Grapalat" w:eastAsia="Sylfaen" w:hAnsi="GHEA Grapalat" w:cs="Sylfaen"/>
          <w:b/>
          <w:sz w:val="24"/>
          <w:lang w:val="hy-AM"/>
        </w:rPr>
        <w:t>ՎԱԳ</w:t>
      </w:r>
      <w:r w:rsidR="004D4A50">
        <w:rPr>
          <w:rFonts w:ascii="GHEA Grapalat" w:eastAsia="Sylfaen" w:hAnsi="GHEA Grapalat" w:cs="Sylfaen"/>
          <w:b/>
          <w:sz w:val="24"/>
          <w:lang w:val="hy-AM"/>
        </w:rPr>
        <w:t xml:space="preserve"> ՄԱՍՆԱԳԵՏ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1A52D8" w:rsidTr="00390CE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231A1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9231A1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43122E" w:rsidRPr="00D55BD7" w:rsidTr="00390CE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231A1" w:rsidRDefault="0043122E" w:rsidP="00C9141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4D4A50" w:rsidRPr="009231A1" w:rsidRDefault="001C7604" w:rsidP="004D4A50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 </w:t>
            </w:r>
            <w:r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(այսուհետ՝ Տեսչական մարմին)  </w:t>
            </w:r>
            <w:r w:rsidR="00E93301" w:rsidRPr="0092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ռիսկի գնահատման, ստուգումների պլանավորման և վերլուծությունների </w:t>
            </w:r>
            <w:r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 w:rsidR="009B041E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92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</w:t>
            </w:r>
            <w:r w:rsidR="004D4A50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</w:t>
            </w:r>
            <w:r w:rsidR="009B041E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մասնագետ) 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D4A50" w:rsidRPr="00923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D4A50" w:rsidRPr="00923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</w:t>
            </w:r>
            <w:r w:rsidR="00E93301" w:rsidRPr="00923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4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</w:t>
            </w:r>
            <w:r w:rsidR="0091364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91364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E16C72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9231A1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C7604" w:rsidRPr="009231A1" w:rsidRDefault="009B041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մասնագետ</w:t>
            </w:r>
            <w:r w:rsidR="00D9014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 անմիջական</w:t>
            </w:r>
            <w:r w:rsidR="001C7604"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4D4A50"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պետին:</w:t>
            </w:r>
          </w:p>
          <w:p w:rsidR="0023770E" w:rsidRPr="009231A1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4D4A50"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9231A1" w:rsidRDefault="009B041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9231A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մասնագետի</w:t>
            </w:r>
            <w:r w:rsidR="0023770E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FB697D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23770E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 </w:t>
            </w:r>
            <w:r w:rsidR="00DB3F2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մասնագետներից մեկը</w:t>
            </w:r>
            <w:r w:rsidR="00DB3F2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3122E" w:rsidRPr="009231A1" w:rsidRDefault="004D4A5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</w:t>
            </w:r>
            <w:r w:rsidR="0043122E"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="0043122E"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C91418" w:rsidRPr="009231A1" w:rsidRDefault="006D7069" w:rsidP="006D7069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ք. Երևան, Նորք-Մարաշ վարչական շրջան, Արմենակ Արմենակյան փող., 129 շենք</w:t>
            </w:r>
          </w:p>
        </w:tc>
      </w:tr>
      <w:tr w:rsidR="0043122E" w:rsidRPr="00D55BD7" w:rsidTr="00390CE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231A1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231A1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9231A1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տնտեսավարող սուբյեկտների տվյալների բազայի ստեղծման, պարբերաբար թարմացման աշխատանքներին, ըստ տնտեսական գործունեության տեսակների դասակարգիչների և ռիսկայնությունը որոշող չափանիշների՝  սահմանելով, բացահայտելով և վերլուծելով Տեսչական մարմնի վերահսկողության ենթակա բնագավառների ռիսկերը,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խախտումների պարբերականության, խախտումների վերացմանն ուղղված գործողությունների վերաբերյալ տվյալների բազայի ձևավորման և պարբերաբար թարմացման աշխատանքներին, ըստ տնտեսական գործունեության տեսակների դասակարգիչների,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մասնակցում է Տեսչական մարմնի վերահսկման Ոլորտում գործող բոլոր տնտեսավարող սուբյեկտների ռիսկայնության դասակարգման աշխատանքներին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ըստ տնտեսավարող սուբյեկտների, ինչպես նաև հսկողական գործառույթների նպատակադրման աշխատանքներին դեպի առավել ռիսկային ոլորտներ և վերահսկման ենթակա տնտեսավարող սուբյեկտներ,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Տեսչական մարմնի վերահսկվող տնտեսավարող սուբյեկտներում ռիսկի գնահատման և արդյունքների վերլուծության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Տեսչական մարմնի կառուցվածքային ստորաբաժանումներից տնտեսավարող սուբյեկտներում կատարված ստուգումների և ուսումնասիրությունների արդյունքների հավաքագրման և դրա հիման վրա սահմանված մեթոդաբանությամբ ռիսկերի հետագա գնահատման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կառուցվածքային ստորաբաժանումների և շահագրգիռ պետական կառույցների միջև Տեսչական մարմնի կողմից իրականացվող պետական վերահսկողության արդյունքների հիման վրա ռիսկի կառավարման և դրանց վերաբերյալ տեղեկատվության փոխանակման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Տեսչական մարմնի կողմից վերահսկվող տնտեսավարող սուբյեկտների տվյալների, ինչպես նաև Ոլորտի վիճակագրական տեղեկատվական բազաների ստեղծման և վարման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Տեսչական մարմնի վերահսկման ոլորտում գործող բոլոր տնտեսավարող սուբյեկտների դասակարգումը ըստ ռիսկայնության և վերջինիս հիման վրա ստուգումների տարեկան ծրագրի կազմման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ստուգումների կազմակերպման, ստուգումների (այդ թվում Ռիսկի վրա հիմնված) հաշվառման հետ կապված համապատասխան ձևաթղթերի հանձնարարագրերի, հրամանների, ակտերի, որոշումների, կարգադրագրերի և այլ համապատասխան փաստաթղթերի կազմման, ստուգման արդյունքների հաշվառման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Տեսչական մարմնի կանոնադրական գործառույթների իրականացման արդյունքների վերաբերյալ, վիճակագրական տվյալների հավաքագրման, ամփոփման, պահպանման և դրանց հիման վրա Ոլորտի վիճակագրության վարման հետ կապված աշխատանքներին, անհրաժեշտության դեպքում սահմանված ժամկետում և կարգով հաշվարկ-հաշվետվությունների, ինչպես նաև օրենքով սահմանված այլ տեղեկատվություններ պարունակող ձևերի ներկայացման աշխատանքներին համապատասխան պետական մարմիններին և Տեսչական մարմնի ղեկավարին,</w:t>
            </w:r>
          </w:p>
          <w:p w:rsidR="00E93301" w:rsidRPr="009231A1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մասնակցում է մեթոդական պարզաբանումների և ուղեցույցների մշակման աշխատանքներին, Հայաստանի Հանրապետության առողջապահության բնագավառի օրենսդրության կատարելագործմանն ուղղված առաջարկների ձևավորման և ներկայացման աշխատանքներին։</w:t>
            </w:r>
          </w:p>
          <w:p w:rsidR="00E93301" w:rsidRPr="009231A1" w:rsidRDefault="00E93301" w:rsidP="00E93301">
            <w:pPr>
              <w:pStyle w:val="ListParagraph"/>
              <w:spacing w:after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</w:pPr>
          </w:p>
          <w:p w:rsidR="00A10C57" w:rsidRDefault="00A10C57" w:rsidP="00A10C57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Իրավունքները</w:t>
            </w:r>
          </w:p>
          <w:p w:rsidR="00A10C57" w:rsidRDefault="00A10C57" w:rsidP="00A10C57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 xml:space="preserve">Ստուգում իրականացնող և համապատասխան պետական մարմիններից </w:t>
            </w:r>
            <w:r w:rsidR="003F53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տնտեսավարող սուբյեկտների վերաբերյալ տեղեկատվություն՝ բազաներում ներառելու համար,</w:t>
            </w: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սուբյեկտների վերաբերյալ տեղեկատվություն՝ բազաներում ներառելու համար,</w:t>
            </w: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նպատակով տեսչական մարմնի վերահսկողություն իրականացնող համապատասխան ստորաբաժանումներից տեղեկատվություն իրենց ստորաբաժանումների աշխատողների (տեսուչների) վերաբերյալ համապատասխան տեղեկատվություն՝ իրավական ակտի (հանձնարարագրի) հրապարակման նպատակով,</w:t>
            </w: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Տնտեսավարող սուբյեկտում ստուգումն ավարտելուց հետո համապատասխան ստորաբաժանումներից ստանալ ստուգման ավարտի վերաբերյալ փաստաթուղթը (ստուգման ակտ, տեղեկանք)՝ վերլուծություններ իրականացնելու և հետագա ռիսկերը վերագնահատելու և կառավարելու համար,</w:t>
            </w: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սուբյեկտներում վերահսկողական (ստուգում, վարչական վարույթ և այլն) և իրազեկման, կանխարգելման վերաբերյալ տեղեկատվություն՝ վերլուծություն կատարելու, վիճակագրություն վարելու, վիճակագրական և այլ հաշվետվություններ կազմելու համար,</w:t>
            </w: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 մարմիններից, պաշտոնատար 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ձան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ցից ստանալ Վարչության առջև դրված գործառույթների և խնդիրների իրականացման հետ կապված անհրաժեշտ տեղեկատվություն և նյութեր,</w:t>
            </w:r>
          </w:p>
          <w:p w:rsidR="00A10C57" w:rsidRPr="00B01011" w:rsidRDefault="00A10C57" w:rsidP="00A10C57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A10C57" w:rsidRDefault="00A10C57" w:rsidP="00A10C57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A10C57" w:rsidRDefault="00A10C57" w:rsidP="00A10C57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af-ZA"/>
              </w:rPr>
            </w:pPr>
          </w:p>
          <w:p w:rsidR="00A10C57" w:rsidRDefault="00D84328" w:rsidP="00A10C57">
            <w:pPr>
              <w:numPr>
                <w:ilvl w:val="0"/>
                <w:numId w:val="2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ուսումնասիրել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բազաներում առկա և ստուգում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իրականացնող, ինչպես նաև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մարմիններին տրամադրման ենթակա տեղեկատվությունը,</w:t>
            </w:r>
          </w:p>
          <w:p w:rsidR="00A10C57" w:rsidRDefault="00D84328" w:rsidP="00A10C57">
            <w:pPr>
              <w:numPr>
                <w:ilvl w:val="0"/>
                <w:numId w:val="2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հավաքել տեղեկատվություն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վերահսկման ոլորտում գործող բոլոր տնտեսավարող սուբյեկտների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ըստ ռիսկայնության </w:t>
            </w:r>
            <w:r w:rsidR="0090574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դասակարգելու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նպատակով 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և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նախապատրաստել</w:t>
            </w:r>
            <w:r w:rsidR="0090574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առաջարկություն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ստուգումների տարեկան ծրագ</w:t>
            </w:r>
            <w:r w:rsidR="0090574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րի վերաբերյալ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A10C57" w:rsidRDefault="00A10C57" w:rsidP="00A10C57">
            <w:pPr>
              <w:numPr>
                <w:ilvl w:val="0"/>
                <w:numId w:val="2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գործընթացում կազմել հանձնարարագրեր,</w:t>
            </w:r>
          </w:p>
          <w:p w:rsidR="00A10C57" w:rsidRDefault="00A10C57" w:rsidP="00A10C57">
            <w:pPr>
              <w:numPr>
                <w:ilvl w:val="0"/>
                <w:numId w:val="2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հավաքագրել Տեսչական մարմնի կառուցվածքային ստորաբաժանումներից և  տարածքային մարմիններից տնտեսավարող սուբյեկտներում իրականացված տեսչական ստուգումների և դիտարկումների արդյունքները,</w:t>
            </w:r>
          </w:p>
          <w:p w:rsidR="0043122E" w:rsidRPr="00B01011" w:rsidRDefault="00A10C57" w:rsidP="00B01011">
            <w:pPr>
              <w:numPr>
                <w:ilvl w:val="0"/>
                <w:numId w:val="2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 մարմնի կողմից վերահսկվող տնտեսավարող սուբյեկտների տվյալների, ինչպես նաև ոլորտի վիճակագրական տեղեկատվական բազաներ</w:t>
            </w:r>
            <w:r w:rsidR="0090574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 ստեղծման և վարման համար հավաքագրել տեղեկատվություն</w:t>
            </w:r>
            <w:r w:rsidR="00342CC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43122E" w:rsidRPr="004D4A50" w:rsidTr="00390CE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CFE" w:rsidRDefault="00AC0CFE" w:rsidP="00AC0CF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AC0CFE" w:rsidRDefault="00AC0CFE" w:rsidP="00AC0CF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C87D20" w:rsidRDefault="00777150" w:rsidP="00C87D20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</w:p>
          <w:p w:rsidR="00777150" w:rsidRPr="00777150" w:rsidRDefault="00777150" w:rsidP="00C87D20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C87D20" w:rsidRPr="00C91418" w:rsidRDefault="00C87D20" w:rsidP="00C87D20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C87D20" w:rsidRPr="00C91418" w:rsidRDefault="00C87D20" w:rsidP="00C87D20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C87D20" w:rsidRPr="00C91418" w:rsidRDefault="00C87D20" w:rsidP="00C87D20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46E42" w:rsidRPr="009231A1" w:rsidRDefault="00615E39" w:rsidP="00C87D20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87D2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</w:t>
            </w:r>
            <w:r w:rsidR="00B01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C87D2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ստաժ կամ </w:t>
            </w:r>
            <w:r w:rsidR="00B01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C87D2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 </w:t>
            </w:r>
            <w:r w:rsidR="00C2182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C2182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="00C87D2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B01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C87D2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</w:t>
            </w:r>
            <w:r w:rsidR="00C87D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4D4A50" w:rsidRPr="009231A1" w:rsidRDefault="00B23937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231A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</w:p>
          <w:p w:rsidR="0043122E" w:rsidRPr="009231A1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9231A1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9231A1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4D4A50" w:rsidRPr="009231A1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4D4A50"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Խնդրի լուծում</w:t>
            </w:r>
          </w:p>
          <w:p w:rsidR="004D4A50" w:rsidRPr="009231A1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4D4A50"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Հաշվետվությունների մշակում</w:t>
            </w:r>
          </w:p>
          <w:p w:rsidR="004D4A50" w:rsidRPr="009231A1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4D4A50"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Տեղեկատվության հավաքագրում, վերլուծություն</w:t>
            </w:r>
          </w:p>
          <w:p w:rsidR="004D4A50" w:rsidRPr="009231A1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4D4A50"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Բարեվարքություն</w:t>
            </w:r>
          </w:p>
          <w:p w:rsidR="0020743C" w:rsidRPr="009231A1" w:rsidRDefault="0020743C" w:rsidP="004D4A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43122E" w:rsidRPr="009231A1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ներ՝</w:t>
            </w:r>
          </w:p>
          <w:p w:rsidR="00AC0CFE" w:rsidRDefault="00AC0CFE" w:rsidP="00AC0CFE">
            <w:pPr>
              <w:numPr>
                <w:ilvl w:val="0"/>
                <w:numId w:val="18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AC0CFE" w:rsidRPr="004D0800" w:rsidRDefault="00AC0CFE" w:rsidP="00AC0CFE">
            <w:pPr>
              <w:numPr>
                <w:ilvl w:val="0"/>
                <w:numId w:val="18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AC0CFE" w:rsidRPr="000D78F6" w:rsidRDefault="00AC0CFE" w:rsidP="00AC0CFE">
            <w:pPr>
              <w:numPr>
                <w:ilvl w:val="0"/>
                <w:numId w:val="18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393BE3" w:rsidRPr="009231A1" w:rsidRDefault="00AC0CFE" w:rsidP="00AC0CF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նախապատրատում</w:t>
            </w:r>
          </w:p>
        </w:tc>
      </w:tr>
      <w:tr w:rsidR="0043122E" w:rsidRPr="00D55BD7" w:rsidTr="00390CE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CFE" w:rsidRPr="00CA7898" w:rsidRDefault="00AC0CFE" w:rsidP="00AC0CF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4</w:t>
            </w:r>
            <w:r w:rsidRPr="00CA7898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</w:p>
          <w:p w:rsidR="00AC0CFE" w:rsidRPr="00B24B3C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և ապահովման և մասնագիտական </w:t>
            </w: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>օժանդակության համար:</w:t>
            </w: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AC0CFE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ապահովման և մասնագիտական օժանդակության</w:t>
            </w: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շրջանակներում:</w:t>
            </w: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C0CFE" w:rsidRDefault="00AC0CFE" w:rsidP="00AC0CF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E772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ազդեցություն մասնագիտական աշխատանքների ապահովման և որոշակի մասնագիտական գործառույթների իրականացման շրջանակներում: </w:t>
            </w: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AC0CFE" w:rsidRDefault="00AC0CFE" w:rsidP="00AC0CF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E77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 </w:t>
            </w: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AC0CFE" w:rsidRPr="006E772A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772A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6E116D" w:rsidRPr="009231A1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772A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765949" w:rsidRPr="004D4A50" w:rsidRDefault="00765949">
      <w:pPr>
        <w:rPr>
          <w:lang w:val="hy-AM"/>
        </w:rPr>
      </w:pPr>
    </w:p>
    <w:sectPr w:rsidR="00765949" w:rsidRPr="004D4A50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1FC"/>
    <w:multiLevelType w:val="hybridMultilevel"/>
    <w:tmpl w:val="B97C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2384"/>
    <w:multiLevelType w:val="hybridMultilevel"/>
    <w:tmpl w:val="4B2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0BE2"/>
    <w:multiLevelType w:val="hybridMultilevel"/>
    <w:tmpl w:val="FFA4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56C"/>
    <w:multiLevelType w:val="hybridMultilevel"/>
    <w:tmpl w:val="0E22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CC3"/>
    <w:multiLevelType w:val="hybridMultilevel"/>
    <w:tmpl w:val="AF22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475E2"/>
    <w:multiLevelType w:val="hybridMultilevel"/>
    <w:tmpl w:val="5F2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202D1"/>
    <w:multiLevelType w:val="hybridMultilevel"/>
    <w:tmpl w:val="68E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32E2"/>
    <w:multiLevelType w:val="hybridMultilevel"/>
    <w:tmpl w:val="6E42364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40E54FF2"/>
    <w:multiLevelType w:val="hybridMultilevel"/>
    <w:tmpl w:val="5888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64EDF"/>
    <w:multiLevelType w:val="hybridMultilevel"/>
    <w:tmpl w:val="107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D5BB0"/>
    <w:multiLevelType w:val="hybridMultilevel"/>
    <w:tmpl w:val="60DC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4E2"/>
    <w:multiLevelType w:val="hybridMultilevel"/>
    <w:tmpl w:val="FFA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C22E7"/>
    <w:multiLevelType w:val="hybridMultilevel"/>
    <w:tmpl w:val="6866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83986"/>
    <w:multiLevelType w:val="hybridMultilevel"/>
    <w:tmpl w:val="0EE2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951DE"/>
    <w:multiLevelType w:val="hybridMultilevel"/>
    <w:tmpl w:val="ED5A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1D8A"/>
    <w:multiLevelType w:val="hybridMultilevel"/>
    <w:tmpl w:val="F67A3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669A4"/>
    <w:multiLevelType w:val="hybridMultilevel"/>
    <w:tmpl w:val="076ACC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6DC4453"/>
    <w:multiLevelType w:val="hybridMultilevel"/>
    <w:tmpl w:val="DB84E42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E77C38"/>
    <w:multiLevelType w:val="hybridMultilevel"/>
    <w:tmpl w:val="A9FE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4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246AA"/>
    <w:multiLevelType w:val="hybridMultilevel"/>
    <w:tmpl w:val="0038A7F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7762896A">
      <w:start w:val="1"/>
      <w:numFmt w:val="decimal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2"/>
  </w:num>
  <w:num w:numId="5">
    <w:abstractNumId w:val="6"/>
  </w:num>
  <w:num w:numId="6">
    <w:abstractNumId w:val="17"/>
  </w:num>
  <w:num w:numId="7">
    <w:abstractNumId w:val="14"/>
  </w:num>
  <w:num w:numId="8">
    <w:abstractNumId w:val="4"/>
  </w:num>
  <w:num w:numId="9">
    <w:abstractNumId w:val="20"/>
  </w:num>
  <w:num w:numId="10">
    <w:abstractNumId w:val="21"/>
  </w:num>
  <w:num w:numId="11">
    <w:abstractNumId w:val="19"/>
  </w:num>
  <w:num w:numId="12">
    <w:abstractNumId w:val="11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5"/>
  </w:num>
  <w:num w:numId="18">
    <w:abstractNumId w:val="7"/>
  </w:num>
  <w:num w:numId="19">
    <w:abstractNumId w:val="8"/>
  </w:num>
  <w:num w:numId="20">
    <w:abstractNumId w:val="9"/>
  </w:num>
  <w:num w:numId="21">
    <w:abstractNumId w:val="12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</w:num>
  <w:num w:numId="26">
    <w:abstractNumId w:val="10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268A6"/>
    <w:rsid w:val="0004426F"/>
    <w:rsid w:val="00046E42"/>
    <w:rsid w:val="00052B3F"/>
    <w:rsid w:val="0006594E"/>
    <w:rsid w:val="00094489"/>
    <w:rsid w:val="00097481"/>
    <w:rsid w:val="000A09C6"/>
    <w:rsid w:val="000B1219"/>
    <w:rsid w:val="000B32FB"/>
    <w:rsid w:val="000C7E9E"/>
    <w:rsid w:val="000D5742"/>
    <w:rsid w:val="000D78F6"/>
    <w:rsid w:val="000E78C0"/>
    <w:rsid w:val="000F7073"/>
    <w:rsid w:val="0010098F"/>
    <w:rsid w:val="00146DB4"/>
    <w:rsid w:val="00164F1B"/>
    <w:rsid w:val="0017489F"/>
    <w:rsid w:val="001A6E7F"/>
    <w:rsid w:val="001C7604"/>
    <w:rsid w:val="001E504B"/>
    <w:rsid w:val="0020743C"/>
    <w:rsid w:val="00213D57"/>
    <w:rsid w:val="00214351"/>
    <w:rsid w:val="00223541"/>
    <w:rsid w:val="0022448C"/>
    <w:rsid w:val="0023770E"/>
    <w:rsid w:val="00240087"/>
    <w:rsid w:val="00240F67"/>
    <w:rsid w:val="00284CCB"/>
    <w:rsid w:val="002F21DA"/>
    <w:rsid w:val="00342CC6"/>
    <w:rsid w:val="00357C88"/>
    <w:rsid w:val="00390CEF"/>
    <w:rsid w:val="00393BE3"/>
    <w:rsid w:val="003F532F"/>
    <w:rsid w:val="00412113"/>
    <w:rsid w:val="0042365F"/>
    <w:rsid w:val="0043122E"/>
    <w:rsid w:val="00433FB0"/>
    <w:rsid w:val="00457E9A"/>
    <w:rsid w:val="004615F0"/>
    <w:rsid w:val="00480311"/>
    <w:rsid w:val="00493445"/>
    <w:rsid w:val="00494EB2"/>
    <w:rsid w:val="004A2EE6"/>
    <w:rsid w:val="004C411C"/>
    <w:rsid w:val="004D1F3C"/>
    <w:rsid w:val="004D3DCC"/>
    <w:rsid w:val="004D4A50"/>
    <w:rsid w:val="004E7205"/>
    <w:rsid w:val="004F0CCC"/>
    <w:rsid w:val="005050AC"/>
    <w:rsid w:val="00527942"/>
    <w:rsid w:val="00556EA4"/>
    <w:rsid w:val="00581954"/>
    <w:rsid w:val="00590EBF"/>
    <w:rsid w:val="005D107B"/>
    <w:rsid w:val="005F2115"/>
    <w:rsid w:val="005F2E5A"/>
    <w:rsid w:val="00600CB6"/>
    <w:rsid w:val="00614B8A"/>
    <w:rsid w:val="00615E39"/>
    <w:rsid w:val="006D7069"/>
    <w:rsid w:val="006E116D"/>
    <w:rsid w:val="007029E5"/>
    <w:rsid w:val="00761E04"/>
    <w:rsid w:val="007627FF"/>
    <w:rsid w:val="007636F3"/>
    <w:rsid w:val="00765949"/>
    <w:rsid w:val="0077080C"/>
    <w:rsid w:val="007749D2"/>
    <w:rsid w:val="00777150"/>
    <w:rsid w:val="00783CEC"/>
    <w:rsid w:val="00830B59"/>
    <w:rsid w:val="00836D46"/>
    <w:rsid w:val="00855EBB"/>
    <w:rsid w:val="008616B2"/>
    <w:rsid w:val="00866AD2"/>
    <w:rsid w:val="008E7DB4"/>
    <w:rsid w:val="008F6172"/>
    <w:rsid w:val="00905741"/>
    <w:rsid w:val="00913640"/>
    <w:rsid w:val="009231A1"/>
    <w:rsid w:val="0094030E"/>
    <w:rsid w:val="009428AA"/>
    <w:rsid w:val="009954A4"/>
    <w:rsid w:val="009B041E"/>
    <w:rsid w:val="009C6880"/>
    <w:rsid w:val="009E17D9"/>
    <w:rsid w:val="009F0007"/>
    <w:rsid w:val="009F5504"/>
    <w:rsid w:val="00A10C57"/>
    <w:rsid w:val="00A45258"/>
    <w:rsid w:val="00A95130"/>
    <w:rsid w:val="00AB77F4"/>
    <w:rsid w:val="00AC0CFE"/>
    <w:rsid w:val="00AD5013"/>
    <w:rsid w:val="00AE1EE4"/>
    <w:rsid w:val="00B01011"/>
    <w:rsid w:val="00B23937"/>
    <w:rsid w:val="00BF4ACB"/>
    <w:rsid w:val="00C21822"/>
    <w:rsid w:val="00C55DEA"/>
    <w:rsid w:val="00C87803"/>
    <w:rsid w:val="00C87D20"/>
    <w:rsid w:val="00C91418"/>
    <w:rsid w:val="00D34B87"/>
    <w:rsid w:val="00D55BD7"/>
    <w:rsid w:val="00D674A2"/>
    <w:rsid w:val="00D84328"/>
    <w:rsid w:val="00D90146"/>
    <w:rsid w:val="00D95CC6"/>
    <w:rsid w:val="00DB3F2B"/>
    <w:rsid w:val="00DE5777"/>
    <w:rsid w:val="00E16C72"/>
    <w:rsid w:val="00E2225E"/>
    <w:rsid w:val="00E32A0B"/>
    <w:rsid w:val="00E32F2D"/>
    <w:rsid w:val="00E40190"/>
    <w:rsid w:val="00E65F67"/>
    <w:rsid w:val="00E93301"/>
    <w:rsid w:val="00EA61B6"/>
    <w:rsid w:val="00ED6B0F"/>
    <w:rsid w:val="00EE4513"/>
    <w:rsid w:val="00F67A11"/>
    <w:rsid w:val="00F70D3D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7586"/>
  <w15:docId w15:val="{7584AD91-695E-4131-BCA5-08E460A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138</cp:revision>
  <cp:lastPrinted>2019-08-21T11:41:00Z</cp:lastPrinted>
  <dcterms:created xsi:type="dcterms:W3CDTF">2019-04-10T11:58:00Z</dcterms:created>
  <dcterms:modified xsi:type="dcterms:W3CDTF">2020-10-12T07:50:00Z</dcterms:modified>
</cp:coreProperties>
</file>