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68" w:rsidRPr="00A04EEA" w:rsidRDefault="007634EB" w:rsidP="00A04EEA">
      <w:pPr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t>Ձև</w:t>
      </w:r>
      <w:bookmarkStart w:id="0" w:name="_GoBack"/>
      <w:bookmarkEnd w:id="0"/>
      <w:r w:rsidR="004721E6" w:rsidRPr="00A04EEA">
        <w:rPr>
          <w:rFonts w:ascii="GHEA Grapalat" w:hAnsi="GHEA Grapalat"/>
          <w:b/>
          <w:sz w:val="24"/>
          <w:szCs w:val="24"/>
          <w:lang w:val="ru-RU"/>
        </w:rPr>
        <w:t xml:space="preserve"> 1.</w:t>
      </w:r>
    </w:p>
    <w:p w:rsidR="009B20FF" w:rsidRPr="00A04EEA" w:rsidRDefault="002E2402" w:rsidP="00E25399">
      <w:pPr>
        <w:spacing w:after="0" w:afterAutospacing="0"/>
        <w:ind w:left="181"/>
        <w:jc w:val="center"/>
        <w:divId w:val="2012905238"/>
        <w:rPr>
          <w:rFonts w:ascii="GHEA Grapalat" w:hAnsi="GHEA Grapalat"/>
          <w:b/>
          <w:sz w:val="24"/>
          <w:szCs w:val="24"/>
        </w:rPr>
      </w:pPr>
      <w:r w:rsidRPr="00A04EEA">
        <w:rPr>
          <w:rFonts w:ascii="GHEA Grapalat" w:hAnsi="GHEA Grapalat"/>
          <w:b/>
          <w:sz w:val="24"/>
          <w:szCs w:val="24"/>
          <w:lang w:val="ru-RU"/>
        </w:rPr>
        <w:t>Հաշվեքննության</w:t>
      </w:r>
      <w:r w:rsidR="00E25399" w:rsidRPr="00A04EEA">
        <w:rPr>
          <w:rFonts w:ascii="GHEA Grapalat" w:hAnsi="GHEA Grapalat"/>
          <w:b/>
          <w:sz w:val="24"/>
          <w:szCs w:val="24"/>
        </w:rPr>
        <w:t xml:space="preserve"> պլան</w:t>
      </w:r>
    </w:p>
    <w:p w:rsidR="00E25399" w:rsidRPr="00E25399" w:rsidRDefault="00E25399" w:rsidP="00E25399">
      <w:pPr>
        <w:spacing w:before="0" w:beforeAutospacing="0" w:after="0" w:afterAutospacing="0"/>
        <w:ind w:left="181"/>
        <w:jc w:val="center"/>
        <w:divId w:val="2012905238"/>
        <w:rPr>
          <w:rFonts w:ascii="GHEA Grapalat" w:hAnsi="GHEA Grapalat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2E2402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bCs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Հաշվեքննության</w:t>
            </w:r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ենթակա մարմին</w:t>
            </w:r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2E2402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Հաշվեքննության</w:t>
            </w:r>
            <w:r w:rsidR="00E25399"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ենթակա գործունեություն</w:t>
            </w:r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Առաջադրանք</w:t>
            </w:r>
            <w:r w:rsidR="000A6F5D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ի տեսակ</w:t>
            </w:r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Հաշվետու ժամանակաշրջան</w:t>
            </w:r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5399" w:rsidRPr="00E25399" w:rsidTr="00E25399">
        <w:trPr>
          <w:divId w:val="2012905238"/>
        </w:trPr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E25399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Հղում</w:t>
            </w:r>
          </w:p>
        </w:tc>
        <w:tc>
          <w:tcPr>
            <w:tcW w:w="4788" w:type="dxa"/>
          </w:tcPr>
          <w:p w:rsidR="00E25399" w:rsidRPr="00E25399" w:rsidRDefault="00E25399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A7A68" w:rsidRPr="00E25399" w:rsidTr="00AA5510">
        <w:trPr>
          <w:divId w:val="2012905238"/>
        </w:trPr>
        <w:tc>
          <w:tcPr>
            <w:tcW w:w="4464" w:type="dxa"/>
          </w:tcPr>
          <w:p w:rsidR="007A7A68" w:rsidRPr="00E25399" w:rsidRDefault="009A412E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5399">
              <w:rPr>
                <w:rFonts w:ascii="GHEA Grapalat" w:hAnsi="GHEA Grapalat"/>
                <w:sz w:val="20"/>
                <w:szCs w:val="20"/>
              </w:rPr>
              <w:t>Պատրաստեց</w:t>
            </w:r>
            <w:r w:rsidR="007A7A68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7A7A68" w:rsidRPr="00E25399" w:rsidRDefault="00552F77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5399">
              <w:rPr>
                <w:rFonts w:ascii="GHEA Grapalat" w:hAnsi="GHEA Grapalat"/>
                <w:sz w:val="20"/>
                <w:szCs w:val="20"/>
              </w:rPr>
              <w:t>Խմբի ղեկավար</w:t>
            </w:r>
            <w:r w:rsidR="007A7A68" w:rsidRPr="00E25399">
              <w:rPr>
                <w:rFonts w:ascii="GHEA Grapalat" w:hAnsi="GHEA Grapalat"/>
                <w:sz w:val="20"/>
                <w:szCs w:val="20"/>
              </w:rPr>
              <w:t xml:space="preserve">: </w:t>
            </w:r>
          </w:p>
        </w:tc>
        <w:tc>
          <w:tcPr>
            <w:tcW w:w="4464" w:type="dxa"/>
          </w:tcPr>
          <w:p w:rsidR="007A7A68" w:rsidRPr="00E25399" w:rsidRDefault="007A7A68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A7A68" w:rsidRPr="00E25399" w:rsidRDefault="009706F6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5399">
              <w:rPr>
                <w:rFonts w:ascii="GHEA Grapalat" w:hAnsi="GHEA Grapalat"/>
                <w:sz w:val="20"/>
                <w:szCs w:val="20"/>
              </w:rPr>
              <w:t>Ամսաթիվ</w:t>
            </w:r>
            <w:r w:rsidR="007A7A68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41027A" w:rsidRPr="00E25399" w:rsidTr="00AA5510">
        <w:trPr>
          <w:divId w:val="2012905238"/>
        </w:trPr>
        <w:tc>
          <w:tcPr>
            <w:tcW w:w="4464" w:type="dxa"/>
          </w:tcPr>
          <w:p w:rsidR="0041027A" w:rsidRPr="00E25399" w:rsidRDefault="009A412E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5399">
              <w:rPr>
                <w:rFonts w:ascii="GHEA Grapalat" w:hAnsi="GHEA Grapalat"/>
                <w:sz w:val="20"/>
                <w:szCs w:val="20"/>
              </w:rPr>
              <w:t>Վերստուգեց</w:t>
            </w:r>
            <w:r w:rsidR="0041027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41027A" w:rsidRPr="00E25399" w:rsidRDefault="00712DFA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5399">
              <w:rPr>
                <w:rFonts w:ascii="GHEA Grapalat" w:hAnsi="GHEA Grapalat"/>
                <w:sz w:val="20"/>
                <w:szCs w:val="20"/>
              </w:rPr>
              <w:t>Առաջադրանքի ղեկավար</w:t>
            </w:r>
          </w:p>
        </w:tc>
        <w:tc>
          <w:tcPr>
            <w:tcW w:w="4464" w:type="dxa"/>
          </w:tcPr>
          <w:p w:rsidR="0041027A" w:rsidRPr="00E25399" w:rsidRDefault="0041027A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41027A" w:rsidRPr="00E25399" w:rsidRDefault="009706F6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5399">
              <w:rPr>
                <w:rFonts w:ascii="GHEA Grapalat" w:hAnsi="GHEA Grapalat"/>
                <w:sz w:val="20"/>
                <w:szCs w:val="20"/>
              </w:rPr>
              <w:t>Ամսաթիվ</w:t>
            </w:r>
            <w:r w:rsidR="0041027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41027A" w:rsidRPr="00E25399" w:rsidTr="00AA5510">
        <w:trPr>
          <w:divId w:val="2012905238"/>
        </w:trPr>
        <w:tc>
          <w:tcPr>
            <w:tcW w:w="4464" w:type="dxa"/>
          </w:tcPr>
          <w:p w:rsidR="0041027A" w:rsidRPr="00E25399" w:rsidRDefault="009A412E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5399">
              <w:rPr>
                <w:rFonts w:ascii="GHEA Grapalat" w:hAnsi="GHEA Grapalat"/>
                <w:sz w:val="20"/>
                <w:szCs w:val="20"/>
              </w:rPr>
              <w:t>Վերստուգեց</w:t>
            </w:r>
            <w:r w:rsidR="0041027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41027A" w:rsidRPr="00E25399" w:rsidRDefault="002E2402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Պալատի</w:t>
            </w:r>
            <w:r w:rsidR="00712DFA" w:rsidRPr="00E25399">
              <w:rPr>
                <w:rFonts w:ascii="GHEA Grapalat" w:hAnsi="GHEA Grapalat"/>
                <w:sz w:val="20"/>
                <w:szCs w:val="20"/>
              </w:rPr>
              <w:t xml:space="preserve"> անդամ:</w:t>
            </w:r>
          </w:p>
        </w:tc>
        <w:tc>
          <w:tcPr>
            <w:tcW w:w="4464" w:type="dxa"/>
          </w:tcPr>
          <w:p w:rsidR="0041027A" w:rsidRPr="00E25399" w:rsidRDefault="0041027A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41027A" w:rsidRPr="00E25399" w:rsidRDefault="009706F6" w:rsidP="00E25399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5399">
              <w:rPr>
                <w:rFonts w:ascii="GHEA Grapalat" w:hAnsi="GHEA Grapalat"/>
                <w:sz w:val="20"/>
                <w:szCs w:val="20"/>
              </w:rPr>
              <w:t>Ամսաթիվ</w:t>
            </w:r>
            <w:r w:rsidR="0041027A" w:rsidRPr="00E25399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</w:tbl>
    <w:p w:rsidR="007D2FE3" w:rsidRPr="00C746F0" w:rsidRDefault="007D2FE3" w:rsidP="00D67993">
      <w:pPr>
        <w:pStyle w:val="Heading1"/>
      </w:pPr>
      <w:bookmarkStart w:id="1" w:name="_I._Engagement_scope"/>
      <w:bookmarkStart w:id="2" w:name="_Toc392177316"/>
      <w:bookmarkEnd w:id="1"/>
      <w:r w:rsidRPr="00506E26">
        <w:lastRenderedPageBreak/>
        <w:t>Առաջադրանքի շրջանակ</w:t>
      </w:r>
      <w:bookmarkEnd w:id="2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5990"/>
      </w:tblGrid>
      <w:tr w:rsidR="00985F8D" w:rsidRPr="00506E26" w:rsidTr="00D67993">
        <w:tc>
          <w:tcPr>
            <w:tcW w:w="3586" w:type="dxa"/>
          </w:tcPr>
          <w:p w:rsidR="00985F8D" w:rsidRPr="00E63547" w:rsidRDefault="002E2402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Հաշվեքննության</w:t>
            </w:r>
            <w:r w:rsidR="00985F8D" w:rsidRPr="00E63547">
              <w:rPr>
                <w:rFonts w:ascii="GHEA Grapalat" w:hAnsi="GHEA Grapalat"/>
                <w:bCs/>
                <w:sz w:val="20"/>
                <w:szCs w:val="20"/>
              </w:rPr>
              <w:t xml:space="preserve"> ենթակա</w:t>
            </w:r>
            <w:r w:rsidR="002968DD">
              <w:rPr>
                <w:rFonts w:ascii="GHEA Grapalat" w:hAnsi="GHEA Grapalat"/>
                <w:bCs/>
                <w:sz w:val="20"/>
                <w:szCs w:val="20"/>
              </w:rPr>
              <w:t xml:space="preserve"> մարմնի</w:t>
            </w:r>
            <w:r w:rsidR="00985F8D" w:rsidRPr="00E63547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="00926FAD" w:rsidRPr="00E63547">
              <w:rPr>
                <w:rFonts w:ascii="GHEA Grapalat" w:hAnsi="GHEA Grapalat"/>
                <w:bCs/>
                <w:sz w:val="20"/>
                <w:szCs w:val="20"/>
              </w:rPr>
              <w:t>անվանումը՝ նշելով կազմակերպաիրավական ձևը</w:t>
            </w:r>
          </w:p>
          <w:p w:rsidR="00944EDF" w:rsidRPr="00E63547" w:rsidRDefault="00944EDF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506E26" w:rsidRDefault="00985F8D" w:rsidP="00C20BB2">
            <w:pPr>
              <w:spacing w:before="120" w:after="1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506E26" w:rsidTr="00D67993">
        <w:tc>
          <w:tcPr>
            <w:tcW w:w="3586" w:type="dxa"/>
          </w:tcPr>
          <w:p w:rsidR="00985F8D" w:rsidRPr="00E63547" w:rsidRDefault="002E2402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Հաշվեքննության</w:t>
            </w:r>
            <w:r w:rsidR="00033F63">
              <w:rPr>
                <w:rFonts w:ascii="GHEA Grapalat" w:hAnsi="GHEA Grapalat"/>
                <w:bCs/>
                <w:sz w:val="20"/>
                <w:szCs w:val="20"/>
              </w:rPr>
              <w:t xml:space="preserve"> ենթակա մարմնի գործունեության տեսակը</w:t>
            </w:r>
          </w:p>
          <w:p w:rsidR="00944EDF" w:rsidRPr="00E63547" w:rsidRDefault="00944EDF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506E26" w:rsidRDefault="00985F8D" w:rsidP="00C20BB2">
            <w:pPr>
              <w:spacing w:before="120" w:after="1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506E26" w:rsidTr="00D67993">
        <w:tc>
          <w:tcPr>
            <w:tcW w:w="3586" w:type="dxa"/>
          </w:tcPr>
          <w:p w:rsidR="00033F63" w:rsidRDefault="00033F63" w:rsidP="00033F63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Առաջադրանքի տեսակը </w:t>
            </w:r>
          </w:p>
          <w:p w:rsidR="00033F63" w:rsidRPr="00E63547" w:rsidRDefault="00033F63" w:rsidP="00033F63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(ընդգծել համաապտասխան տարբերակը)</w:t>
            </w:r>
          </w:p>
          <w:p w:rsidR="00944EDF" w:rsidRPr="00E63547" w:rsidRDefault="00944EDF" w:rsidP="00C20BB2">
            <w:pPr>
              <w:spacing w:before="120" w:after="12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Default="00033F63" w:rsidP="00C20BB2">
            <w:pPr>
              <w:spacing w:before="120" w:after="12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Հաստատման առաջադրանք</w:t>
            </w:r>
          </w:p>
          <w:p w:rsidR="00033F63" w:rsidRPr="00506E26" w:rsidRDefault="00033F63" w:rsidP="00C20BB2">
            <w:pPr>
              <w:spacing w:before="120" w:after="12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Ուղղակիորեն հաշվետվությունների տրամադրման առաջադրանք</w:t>
            </w:r>
          </w:p>
        </w:tc>
      </w:tr>
    </w:tbl>
    <w:p w:rsidR="007D2FE3" w:rsidRPr="00506E26" w:rsidRDefault="007D2FE3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7D2FE3" w:rsidRPr="00506E26" w:rsidRDefault="007D2FE3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5B79EB" w:rsidRPr="00506E26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1C304E" w:rsidRPr="00506E26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1C304E" w:rsidRPr="00506E26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1C304E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C746F0" w:rsidRDefault="00C746F0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C746F0" w:rsidRPr="00506E26" w:rsidRDefault="00C746F0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447AC0" w:rsidRPr="00506E26" w:rsidRDefault="002A4F8E" w:rsidP="00D67993">
      <w:pPr>
        <w:pStyle w:val="Heading1"/>
      </w:pPr>
      <w:bookmarkStart w:id="3" w:name="_Audit_strategy_decisions"/>
      <w:bookmarkStart w:id="4" w:name="_Toc392177317"/>
      <w:bookmarkEnd w:id="3"/>
      <w:r w:rsidRPr="00506E26">
        <w:lastRenderedPageBreak/>
        <w:t>Էականության շեմ</w:t>
      </w:r>
      <w:bookmarkEnd w:id="4"/>
      <w:r w:rsidR="00EC1C66" w:rsidRPr="00506E26">
        <w:t xml:space="preserve">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3151"/>
        <w:gridCol w:w="3469"/>
      </w:tblGrid>
      <w:tr w:rsidR="00603D17" w:rsidRPr="00506E26" w:rsidTr="00D37B85">
        <w:trPr>
          <w:trHeight w:hRule="exact" w:val="806"/>
        </w:trPr>
        <w:tc>
          <w:tcPr>
            <w:tcW w:w="2956" w:type="dxa"/>
          </w:tcPr>
          <w:p w:rsidR="00603D17" w:rsidRPr="00AA5510" w:rsidRDefault="00603D17" w:rsidP="00C20BB2">
            <w:pPr>
              <w:spacing w:before="22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Էականության ընդ</w:t>
            </w:r>
            <w:r w:rsidR="00447AC0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անուր շեմ</w:t>
            </w:r>
          </w:p>
        </w:tc>
        <w:tc>
          <w:tcPr>
            <w:tcW w:w="3151" w:type="dxa"/>
          </w:tcPr>
          <w:p w:rsidR="00603D17" w:rsidRPr="00AA5510" w:rsidRDefault="00603D17" w:rsidP="00C20BB2">
            <w:pPr>
              <w:spacing w:before="22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Էականության հատուկ շեմ</w:t>
            </w:r>
          </w:p>
        </w:tc>
        <w:tc>
          <w:tcPr>
            <w:tcW w:w="3469" w:type="dxa"/>
          </w:tcPr>
          <w:p w:rsidR="00603D17" w:rsidRPr="00AA5510" w:rsidRDefault="00033F63" w:rsidP="00C20BB2">
            <w:pPr>
              <w:spacing w:before="22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Անհամապատասխանությունների</w:t>
            </w:r>
            <w:r w:rsidR="00603D17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նվազագույն շեմ</w:t>
            </w:r>
          </w:p>
        </w:tc>
      </w:tr>
      <w:tr w:rsidR="00603D17" w:rsidRPr="00506E26" w:rsidTr="00D37B85">
        <w:tc>
          <w:tcPr>
            <w:tcW w:w="2956" w:type="dxa"/>
          </w:tcPr>
          <w:p w:rsidR="00603D17" w:rsidRPr="00AA5510" w:rsidRDefault="00603D17" w:rsidP="00C20BB2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:rsidR="00603D17" w:rsidRPr="00AA5510" w:rsidRDefault="00603D17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69" w:type="dxa"/>
          </w:tcPr>
          <w:p w:rsidR="00603D17" w:rsidRPr="00AA5510" w:rsidRDefault="00603D17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B0B81" w:rsidRPr="00506E26" w:rsidRDefault="003B0B81" w:rsidP="00C20BB2">
      <w:pPr>
        <w:pStyle w:val="ListParagraph"/>
        <w:numPr>
          <w:ilvl w:val="0"/>
          <w:numId w:val="26"/>
        </w:numPr>
        <w:contextualSpacing w:val="0"/>
        <w:jc w:val="both"/>
        <w:outlineLvl w:val="1"/>
        <w:rPr>
          <w:rFonts w:ascii="GHEA Grapalat" w:hAnsi="GHEA Grapalat" w:cs="Sylfaen"/>
          <w:b/>
          <w:bCs/>
          <w:vanish/>
          <w:sz w:val="24"/>
          <w:szCs w:val="24"/>
        </w:rPr>
      </w:pPr>
      <w:bookmarkStart w:id="5" w:name="_Toc392177225"/>
      <w:bookmarkEnd w:id="5"/>
    </w:p>
    <w:p w:rsidR="003B0B81" w:rsidRPr="00506E26" w:rsidRDefault="003B0B81" w:rsidP="00C20BB2">
      <w:pPr>
        <w:pStyle w:val="ListParagraph"/>
        <w:numPr>
          <w:ilvl w:val="0"/>
          <w:numId w:val="26"/>
        </w:numPr>
        <w:contextualSpacing w:val="0"/>
        <w:jc w:val="both"/>
        <w:outlineLvl w:val="1"/>
        <w:rPr>
          <w:rFonts w:ascii="GHEA Grapalat" w:hAnsi="GHEA Grapalat" w:cs="Sylfaen"/>
          <w:b/>
          <w:bCs/>
          <w:vanish/>
          <w:sz w:val="24"/>
          <w:szCs w:val="24"/>
        </w:rPr>
      </w:pPr>
      <w:bookmarkStart w:id="6" w:name="_Toc392177226"/>
      <w:bookmarkEnd w:id="6"/>
    </w:p>
    <w:p w:rsidR="003B0B81" w:rsidRPr="00506E26" w:rsidRDefault="003B0B81" w:rsidP="00C20BB2">
      <w:pPr>
        <w:pStyle w:val="ListParagraph"/>
        <w:numPr>
          <w:ilvl w:val="0"/>
          <w:numId w:val="26"/>
        </w:numPr>
        <w:contextualSpacing w:val="0"/>
        <w:jc w:val="both"/>
        <w:outlineLvl w:val="1"/>
        <w:rPr>
          <w:rFonts w:ascii="GHEA Grapalat" w:hAnsi="GHEA Grapalat" w:cs="Sylfaen"/>
          <w:b/>
          <w:bCs/>
          <w:vanish/>
          <w:sz w:val="24"/>
          <w:szCs w:val="24"/>
        </w:rPr>
      </w:pPr>
      <w:bookmarkStart w:id="7" w:name="_Toc392177227"/>
      <w:bookmarkEnd w:id="7"/>
    </w:p>
    <w:p w:rsidR="00550721" w:rsidRPr="00D872AD" w:rsidRDefault="003B0E0A" w:rsidP="00D872AD">
      <w:pPr>
        <w:pStyle w:val="Heading2"/>
      </w:pPr>
      <w:r w:rsidRPr="00D872AD">
        <w:t>Էականության ընդհանուր շեմ</w:t>
      </w:r>
    </w:p>
    <w:p w:rsidR="0007099D" w:rsidRPr="00D67993" w:rsidRDefault="007A71F5" w:rsidP="00D67993">
      <w:pPr>
        <w:pStyle w:val="Heading3"/>
      </w:pPr>
      <w:r w:rsidRPr="00D67993">
        <w:t>Էականության ընդհանուր շեմի հաշվարկման հիմք</w:t>
      </w:r>
    </w:p>
    <w:p w:rsidR="00550721" w:rsidRPr="00506E26" w:rsidRDefault="00550721" w:rsidP="00E11EAF">
      <w:pPr>
        <w:spacing w:before="0" w:beforeAutospacing="0"/>
        <w:jc w:val="both"/>
        <w:rPr>
          <w:rFonts w:ascii="GHEA Grapalat" w:hAnsi="GHEA Grapalat"/>
          <w:b/>
        </w:rPr>
      </w:pPr>
      <w:r w:rsidRPr="00506E26">
        <w:rPr>
          <w:rFonts w:ascii="GHEA Grapalat" w:hAnsi="GHEA Grapalat"/>
        </w:rPr>
        <w:t xml:space="preserve">Կախված </w:t>
      </w:r>
      <w:r w:rsidR="002E2402">
        <w:rPr>
          <w:rFonts w:ascii="GHEA Grapalat" w:hAnsi="GHEA Grapalat"/>
        </w:rPr>
        <w:t>հաշվեքննության</w:t>
      </w:r>
      <w:r w:rsidR="00127DB6" w:rsidRPr="00506E26">
        <w:rPr>
          <w:rFonts w:ascii="GHEA Grapalat" w:hAnsi="GHEA Grapalat"/>
        </w:rPr>
        <w:t xml:space="preserve"> ենթակա </w:t>
      </w:r>
      <w:r w:rsidR="00033F63">
        <w:rPr>
          <w:rFonts w:ascii="GHEA Grapalat" w:hAnsi="GHEA Grapalat"/>
        </w:rPr>
        <w:t>գործունեության</w:t>
      </w:r>
      <w:r w:rsidR="00127DB6" w:rsidRPr="00506E26">
        <w:rPr>
          <w:rFonts w:ascii="GHEA Grapalat" w:hAnsi="GHEA Grapalat"/>
        </w:rPr>
        <w:t xml:space="preserve"> տեսակից և </w:t>
      </w:r>
      <w:r w:rsidR="00D14A63">
        <w:rPr>
          <w:rFonts w:ascii="GHEA Grapalat" w:hAnsi="GHEA Grapalat"/>
        </w:rPr>
        <w:t>դրա</w:t>
      </w:r>
      <w:r w:rsidR="00033F63">
        <w:rPr>
          <w:rFonts w:ascii="GHEA Grapalat" w:hAnsi="GHEA Grapalat"/>
        </w:rPr>
        <w:t xml:space="preserve"> հիմքում ընկած ֆինանսական գործառնություններից էականության</w:t>
      </w:r>
      <w:r w:rsidRPr="00506E26">
        <w:rPr>
          <w:rFonts w:ascii="GHEA Grapalat" w:hAnsi="GHEA Grapalat"/>
        </w:rPr>
        <w:t xml:space="preserve"> </w:t>
      </w:r>
      <w:r w:rsidR="00127DB6" w:rsidRPr="00506E26">
        <w:rPr>
          <w:rFonts w:ascii="GHEA Grapalat" w:hAnsi="GHEA Grapalat"/>
        </w:rPr>
        <w:t xml:space="preserve">ընդհանուր </w:t>
      </w:r>
      <w:r w:rsidRPr="00506E26">
        <w:rPr>
          <w:rFonts w:ascii="GHEA Grapalat" w:hAnsi="GHEA Grapalat"/>
        </w:rPr>
        <w:t xml:space="preserve">շեմի հաշվարկման համար </w:t>
      </w:r>
      <w:r w:rsidR="00127DB6" w:rsidRPr="00506E26">
        <w:rPr>
          <w:rFonts w:ascii="GHEA Grapalat" w:hAnsi="GHEA Grapalat"/>
        </w:rPr>
        <w:t>կիրառելի հիմքի ընտրություն.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2604"/>
        <w:gridCol w:w="3271"/>
      </w:tblGrid>
      <w:tr w:rsidR="00FA202E" w:rsidRPr="00506E26" w:rsidTr="00D37B85">
        <w:trPr>
          <w:trHeight w:val="506"/>
          <w:tblHeader/>
        </w:trPr>
        <w:tc>
          <w:tcPr>
            <w:tcW w:w="3701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հիմք</w:t>
            </w:r>
          </w:p>
        </w:tc>
        <w:tc>
          <w:tcPr>
            <w:tcW w:w="2604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</w:p>
        </w:tc>
        <w:tc>
          <w:tcPr>
            <w:tcW w:w="3271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հիմքի ընտրության հիմնավորում</w:t>
            </w:r>
          </w:p>
        </w:tc>
      </w:tr>
      <w:tr w:rsidR="00FA202E" w:rsidRPr="00506E26" w:rsidTr="00D37B85">
        <w:trPr>
          <w:trHeight w:val="303"/>
        </w:trPr>
        <w:tc>
          <w:tcPr>
            <w:tcW w:w="3701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604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71" w:type="dxa"/>
          </w:tcPr>
          <w:p w:rsidR="00FA202E" w:rsidRPr="00AA5510" w:rsidRDefault="00FA202E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B0E0A" w:rsidRPr="00506E26" w:rsidRDefault="003C4033" w:rsidP="00D67993">
      <w:pPr>
        <w:pStyle w:val="Heading3"/>
        <w:rPr>
          <w:i/>
        </w:rPr>
      </w:pPr>
      <w:r w:rsidRPr="00506E26">
        <w:t>Էականության ընդհանուր շեմի որոշում</w:t>
      </w:r>
    </w:p>
    <w:p w:rsidR="004065B0" w:rsidRPr="00506E26" w:rsidRDefault="00E11EAF" w:rsidP="00E11EAF">
      <w:pPr>
        <w:spacing w:before="0" w:beforeAutospacing="0"/>
        <w:jc w:val="both"/>
        <w:rPr>
          <w:rFonts w:ascii="GHEA Grapalat" w:hAnsi="GHEA Grapalat"/>
        </w:rPr>
      </w:pPr>
      <w:r w:rsidRPr="00506E26">
        <w:rPr>
          <w:rFonts w:ascii="GHEA Grapalat" w:hAnsi="GHEA Grapalat"/>
        </w:rPr>
        <w:t xml:space="preserve">Էականության ընդհանուր շեմի հաշվարկման համար կիրառելի հիմքի հիման վրա տոկոսի </w:t>
      </w:r>
      <w:r w:rsidR="004065B0" w:rsidRPr="00506E26">
        <w:rPr>
          <w:rFonts w:ascii="GHEA Grapalat" w:hAnsi="GHEA Grapalat"/>
        </w:rPr>
        <w:t>խելամիտ մեծության որոշում և այդ տոկոսի կիրառում էականության ընդհանուր շեմի հաշվարկման համար: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2648"/>
        <w:gridCol w:w="2399"/>
        <w:gridCol w:w="2123"/>
      </w:tblGrid>
      <w:tr w:rsidR="00D37B85" w:rsidRPr="00506E26" w:rsidTr="00D37B85">
        <w:trPr>
          <w:trHeight w:val="1004"/>
          <w:tblHeader/>
        </w:trPr>
        <w:tc>
          <w:tcPr>
            <w:tcW w:w="3755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հիմք</w:t>
            </w:r>
          </w:p>
        </w:tc>
        <w:tc>
          <w:tcPr>
            <w:tcW w:w="3755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տոկոսադրույք</w:t>
            </w:r>
          </w:p>
        </w:tc>
        <w:tc>
          <w:tcPr>
            <w:tcW w:w="3287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Էականության ընդհանուր շեմի հաշվարկված գումար</w:t>
            </w:r>
          </w:p>
        </w:tc>
        <w:tc>
          <w:tcPr>
            <w:tcW w:w="2534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տոկոսադրույքի որոշման հիմնավորում</w:t>
            </w:r>
          </w:p>
        </w:tc>
      </w:tr>
      <w:tr w:rsidR="00D37B85" w:rsidRPr="00506E26" w:rsidTr="00D37B85">
        <w:trPr>
          <w:trHeight w:val="301"/>
          <w:tblHeader/>
        </w:trPr>
        <w:tc>
          <w:tcPr>
            <w:tcW w:w="3755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755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287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534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</w:tbl>
    <w:p w:rsidR="004065B0" w:rsidRPr="00506E26" w:rsidRDefault="003C4033" w:rsidP="00D872AD">
      <w:pPr>
        <w:pStyle w:val="Heading2"/>
      </w:pPr>
      <w:r w:rsidRPr="00506E26">
        <w:t>Էականության հատուկ շեմ</w:t>
      </w:r>
    </w:p>
    <w:p w:rsidR="0007099D" w:rsidRPr="00506E26" w:rsidRDefault="007A71F5" w:rsidP="00D67993">
      <w:pPr>
        <w:pStyle w:val="Heading3"/>
        <w:rPr>
          <w:i/>
        </w:rPr>
      </w:pPr>
      <w:r w:rsidRPr="00506E26">
        <w:t xml:space="preserve">Էականության </w:t>
      </w:r>
      <w:r w:rsidR="00F03CD7" w:rsidRPr="00506E26">
        <w:t>հատուկ</w:t>
      </w:r>
      <w:r w:rsidRPr="00506E26">
        <w:t xml:space="preserve"> շեմի որոշում </w:t>
      </w:r>
    </w:p>
    <w:p w:rsidR="00C20BB2" w:rsidRPr="00E11EAF" w:rsidRDefault="007A71F5" w:rsidP="00E11EAF">
      <w:pPr>
        <w:spacing w:before="0" w:beforeAutospacing="0"/>
        <w:jc w:val="both"/>
        <w:rPr>
          <w:rFonts w:ascii="GHEA Grapalat" w:hAnsi="GHEA Grapalat"/>
          <w:sz w:val="23"/>
          <w:szCs w:val="23"/>
        </w:rPr>
      </w:pPr>
      <w:r w:rsidRPr="00506E26">
        <w:rPr>
          <w:rFonts w:ascii="GHEA Grapalat" w:hAnsi="GHEA Grapalat"/>
        </w:rPr>
        <w:t>Էականության հատուկ շեմ</w:t>
      </w:r>
      <w:r w:rsidR="00F03CD7" w:rsidRPr="00506E26">
        <w:rPr>
          <w:rFonts w:ascii="GHEA Grapalat" w:hAnsi="GHEA Grapalat"/>
        </w:rPr>
        <w:t>ը</w:t>
      </w:r>
      <w:r w:rsidRPr="00506E26">
        <w:rPr>
          <w:rFonts w:ascii="GHEA Grapalat" w:hAnsi="GHEA Grapalat"/>
        </w:rPr>
        <w:t xml:space="preserve"> </w:t>
      </w:r>
      <w:r w:rsidR="00F03CD7" w:rsidRPr="00506E26">
        <w:rPr>
          <w:rFonts w:ascii="GHEA Grapalat" w:hAnsi="GHEA Grapalat"/>
        </w:rPr>
        <w:t>հաշվարկվու</w:t>
      </w:r>
      <w:r w:rsidR="00FA202E" w:rsidRPr="00506E26">
        <w:rPr>
          <w:rFonts w:ascii="GHEA Grapalat" w:hAnsi="GHEA Grapalat"/>
        </w:rPr>
        <w:t>մ է էականության ընդհանուր շեմը բ</w:t>
      </w:r>
      <w:r w:rsidR="00F03CD7" w:rsidRPr="00506E26">
        <w:rPr>
          <w:rFonts w:ascii="GHEA Grapalat" w:hAnsi="GHEA Grapalat"/>
        </w:rPr>
        <w:t xml:space="preserve">ազմապատկելով </w:t>
      </w:r>
      <w:r w:rsidR="002E2402">
        <w:rPr>
          <w:rFonts w:ascii="GHEA Grapalat" w:hAnsi="GHEA Grapalat"/>
        </w:rPr>
        <w:t>հաշվեքննության</w:t>
      </w:r>
      <w:r w:rsidR="00F03CD7" w:rsidRPr="00506E26">
        <w:rPr>
          <w:rFonts w:ascii="GHEA Grapalat" w:hAnsi="GHEA Grapalat"/>
        </w:rPr>
        <w:t xml:space="preserve"> խմբի կողմից որոշված տոկոսի մեծությամբ, որը չի կարող գերազանցել 75 տոկոսը</w:t>
      </w:r>
      <w:r w:rsidR="00F03CD7" w:rsidRPr="00506E26">
        <w:rPr>
          <w:rFonts w:ascii="GHEA Grapalat" w:hAnsi="GHEA Grapalat"/>
          <w:sz w:val="23"/>
          <w:szCs w:val="23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2387"/>
        <w:gridCol w:w="2362"/>
        <w:gridCol w:w="1860"/>
      </w:tblGrid>
      <w:tr w:rsidR="00FA202E" w:rsidRPr="00506E26" w:rsidTr="00D37B85">
        <w:trPr>
          <w:tblHeader/>
        </w:trPr>
        <w:tc>
          <w:tcPr>
            <w:tcW w:w="2967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Էականության ընդհանուր շեմ</w:t>
            </w:r>
          </w:p>
        </w:tc>
        <w:tc>
          <w:tcPr>
            <w:tcW w:w="2387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տոկոսադրույք</w:t>
            </w:r>
          </w:p>
        </w:tc>
        <w:tc>
          <w:tcPr>
            <w:tcW w:w="2362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Էականության հատուկ շեմի հաշվարկված գումար</w:t>
            </w:r>
          </w:p>
        </w:tc>
        <w:tc>
          <w:tcPr>
            <w:tcW w:w="1860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տոկոսադրույքի որոշման հիմնավորում</w:t>
            </w:r>
          </w:p>
        </w:tc>
      </w:tr>
      <w:tr w:rsidR="00FA202E" w:rsidRPr="00506E26" w:rsidTr="00D37B85">
        <w:trPr>
          <w:tblHeader/>
        </w:trPr>
        <w:tc>
          <w:tcPr>
            <w:tcW w:w="2967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87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62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</w:tcPr>
          <w:p w:rsidR="00FA202E" w:rsidRPr="00AA5510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</w:tbl>
    <w:p w:rsidR="003C4033" w:rsidRPr="00506E26" w:rsidRDefault="00D14A63" w:rsidP="00D872AD">
      <w:pPr>
        <w:pStyle w:val="Heading2"/>
      </w:pPr>
      <w:r>
        <w:lastRenderedPageBreak/>
        <w:t>Անհամապատասխանությունների</w:t>
      </w:r>
      <w:r w:rsidR="00812027" w:rsidRPr="00506E26">
        <w:t xml:space="preserve"> նվազագույն շեմ</w:t>
      </w:r>
    </w:p>
    <w:p w:rsidR="00812027" w:rsidRPr="00506E26" w:rsidRDefault="00D14A63" w:rsidP="00C746F0">
      <w:pPr>
        <w:spacing w:before="0" w:before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Անհամապատասխանությունների</w:t>
      </w:r>
      <w:r w:rsidR="00812027" w:rsidRPr="00506E26">
        <w:rPr>
          <w:rFonts w:ascii="GHEA Grapalat" w:hAnsi="GHEA Grapalat"/>
        </w:rPr>
        <w:t xml:space="preserve"> նվազագույն շեմից փոքր </w:t>
      </w:r>
      <w:r>
        <w:rPr>
          <w:rFonts w:ascii="GHEA Grapalat" w:hAnsi="GHEA Grapalat"/>
        </w:rPr>
        <w:t>անհամապատասխանություննե</w:t>
      </w:r>
      <w:r w:rsidR="00812027" w:rsidRPr="00506E26">
        <w:rPr>
          <w:rFonts w:ascii="GHEA Grapalat" w:hAnsi="GHEA Grapalat"/>
        </w:rPr>
        <w:t xml:space="preserve">րը համարվում են աննշան և չեն կուտակվում առաջադրանքի ընթացքում: </w:t>
      </w:r>
      <w:r>
        <w:rPr>
          <w:rFonts w:ascii="GHEA Grapalat" w:hAnsi="GHEA Grapalat"/>
        </w:rPr>
        <w:t>Անհամապատասխանությունների</w:t>
      </w:r>
      <w:r w:rsidR="00812027" w:rsidRPr="00506E26">
        <w:rPr>
          <w:rFonts w:ascii="GHEA Grapalat" w:hAnsi="GHEA Grapalat"/>
        </w:rPr>
        <w:t xml:space="preserve"> նվազագույն շեմը հաշվարկվում է էականության ընդհանուր շեմի 3-ից 5 տոկոսի միջակայքում: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020"/>
        <w:gridCol w:w="3469"/>
        <w:gridCol w:w="1796"/>
      </w:tblGrid>
      <w:tr w:rsidR="00FA202E" w:rsidRPr="00506E26" w:rsidTr="00D37B85">
        <w:trPr>
          <w:tblHeader/>
        </w:trPr>
        <w:tc>
          <w:tcPr>
            <w:tcW w:w="2291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Էականության ընդհանուր շեմ</w:t>
            </w:r>
          </w:p>
        </w:tc>
        <w:tc>
          <w:tcPr>
            <w:tcW w:w="2020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տոկոսադրույք</w:t>
            </w:r>
          </w:p>
        </w:tc>
        <w:tc>
          <w:tcPr>
            <w:tcW w:w="3469" w:type="dxa"/>
          </w:tcPr>
          <w:p w:rsidR="00FA202E" w:rsidRPr="00AA5510" w:rsidRDefault="00D14A63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Անհամապատասխանություններ</w:t>
            </w:r>
            <w:r w:rsidR="00FA202E" w:rsidRPr="00AA5510">
              <w:rPr>
                <w:rFonts w:ascii="GHEA Grapalat" w:hAnsi="GHEA Grapalat"/>
                <w:b/>
                <w:sz w:val="20"/>
                <w:szCs w:val="20"/>
              </w:rPr>
              <w:t>ի նվազագույն շեմի հաշվարկված գումար</w:t>
            </w:r>
          </w:p>
        </w:tc>
        <w:tc>
          <w:tcPr>
            <w:tcW w:w="1796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>Կիրառելի տոկոսադրույքի որոշման հիմնավորում</w:t>
            </w:r>
          </w:p>
        </w:tc>
      </w:tr>
      <w:tr w:rsidR="00FA202E" w:rsidRPr="00506E26" w:rsidTr="00D37B85">
        <w:trPr>
          <w:tblHeader/>
        </w:trPr>
        <w:tc>
          <w:tcPr>
            <w:tcW w:w="2291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469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</w:tcPr>
          <w:p w:rsidR="00FA202E" w:rsidRPr="00AA5510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</w:tbl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Default="002D0A46" w:rsidP="002D0A46">
      <w:pPr>
        <w:rPr>
          <w:rFonts w:ascii="GHEA Grapalat" w:hAnsi="GHEA Grapalat" w:cs="Sylfaen"/>
        </w:rPr>
      </w:pPr>
    </w:p>
    <w:p w:rsidR="00E11EAF" w:rsidRDefault="00E11EAF" w:rsidP="002D0A46">
      <w:pPr>
        <w:rPr>
          <w:rFonts w:ascii="GHEA Grapalat" w:hAnsi="GHEA Grapalat" w:cs="Sylfaen"/>
        </w:rPr>
      </w:pPr>
    </w:p>
    <w:p w:rsidR="00AA5510" w:rsidRPr="00506E26" w:rsidRDefault="00AA5510" w:rsidP="002D0A46">
      <w:pPr>
        <w:rPr>
          <w:rFonts w:ascii="GHEA Grapalat" w:hAnsi="GHEA Grapalat" w:cs="Sylfaen"/>
        </w:rPr>
      </w:pPr>
    </w:p>
    <w:p w:rsidR="002D0A46" w:rsidRPr="00C746F0" w:rsidRDefault="00EC1C66" w:rsidP="00D67993">
      <w:pPr>
        <w:pStyle w:val="Heading1"/>
      </w:pPr>
      <w:bookmarkStart w:id="8" w:name="_Toc392177318"/>
      <w:r w:rsidRPr="00506E26">
        <w:lastRenderedPageBreak/>
        <w:t>Առաջադրանքի ժամկետներ</w:t>
      </w:r>
      <w:bookmarkEnd w:id="8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4389"/>
      </w:tblGrid>
      <w:tr w:rsidR="00EC1C66" w:rsidRPr="00506E26" w:rsidTr="00D37B85">
        <w:trPr>
          <w:tblHeader/>
        </w:trPr>
        <w:tc>
          <w:tcPr>
            <w:tcW w:w="5187" w:type="dxa"/>
          </w:tcPr>
          <w:p w:rsidR="00EC1C66" w:rsidRPr="00AA5510" w:rsidRDefault="009F040E" w:rsidP="009F040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Ընթացիկ եզրակացության</w:t>
            </w:r>
            <w:r w:rsidR="00EC1C66"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տրամադրում</w:t>
            </w:r>
          </w:p>
        </w:tc>
        <w:tc>
          <w:tcPr>
            <w:tcW w:w="4389" w:type="dxa"/>
          </w:tcPr>
          <w:p w:rsidR="00EC1C66" w:rsidRPr="00AA5510" w:rsidRDefault="00EC1C66" w:rsidP="00AA5510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Ժամկետ</w:t>
            </w:r>
          </w:p>
        </w:tc>
      </w:tr>
      <w:tr w:rsidR="00EC1C66" w:rsidRPr="00506E26" w:rsidTr="00D37B85">
        <w:tc>
          <w:tcPr>
            <w:tcW w:w="5187" w:type="dxa"/>
          </w:tcPr>
          <w:p w:rsidR="00EC1C66" w:rsidRPr="00AA5510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4389" w:type="dxa"/>
          </w:tcPr>
          <w:p w:rsidR="00EC1C66" w:rsidRPr="00AA5510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1C66" w:rsidRPr="00506E26" w:rsidTr="00D37B85">
        <w:tc>
          <w:tcPr>
            <w:tcW w:w="5187" w:type="dxa"/>
          </w:tcPr>
          <w:p w:rsidR="00EC1C66" w:rsidRPr="00AA5510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4389" w:type="dxa"/>
          </w:tcPr>
          <w:p w:rsidR="00EC1C66" w:rsidRPr="00AA5510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C1C66" w:rsidRPr="00506E26" w:rsidRDefault="00EC1C66" w:rsidP="001C304E">
      <w:pPr>
        <w:jc w:val="both"/>
        <w:rPr>
          <w:rFonts w:ascii="GHEA Grapalat" w:hAnsi="GHEA Grapala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4389"/>
      </w:tblGrid>
      <w:tr w:rsidR="00EC1C66" w:rsidRPr="00506E26" w:rsidTr="00D37B85">
        <w:trPr>
          <w:tblHeader/>
        </w:trPr>
        <w:tc>
          <w:tcPr>
            <w:tcW w:w="5187" w:type="dxa"/>
          </w:tcPr>
          <w:p w:rsidR="00EC1C66" w:rsidRPr="00AA5510" w:rsidRDefault="00EC1C66" w:rsidP="001C304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Տեղային աշխատանքներ</w:t>
            </w:r>
          </w:p>
        </w:tc>
        <w:tc>
          <w:tcPr>
            <w:tcW w:w="4389" w:type="dxa"/>
          </w:tcPr>
          <w:p w:rsidR="00EC1C66" w:rsidRPr="00AA5510" w:rsidRDefault="00EC1C66" w:rsidP="001C304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Ժամկետ</w:t>
            </w:r>
          </w:p>
        </w:tc>
      </w:tr>
      <w:tr w:rsidR="00EC1C66" w:rsidRPr="00506E26" w:rsidTr="00D37B85">
        <w:tc>
          <w:tcPr>
            <w:tcW w:w="5187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4389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1C66" w:rsidRPr="00506E26" w:rsidTr="00D37B85">
        <w:tc>
          <w:tcPr>
            <w:tcW w:w="5187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4389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C1C66" w:rsidRPr="00506E26" w:rsidRDefault="00EC1C66" w:rsidP="001C304E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p w:rsidR="00EC1C66" w:rsidRPr="00506E26" w:rsidRDefault="00EC1C66" w:rsidP="001C304E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3"/>
          <w:szCs w:val="23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4389"/>
      </w:tblGrid>
      <w:tr w:rsidR="00EC1C66" w:rsidRPr="00506E26" w:rsidTr="00D37B85">
        <w:trPr>
          <w:tblHeader/>
        </w:trPr>
        <w:tc>
          <w:tcPr>
            <w:tcW w:w="5187" w:type="dxa"/>
          </w:tcPr>
          <w:p w:rsidR="00EC1C66" w:rsidRPr="00AA5510" w:rsidRDefault="00EC1C66" w:rsidP="001C304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Այլ աշխատանքներ</w:t>
            </w:r>
          </w:p>
        </w:tc>
        <w:tc>
          <w:tcPr>
            <w:tcW w:w="4389" w:type="dxa"/>
          </w:tcPr>
          <w:p w:rsidR="00EC1C66" w:rsidRPr="00AA5510" w:rsidRDefault="00EC1C66" w:rsidP="001C304E">
            <w:pPr>
              <w:pStyle w:val="BodyTextIndent"/>
              <w:spacing w:after="220"/>
              <w:ind w:left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Ժամկետ</w:t>
            </w:r>
          </w:p>
        </w:tc>
      </w:tr>
      <w:tr w:rsidR="00EC1C66" w:rsidRPr="00506E26" w:rsidTr="00D37B85">
        <w:tc>
          <w:tcPr>
            <w:tcW w:w="5187" w:type="dxa"/>
          </w:tcPr>
          <w:p w:rsidR="00213BCE" w:rsidRPr="00AA5510" w:rsidRDefault="00EC1C66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Հանդիպում խմբի անդամների, առաջադրանքի ղեկավարի և </w:t>
            </w:r>
            <w:r w:rsidR="002E2402">
              <w:rPr>
                <w:rFonts w:ascii="GHEA Grapalat" w:hAnsi="GHEA Grapalat"/>
                <w:b/>
                <w:sz w:val="20"/>
                <w:szCs w:val="20"/>
              </w:rPr>
              <w:t>պալատի</w:t>
            </w:r>
            <w:r w:rsidRPr="00AA5510">
              <w:rPr>
                <w:rFonts w:ascii="GHEA Grapalat" w:hAnsi="GHEA Grapalat"/>
                <w:b/>
                <w:sz w:val="20"/>
                <w:szCs w:val="20"/>
              </w:rPr>
              <w:t xml:space="preserve"> անդամի հետ</w:t>
            </w:r>
          </w:p>
        </w:tc>
        <w:tc>
          <w:tcPr>
            <w:tcW w:w="4389" w:type="dxa"/>
          </w:tcPr>
          <w:p w:rsidR="00EC1C66" w:rsidRPr="00AA5510" w:rsidRDefault="00EC1C66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12DFA" w:rsidRPr="00506E26" w:rsidTr="00D37B85">
        <w:tc>
          <w:tcPr>
            <w:tcW w:w="5187" w:type="dxa"/>
          </w:tcPr>
          <w:p w:rsidR="00712DFA" w:rsidRPr="00AA5510" w:rsidRDefault="00712DFA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73E6F">
              <w:rPr>
                <w:rFonts w:ascii="GHEA Grapalat" w:hAnsi="GHEA Grapalat"/>
                <w:b/>
                <w:sz w:val="20"/>
                <w:szCs w:val="20"/>
              </w:rPr>
              <w:t xml:space="preserve">Հանդիպում </w:t>
            </w:r>
            <w:r w:rsidR="002E2402">
              <w:rPr>
                <w:rFonts w:ascii="GHEA Grapalat" w:hAnsi="GHEA Grapalat"/>
                <w:b/>
                <w:sz w:val="20"/>
                <w:szCs w:val="20"/>
              </w:rPr>
              <w:t>հաշվեքննության</w:t>
            </w:r>
            <w:r w:rsidR="004102CD">
              <w:rPr>
                <w:rFonts w:ascii="GHEA Grapalat" w:hAnsi="GHEA Grapalat"/>
                <w:b/>
                <w:sz w:val="20"/>
                <w:szCs w:val="20"/>
              </w:rPr>
              <w:t xml:space="preserve"> ենթակա մարմնի ղեկավար</w:t>
            </w:r>
            <w:r w:rsidR="004102CD" w:rsidRPr="004102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73E6F" w:rsidRPr="00B73E6F">
              <w:rPr>
                <w:rFonts w:ascii="GHEA Grapalat" w:hAnsi="GHEA Grapalat"/>
                <w:b/>
                <w:sz w:val="20"/>
                <w:szCs w:val="20"/>
              </w:rPr>
              <w:t xml:space="preserve">անձանց </w:t>
            </w:r>
            <w:r w:rsidRPr="00B73E6F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</w:p>
        </w:tc>
        <w:tc>
          <w:tcPr>
            <w:tcW w:w="4389" w:type="dxa"/>
          </w:tcPr>
          <w:p w:rsidR="00712DFA" w:rsidRPr="00AA5510" w:rsidRDefault="00712DFA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12DFA" w:rsidRPr="00506E26" w:rsidTr="00D37B85">
        <w:tc>
          <w:tcPr>
            <w:tcW w:w="5187" w:type="dxa"/>
          </w:tcPr>
          <w:p w:rsidR="00712DFA" w:rsidRPr="00AA5510" w:rsidRDefault="00712DFA" w:rsidP="001C304E">
            <w:pPr>
              <w:ind w:left="36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712DFA" w:rsidRPr="00AA5510" w:rsidRDefault="00712DFA" w:rsidP="001C304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Pr="00506E26" w:rsidRDefault="002D0A46" w:rsidP="002D0A46">
      <w:pPr>
        <w:rPr>
          <w:rFonts w:ascii="GHEA Grapalat" w:hAnsi="GHEA Grapalat" w:cs="Sylfaen"/>
        </w:rPr>
      </w:pPr>
    </w:p>
    <w:p w:rsidR="002D0A46" w:rsidRDefault="002D0A46" w:rsidP="002D0A46">
      <w:pPr>
        <w:rPr>
          <w:rFonts w:ascii="GHEA Grapalat" w:hAnsi="GHEA Grapalat" w:cs="Sylfaen"/>
        </w:rPr>
      </w:pPr>
    </w:p>
    <w:p w:rsidR="00C746F0" w:rsidRDefault="00C746F0" w:rsidP="002D0A46">
      <w:pPr>
        <w:rPr>
          <w:rFonts w:ascii="GHEA Grapalat" w:hAnsi="GHEA Grapalat" w:cs="Sylfaen"/>
        </w:rPr>
      </w:pPr>
    </w:p>
    <w:p w:rsidR="00AA5510" w:rsidRPr="00506E26" w:rsidRDefault="00AA5510" w:rsidP="002D0A46">
      <w:pPr>
        <w:rPr>
          <w:rFonts w:ascii="GHEA Grapalat" w:hAnsi="GHEA Grapalat" w:cs="Sylfaen"/>
        </w:rPr>
      </w:pPr>
    </w:p>
    <w:p w:rsidR="00C84F3E" w:rsidRPr="00506E26" w:rsidRDefault="00C84F3E" w:rsidP="00D67993">
      <w:pPr>
        <w:pStyle w:val="Heading1"/>
      </w:pPr>
      <w:bookmarkStart w:id="9" w:name="_Toc392177319"/>
      <w:r w:rsidRPr="00506E26">
        <w:lastRenderedPageBreak/>
        <w:t>Առաջադրանքի խումբ</w:t>
      </w:r>
      <w:bookmarkEnd w:id="9"/>
    </w:p>
    <w:p w:rsidR="00213BCE" w:rsidRPr="00506E26" w:rsidRDefault="002E2402" w:rsidP="00C746F0">
      <w:pPr>
        <w:spacing w:before="0" w:before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Հաշվեքննության</w:t>
      </w:r>
      <w:r w:rsidR="00213BCE" w:rsidRPr="00506E26">
        <w:rPr>
          <w:rFonts w:ascii="GHEA Grapalat" w:hAnsi="GHEA Grapalat"/>
        </w:rPr>
        <w:t xml:space="preserve"> առաջադրանքի խմբի անդամների ընտրություն՝ ելնելով տվյալ</w:t>
      </w:r>
      <w:r w:rsidR="000C0234" w:rsidRPr="00506E26">
        <w:rPr>
          <w:rFonts w:ascii="GHEA Grapalat" w:hAnsi="GHEA Grapalat"/>
        </w:rPr>
        <w:t xml:space="preserve"> </w:t>
      </w:r>
      <w:r w:rsidR="00213BCE" w:rsidRPr="00506E26">
        <w:rPr>
          <w:rFonts w:ascii="GHEA Grapalat" w:hAnsi="GHEA Grapalat"/>
        </w:rPr>
        <w:t xml:space="preserve">առաջադրանքի համար </w:t>
      </w:r>
      <w:r w:rsidR="000C0234" w:rsidRPr="00506E26">
        <w:rPr>
          <w:rFonts w:ascii="GHEA Grapalat" w:hAnsi="GHEA Grapalat"/>
        </w:rPr>
        <w:t>անհրա</w:t>
      </w:r>
      <w:r w:rsidR="00712DFA" w:rsidRPr="00506E26">
        <w:rPr>
          <w:rFonts w:ascii="GHEA Grapalat" w:hAnsi="GHEA Grapalat"/>
        </w:rPr>
        <w:t>ժ</w:t>
      </w:r>
      <w:r w:rsidR="000C0234" w:rsidRPr="00506E26">
        <w:rPr>
          <w:rFonts w:ascii="GHEA Grapalat" w:hAnsi="GHEA Grapalat"/>
        </w:rPr>
        <w:t>ե</w:t>
      </w:r>
      <w:r w:rsidR="00712DFA" w:rsidRPr="00506E26">
        <w:rPr>
          <w:rFonts w:ascii="GHEA Grapalat" w:hAnsi="GHEA Grapalat"/>
        </w:rPr>
        <w:t>շ</w:t>
      </w:r>
      <w:r w:rsidR="000C0234" w:rsidRPr="00506E26">
        <w:rPr>
          <w:rFonts w:ascii="GHEA Grapalat" w:hAnsi="GHEA Grapalat"/>
        </w:rPr>
        <w:t>տ գիտելիքների, հմտությունների և ունակությունների ամբողջությունից: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3144"/>
        <w:gridCol w:w="3273"/>
      </w:tblGrid>
      <w:tr w:rsidR="00C84F3E" w:rsidRPr="00506E26" w:rsidTr="00D37B85">
        <w:trPr>
          <w:cantSplit/>
          <w:tblHeader/>
        </w:trPr>
        <w:tc>
          <w:tcPr>
            <w:tcW w:w="3159" w:type="dxa"/>
            <w:vAlign w:val="bottom"/>
          </w:tcPr>
          <w:p w:rsidR="00C84F3E" w:rsidRPr="00AA5510" w:rsidRDefault="00712DFA" w:rsidP="001C304E">
            <w:pPr>
              <w:pStyle w:val="BodyTextIndent"/>
              <w:spacing w:before="220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Պաշտոն</w:t>
            </w:r>
          </w:p>
        </w:tc>
        <w:tc>
          <w:tcPr>
            <w:tcW w:w="3144" w:type="dxa"/>
            <w:vAlign w:val="bottom"/>
          </w:tcPr>
          <w:p w:rsidR="00C84F3E" w:rsidRPr="00AA5510" w:rsidRDefault="00C84F3E" w:rsidP="001C304E">
            <w:pPr>
              <w:pStyle w:val="BodyTextIndent"/>
              <w:spacing w:before="220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Անուն Ազգանուն</w:t>
            </w:r>
          </w:p>
        </w:tc>
        <w:tc>
          <w:tcPr>
            <w:tcW w:w="3273" w:type="dxa"/>
            <w:vAlign w:val="bottom"/>
          </w:tcPr>
          <w:p w:rsidR="00C84F3E" w:rsidRPr="00AA5510" w:rsidRDefault="008E1A7C" w:rsidP="001C304E">
            <w:pPr>
              <w:pStyle w:val="BodyTextIndent"/>
              <w:spacing w:before="220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5510">
              <w:rPr>
                <w:rFonts w:ascii="GHEA Grapalat" w:hAnsi="GHEA Grapalat"/>
                <w:b/>
                <w:bCs/>
                <w:sz w:val="20"/>
                <w:szCs w:val="20"/>
              </w:rPr>
              <w:t>Իրականացվող աշխատանքներ</w:t>
            </w:r>
          </w:p>
        </w:tc>
      </w:tr>
      <w:tr w:rsidR="00C84F3E" w:rsidRPr="00506E26" w:rsidTr="00D37B85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AA5510" w:rsidRDefault="002E2402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Պալատի</w:t>
            </w:r>
            <w:r w:rsidR="00712DFA"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12DFA" w:rsidRPr="00AA5510">
              <w:rPr>
                <w:rFonts w:ascii="GHEA Grapalat" w:hAnsi="GHEA Grapalat" w:cs="Sylfaen"/>
                <w:sz w:val="20"/>
                <w:szCs w:val="20"/>
              </w:rPr>
              <w:t>անդամ</w:t>
            </w:r>
          </w:p>
        </w:tc>
        <w:tc>
          <w:tcPr>
            <w:tcW w:w="3144" w:type="dxa"/>
          </w:tcPr>
          <w:p w:rsidR="00C84F3E" w:rsidRPr="00AA5510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AA5510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C84F3E" w:rsidRPr="00506E26" w:rsidTr="00D37B85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AA5510" w:rsidRDefault="00712DFA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</w:rPr>
              <w:t>Առաջադրանքի</w:t>
            </w:r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A5510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</w:p>
        </w:tc>
        <w:tc>
          <w:tcPr>
            <w:tcW w:w="3144" w:type="dxa"/>
          </w:tcPr>
          <w:p w:rsidR="00C84F3E" w:rsidRPr="00AA5510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AA5510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C84F3E" w:rsidRPr="00506E26" w:rsidTr="00D37B85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AA5510" w:rsidRDefault="00C84F3E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</w:rPr>
              <w:t>Խմբի</w:t>
            </w:r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A5510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</w:p>
        </w:tc>
        <w:tc>
          <w:tcPr>
            <w:tcW w:w="3144" w:type="dxa"/>
          </w:tcPr>
          <w:p w:rsidR="00C84F3E" w:rsidRPr="00AA5510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AA5510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C84F3E" w:rsidRPr="00506E26" w:rsidTr="00D37B85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4102CD" w:rsidRDefault="004102CD" w:rsidP="00AA5510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Հաշվեքննողներ</w:t>
            </w:r>
          </w:p>
        </w:tc>
        <w:tc>
          <w:tcPr>
            <w:tcW w:w="3144" w:type="dxa"/>
          </w:tcPr>
          <w:p w:rsidR="00C84F3E" w:rsidRPr="00AA5510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AA5510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DD7645" w:rsidRPr="00506E26" w:rsidTr="002F6348">
        <w:trPr>
          <w:cantSplit/>
          <w:trHeight w:val="710"/>
        </w:trPr>
        <w:tc>
          <w:tcPr>
            <w:tcW w:w="3159" w:type="dxa"/>
            <w:vAlign w:val="center"/>
          </w:tcPr>
          <w:p w:rsidR="00DD7645" w:rsidRPr="00AA5510" w:rsidRDefault="00DD7645" w:rsidP="002F634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</w:rPr>
              <w:t>Խմբի</w:t>
            </w:r>
            <w:r w:rsidRPr="00AA55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A5510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</w:p>
        </w:tc>
        <w:tc>
          <w:tcPr>
            <w:tcW w:w="3144" w:type="dxa"/>
          </w:tcPr>
          <w:p w:rsidR="00DD7645" w:rsidRPr="00AA5510" w:rsidRDefault="00DD7645" w:rsidP="002F6348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DD7645" w:rsidRPr="00AA5510" w:rsidRDefault="00DD7645" w:rsidP="002F6348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DD7645" w:rsidRPr="00506E26" w:rsidTr="002F6348">
        <w:trPr>
          <w:cantSplit/>
          <w:trHeight w:val="710"/>
        </w:trPr>
        <w:tc>
          <w:tcPr>
            <w:tcW w:w="3159" w:type="dxa"/>
            <w:vAlign w:val="center"/>
          </w:tcPr>
          <w:p w:rsidR="00DD7645" w:rsidRPr="004102CD" w:rsidRDefault="00DD7645" w:rsidP="002F6348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Հաշվեքննողներ</w:t>
            </w:r>
          </w:p>
        </w:tc>
        <w:tc>
          <w:tcPr>
            <w:tcW w:w="3144" w:type="dxa"/>
          </w:tcPr>
          <w:p w:rsidR="00DD7645" w:rsidRPr="00AA5510" w:rsidRDefault="00DD7645" w:rsidP="002F6348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DD7645" w:rsidRPr="00AA5510" w:rsidRDefault="00DD7645" w:rsidP="002F6348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</w:tbl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1C304E" w:rsidRPr="00506E26" w:rsidRDefault="001C304E" w:rsidP="001C304E">
      <w:pPr>
        <w:rPr>
          <w:rFonts w:ascii="GHEA Grapalat" w:hAnsi="GHEA Grapalat"/>
        </w:rPr>
      </w:pPr>
    </w:p>
    <w:p w:rsidR="00D14A63" w:rsidRDefault="00D14A63" w:rsidP="00D67993">
      <w:pPr>
        <w:pStyle w:val="Heading1"/>
      </w:pPr>
      <w:bookmarkStart w:id="10" w:name="_Toc392177320"/>
      <w:r>
        <w:lastRenderedPageBreak/>
        <w:t>Խնդրո առարկա, խնդրո առարկայի վերաբերյալ տեղեկատվություն և կիրառելի օրենսդրական պահանջներ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648"/>
      </w:tblGrid>
      <w:tr w:rsidR="00FF771C" w:rsidRPr="00506E26" w:rsidTr="00D37B85">
        <w:trPr>
          <w:cantSplit/>
          <w:trHeight w:val="710"/>
        </w:trPr>
        <w:tc>
          <w:tcPr>
            <w:tcW w:w="4928" w:type="dxa"/>
            <w:vAlign w:val="center"/>
          </w:tcPr>
          <w:p w:rsidR="00FF771C" w:rsidRPr="00AA5510" w:rsidRDefault="00FF771C" w:rsidP="002F257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Խնդրո առարկա</w:t>
            </w:r>
          </w:p>
        </w:tc>
        <w:tc>
          <w:tcPr>
            <w:tcW w:w="4648" w:type="dxa"/>
          </w:tcPr>
          <w:p w:rsidR="00FF771C" w:rsidRPr="00AA5510" w:rsidRDefault="00FF771C" w:rsidP="002F257A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FF771C" w:rsidRPr="00506E26" w:rsidTr="00D37B85">
        <w:trPr>
          <w:cantSplit/>
          <w:trHeight w:val="710"/>
        </w:trPr>
        <w:tc>
          <w:tcPr>
            <w:tcW w:w="4928" w:type="dxa"/>
            <w:vAlign w:val="center"/>
          </w:tcPr>
          <w:p w:rsidR="00FF771C" w:rsidRPr="00AA5510" w:rsidRDefault="00FF771C" w:rsidP="002F257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Խնդրո առարկայի վերաբերյալ տեղեկատվություն (առկայության դեպքում)</w:t>
            </w:r>
          </w:p>
        </w:tc>
        <w:tc>
          <w:tcPr>
            <w:tcW w:w="4648" w:type="dxa"/>
          </w:tcPr>
          <w:p w:rsidR="00FF771C" w:rsidRPr="00AA5510" w:rsidRDefault="00FF771C" w:rsidP="002F257A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FF771C" w:rsidRPr="00506E26" w:rsidTr="00D37B85">
        <w:trPr>
          <w:cantSplit/>
          <w:trHeight w:val="1592"/>
        </w:trPr>
        <w:tc>
          <w:tcPr>
            <w:tcW w:w="4928" w:type="dxa"/>
            <w:vAlign w:val="center"/>
          </w:tcPr>
          <w:p w:rsidR="00FF771C" w:rsidRDefault="00FF771C" w:rsidP="00FF771C">
            <w:pPr>
              <w:spacing w:before="0" w:beforeAutospacing="0" w:after="0" w:afterAutospacing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Կիրառելի օրենսդրական պահանջներ</w:t>
            </w:r>
          </w:p>
          <w:p w:rsidR="00FF771C" w:rsidRPr="00AA5510" w:rsidRDefault="00FF771C" w:rsidP="00FF771C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(նշել բոլոր կիրառելի նորմատիվ և նեքրին իրավական ակտերը, պայմանագրի նորմերը, մեթոդաբանությունները, քաղաքականությունները և այլն)</w:t>
            </w:r>
          </w:p>
        </w:tc>
        <w:tc>
          <w:tcPr>
            <w:tcW w:w="4648" w:type="dxa"/>
          </w:tcPr>
          <w:p w:rsidR="00FF771C" w:rsidRPr="00AA5510" w:rsidRDefault="00FF771C" w:rsidP="002F257A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</w:tr>
    </w:tbl>
    <w:p w:rsidR="00FF771C" w:rsidRPr="00FF771C" w:rsidRDefault="00FF771C" w:rsidP="00FF771C">
      <w:pPr>
        <w:rPr>
          <w:rFonts w:ascii="Sylfaen" w:hAnsi="Sylfaen"/>
        </w:rPr>
      </w:pPr>
    </w:p>
    <w:p w:rsidR="00C84F3E" w:rsidRPr="00D67993" w:rsidRDefault="002E2402" w:rsidP="00D67993">
      <w:pPr>
        <w:pStyle w:val="Heading1"/>
      </w:pPr>
      <w:r>
        <w:lastRenderedPageBreak/>
        <w:t>Հաշվեքննության</w:t>
      </w:r>
      <w:r w:rsidR="00C84F3E" w:rsidRPr="00D67993">
        <w:t xml:space="preserve"> ենթակա մարմնի </w:t>
      </w:r>
      <w:r w:rsidR="00FF771C" w:rsidRPr="00D67993">
        <w:t xml:space="preserve">ընդհանուր գործունեություն և </w:t>
      </w:r>
      <w:r>
        <w:t>հաշվեքննության</w:t>
      </w:r>
      <w:r w:rsidR="00FF771C" w:rsidRPr="00D67993">
        <w:t xml:space="preserve"> ենթակա գործունեության տեսակի </w:t>
      </w:r>
      <w:r w:rsidR="00C84F3E" w:rsidRPr="00D67993">
        <w:t>ուսումնասիրություն</w:t>
      </w:r>
      <w:bookmarkEnd w:id="10"/>
    </w:p>
    <w:p w:rsidR="0046725E" w:rsidRPr="00D67993" w:rsidRDefault="002E2402" w:rsidP="00D872AD">
      <w:pPr>
        <w:pStyle w:val="Heading2"/>
      </w:pPr>
      <w:r>
        <w:t>Հաշվեքննության</w:t>
      </w:r>
      <w:r w:rsidR="0046725E" w:rsidRPr="00D67993">
        <w:t xml:space="preserve"> ենթակա մարմնի գործունեության բնույթը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4778"/>
        <w:gridCol w:w="4798"/>
      </w:tblGrid>
      <w:tr w:rsidR="0046725E" w:rsidRPr="00506E26" w:rsidTr="00D37B85">
        <w:trPr>
          <w:cantSplit/>
        </w:trPr>
        <w:tc>
          <w:tcPr>
            <w:tcW w:w="4778" w:type="dxa"/>
          </w:tcPr>
          <w:p w:rsidR="0046725E" w:rsidRPr="00506E26" w:rsidRDefault="00085FD5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ործունեությունը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սահմանող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օրենքները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</w:rPr>
              <w:t>ակտերը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.</w:t>
            </w:r>
          </w:p>
        </w:tc>
        <w:tc>
          <w:tcPr>
            <w:tcW w:w="4798" w:type="dxa"/>
          </w:tcPr>
          <w:p w:rsidR="0046725E" w:rsidRPr="00506E26" w:rsidRDefault="0046725E" w:rsidP="00AA5510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6725E" w:rsidRPr="00506E26" w:rsidTr="00D37B85">
        <w:trPr>
          <w:cantSplit/>
        </w:trPr>
        <w:tc>
          <w:tcPr>
            <w:tcW w:w="4778" w:type="dxa"/>
          </w:tcPr>
          <w:p w:rsidR="0046725E" w:rsidRPr="00506E26" w:rsidRDefault="002E2402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ենթակա մարմնի կառուցվածքը</w:t>
            </w:r>
          </w:p>
        </w:tc>
        <w:tc>
          <w:tcPr>
            <w:tcW w:w="4798" w:type="dxa"/>
          </w:tcPr>
          <w:p w:rsidR="0046725E" w:rsidRPr="00506E26" w:rsidRDefault="008E1A7C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/>
                <w:sz w:val="20"/>
                <w:szCs w:val="20"/>
                <w:lang w:val="de-DE"/>
              </w:rPr>
              <w:t>Կցվում է</w:t>
            </w:r>
          </w:p>
          <w:p w:rsidR="0046725E" w:rsidRPr="00506E26" w:rsidRDefault="0046725E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46725E" w:rsidRPr="007634EB" w:rsidTr="00D37B85">
        <w:trPr>
          <w:cantSplit/>
        </w:trPr>
        <w:tc>
          <w:tcPr>
            <w:tcW w:w="4778" w:type="dxa"/>
          </w:tcPr>
          <w:p w:rsidR="0046725E" w:rsidRPr="00506E26" w:rsidRDefault="00085FD5" w:rsidP="00AA5510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Գ</w:t>
            </w:r>
            <w:r w:rsidR="0046725E"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ործունեության ֆինանսավորման աղբյուրները </w:t>
            </w:r>
          </w:p>
        </w:tc>
        <w:tc>
          <w:tcPr>
            <w:tcW w:w="4798" w:type="dxa"/>
          </w:tcPr>
          <w:p w:rsidR="0046725E" w:rsidRPr="00506E26" w:rsidRDefault="008E1A7C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/>
                <w:sz w:val="20"/>
                <w:szCs w:val="20"/>
                <w:lang w:val="de-DE"/>
              </w:rPr>
              <w:t>Բյուջետային _____ ՀՀ դրամ</w:t>
            </w:r>
          </w:p>
          <w:p w:rsidR="008E1A7C" w:rsidRPr="00506E26" w:rsidRDefault="008E1A7C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/>
                <w:sz w:val="20"/>
                <w:szCs w:val="20"/>
                <w:lang w:val="de-DE"/>
              </w:rPr>
              <w:t>Արտաբյուջետային _____ ՀՀ դրամ</w:t>
            </w:r>
          </w:p>
        </w:tc>
      </w:tr>
    </w:tbl>
    <w:p w:rsidR="00FA202E" w:rsidRPr="00FF771C" w:rsidRDefault="0046725E" w:rsidP="00D872AD">
      <w:pPr>
        <w:pStyle w:val="Heading2"/>
        <w:rPr>
          <w:lang w:val="de-DE"/>
        </w:rPr>
      </w:pPr>
      <w:r w:rsidRPr="00506E26">
        <w:t>Գործունեության</w:t>
      </w:r>
      <w:r w:rsidRPr="00506E26">
        <w:rPr>
          <w:lang w:val="de-DE"/>
        </w:rPr>
        <w:t xml:space="preserve"> </w:t>
      </w:r>
      <w:r w:rsidRPr="00506E26">
        <w:t>ոլորտը</w:t>
      </w:r>
      <w:r w:rsidRPr="00506E26">
        <w:rPr>
          <w:lang w:val="de-DE"/>
        </w:rPr>
        <w:t xml:space="preserve"> </w:t>
      </w:r>
      <w:r w:rsidRPr="00506E26">
        <w:t>և</w:t>
      </w:r>
      <w:r w:rsidRPr="00506E26">
        <w:rPr>
          <w:lang w:val="de-DE"/>
        </w:rPr>
        <w:t xml:space="preserve"> </w:t>
      </w:r>
      <w:r w:rsidRPr="00506E26">
        <w:t>այլ</w:t>
      </w:r>
      <w:r w:rsidRPr="00506E26">
        <w:rPr>
          <w:lang w:val="de-DE"/>
        </w:rPr>
        <w:t xml:space="preserve"> </w:t>
      </w:r>
      <w:r w:rsidRPr="00506E26">
        <w:t>արտաքին</w:t>
      </w:r>
      <w:r w:rsidRPr="00506E26">
        <w:rPr>
          <w:lang w:val="de-DE"/>
        </w:rPr>
        <w:t xml:space="preserve"> </w:t>
      </w:r>
      <w:r w:rsidRPr="00506E26">
        <w:t>գործոններ</w:t>
      </w:r>
    </w:p>
    <w:p w:rsidR="0046725E" w:rsidRDefault="00FA202E" w:rsidP="00E11EAF">
      <w:pPr>
        <w:spacing w:before="0" w:beforeAutospacing="0"/>
        <w:jc w:val="both"/>
        <w:rPr>
          <w:rFonts w:ascii="GHEA Grapalat" w:hAnsi="GHEA Grapalat" w:cs="Sylfaen"/>
          <w:b/>
          <w:sz w:val="23"/>
          <w:szCs w:val="23"/>
        </w:rPr>
      </w:pPr>
      <w:r w:rsidRPr="00506E26">
        <w:rPr>
          <w:rFonts w:ascii="GHEA Grapalat" w:hAnsi="GHEA Grapalat"/>
          <w:sz w:val="18"/>
          <w:szCs w:val="18"/>
          <w:lang w:val="de-DE"/>
        </w:rPr>
        <w:t xml:space="preserve">(տողը </w:t>
      </w:r>
      <w:r w:rsidRPr="00506E26">
        <w:rPr>
          <w:rFonts w:ascii="GHEA Grapalat" w:hAnsi="GHEA Grapalat" w:cs="Sylfaen"/>
          <w:sz w:val="18"/>
          <w:szCs w:val="18"/>
          <w:lang w:val="de-DE"/>
        </w:rPr>
        <w:t>չկիրառելու</w:t>
      </w:r>
      <w:r w:rsidRPr="00506E26">
        <w:rPr>
          <w:rFonts w:ascii="GHEA Grapalat" w:hAnsi="GHEA Grapalat"/>
          <w:sz w:val="18"/>
          <w:szCs w:val="18"/>
          <w:lang w:val="de-DE"/>
        </w:rPr>
        <w:t xml:space="preserve"> </w:t>
      </w:r>
      <w:r w:rsidRPr="00506E26">
        <w:rPr>
          <w:rFonts w:ascii="GHEA Grapalat" w:hAnsi="GHEA Grapalat" w:cs="Sylfaen"/>
          <w:sz w:val="18"/>
          <w:szCs w:val="18"/>
          <w:lang w:val="de-DE"/>
        </w:rPr>
        <w:t>դեպքում</w:t>
      </w:r>
      <w:r w:rsidRPr="00506E26">
        <w:rPr>
          <w:rFonts w:ascii="GHEA Grapalat" w:hAnsi="GHEA Grapalat"/>
          <w:sz w:val="18"/>
          <w:szCs w:val="18"/>
          <w:lang w:val="de-DE"/>
        </w:rPr>
        <w:t xml:space="preserve"> </w:t>
      </w:r>
      <w:r w:rsidRPr="00506E26">
        <w:rPr>
          <w:rFonts w:ascii="GHEA Grapalat" w:hAnsi="GHEA Grapalat" w:cs="Sylfaen"/>
          <w:sz w:val="18"/>
          <w:szCs w:val="18"/>
          <w:lang w:val="de-DE"/>
        </w:rPr>
        <w:t>հեռացնել</w:t>
      </w:r>
      <w:r w:rsidRPr="00506E26">
        <w:rPr>
          <w:rFonts w:ascii="GHEA Grapalat" w:hAnsi="GHEA Grapalat"/>
          <w:sz w:val="18"/>
          <w:szCs w:val="18"/>
          <w:lang w:val="de-DE"/>
        </w:rPr>
        <w:t>)</w:t>
      </w:r>
      <w:r w:rsidRPr="00506E26">
        <w:rPr>
          <w:rFonts w:ascii="GHEA Grapalat" w:hAnsi="GHEA Grapalat" w:cs="Sylfaen"/>
          <w:b/>
          <w:sz w:val="23"/>
          <w:szCs w:val="23"/>
        </w:rPr>
        <w:t xml:space="preserve"> 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4778"/>
        <w:gridCol w:w="4798"/>
      </w:tblGrid>
      <w:tr w:rsidR="00AF76D5" w:rsidRPr="00FC4E58" w:rsidTr="00D3280E">
        <w:trPr>
          <w:cantSplit/>
        </w:trPr>
        <w:tc>
          <w:tcPr>
            <w:tcW w:w="477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Գործունեության ոլորտը կարգավորող լիազոր մարմին</w:t>
            </w:r>
          </w:p>
        </w:tc>
        <w:tc>
          <w:tcPr>
            <w:tcW w:w="479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AF76D5" w:rsidRPr="00506E26" w:rsidTr="00D3280E">
        <w:trPr>
          <w:cantSplit/>
        </w:trPr>
        <w:tc>
          <w:tcPr>
            <w:tcW w:w="4778" w:type="dxa"/>
          </w:tcPr>
          <w:p w:rsidR="00AF76D5" w:rsidRPr="00506E26" w:rsidRDefault="002E2402" w:rsidP="00D3280E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AF76D5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ենթարկվող մարմնից հիմնական ֆինանսավորում ստացող ՊՈԱԿ-ներ, ՀՈԱԿ-ներ, համայնքներ և այլ հիմնարկներ</w:t>
            </w:r>
          </w:p>
        </w:tc>
        <w:tc>
          <w:tcPr>
            <w:tcW w:w="479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AF76D5" w:rsidRPr="00506E26" w:rsidTr="00D3280E">
        <w:trPr>
          <w:cantSplit/>
        </w:trPr>
        <w:tc>
          <w:tcPr>
            <w:tcW w:w="477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sz w:val="20"/>
                <w:szCs w:val="20"/>
                <w:lang w:val="de-DE"/>
              </w:rPr>
              <w:t>Մուտքեր ապահովող ֆիզիկական և/կամ իրավաբանական անձիք</w:t>
            </w:r>
          </w:p>
        </w:tc>
        <w:tc>
          <w:tcPr>
            <w:tcW w:w="4798" w:type="dxa"/>
          </w:tcPr>
          <w:p w:rsidR="00AF76D5" w:rsidRPr="00506E26" w:rsidRDefault="00AF76D5" w:rsidP="00D3280E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AF76D5" w:rsidRPr="00506E26" w:rsidRDefault="00AF76D5" w:rsidP="00E11EAF">
      <w:pPr>
        <w:spacing w:before="0" w:beforeAutospacing="0"/>
        <w:jc w:val="both"/>
        <w:rPr>
          <w:rFonts w:ascii="GHEA Grapalat" w:hAnsi="GHEA Grapalat"/>
          <w:b/>
          <w:sz w:val="23"/>
          <w:szCs w:val="23"/>
          <w:lang w:val="de-DE"/>
        </w:rPr>
      </w:pPr>
    </w:p>
    <w:p w:rsidR="0046725E" w:rsidRPr="00506E26" w:rsidRDefault="0046725E" w:rsidP="00D872AD">
      <w:pPr>
        <w:pStyle w:val="Heading2"/>
        <w:rPr>
          <w:lang w:val="de-DE"/>
        </w:rPr>
      </w:pPr>
      <w:r w:rsidRPr="00506E26">
        <w:t>Նպատակները</w:t>
      </w:r>
      <w:r w:rsidRPr="00506E26">
        <w:rPr>
          <w:lang w:val="de-DE"/>
        </w:rPr>
        <w:t xml:space="preserve">, </w:t>
      </w:r>
      <w:r w:rsidRPr="00506E26">
        <w:t>խնդիրները</w:t>
      </w:r>
      <w:r w:rsidRPr="00506E26">
        <w:rPr>
          <w:lang w:val="de-DE"/>
        </w:rPr>
        <w:t xml:space="preserve">, </w:t>
      </w:r>
      <w:r w:rsidRPr="00506E26">
        <w:t>ռազմավարությունը</w:t>
      </w:r>
      <w:r w:rsidRPr="00506E26">
        <w:rPr>
          <w:lang w:val="de-DE"/>
        </w:rPr>
        <w:t xml:space="preserve"> </w:t>
      </w:r>
      <w:r w:rsidRPr="00506E26">
        <w:t>և</w:t>
      </w:r>
      <w:r w:rsidRPr="00506E26">
        <w:rPr>
          <w:lang w:val="de-DE"/>
        </w:rPr>
        <w:t xml:space="preserve"> </w:t>
      </w:r>
      <w:r w:rsidRPr="00506E26">
        <w:t>դրանց</w:t>
      </w:r>
      <w:r w:rsidRPr="00506E26">
        <w:rPr>
          <w:lang w:val="de-DE"/>
        </w:rPr>
        <w:t xml:space="preserve"> </w:t>
      </w:r>
      <w:r w:rsidRPr="00506E26">
        <w:t>առնչվող</w:t>
      </w:r>
      <w:r w:rsidRPr="00506E26">
        <w:rPr>
          <w:lang w:val="de-DE"/>
        </w:rPr>
        <w:t xml:space="preserve"> </w:t>
      </w:r>
      <w:r w:rsidRPr="00506E26">
        <w:t>ռիսկերը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3380"/>
        <w:gridCol w:w="3721"/>
        <w:gridCol w:w="2475"/>
      </w:tblGrid>
      <w:tr w:rsidR="00A40B67" w:rsidRPr="00506E26" w:rsidTr="00D37B85">
        <w:trPr>
          <w:cantSplit/>
        </w:trPr>
        <w:tc>
          <w:tcPr>
            <w:tcW w:w="3380" w:type="dxa"/>
          </w:tcPr>
          <w:p w:rsidR="00A40B67" w:rsidRPr="00506E26" w:rsidRDefault="00A40B67" w:rsidP="00F230F3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Գերակա խնդիրները</w:t>
            </w:r>
          </w:p>
        </w:tc>
        <w:tc>
          <w:tcPr>
            <w:tcW w:w="3721" w:type="dxa"/>
          </w:tcPr>
          <w:p w:rsidR="00A40B67" w:rsidRPr="00506E26" w:rsidRDefault="00A40B67" w:rsidP="00F230F3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Ռազմանավարություն/միջոցառումներ</w:t>
            </w:r>
          </w:p>
        </w:tc>
        <w:tc>
          <w:tcPr>
            <w:tcW w:w="2475" w:type="dxa"/>
          </w:tcPr>
          <w:p w:rsidR="00A40B67" w:rsidRPr="00506E26" w:rsidRDefault="00A40B67" w:rsidP="00F230F3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sz w:val="20"/>
                <w:szCs w:val="20"/>
                <w:lang w:val="de-DE"/>
              </w:rPr>
              <w:t>Ռիսկերը</w:t>
            </w:r>
          </w:p>
        </w:tc>
      </w:tr>
      <w:tr w:rsidR="00A40B67" w:rsidRPr="00506E26" w:rsidTr="00D37B85">
        <w:trPr>
          <w:cantSplit/>
        </w:trPr>
        <w:tc>
          <w:tcPr>
            <w:tcW w:w="3380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  <w:tc>
          <w:tcPr>
            <w:tcW w:w="3721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  <w:tc>
          <w:tcPr>
            <w:tcW w:w="2475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3380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721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75" w:type="dxa"/>
          </w:tcPr>
          <w:p w:rsidR="00A40B67" w:rsidRPr="00506E26" w:rsidRDefault="00A40B67" w:rsidP="00C20BB2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506E26" w:rsidRPr="00C746F0" w:rsidRDefault="0046725E" w:rsidP="00D872AD">
      <w:pPr>
        <w:pStyle w:val="Heading2"/>
        <w:rPr>
          <w:lang w:val="de-DE"/>
        </w:rPr>
      </w:pPr>
      <w:r w:rsidRPr="00506E26">
        <w:t>Ֆինանսական գործունեության ցուցանիշներ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2926"/>
        <w:gridCol w:w="2505"/>
        <w:gridCol w:w="2480"/>
        <w:gridCol w:w="1665"/>
      </w:tblGrid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  <w:tc>
          <w:tcPr>
            <w:tcW w:w="2505" w:type="dxa"/>
          </w:tcPr>
          <w:p w:rsidR="00A40B67" w:rsidRPr="00AA5510" w:rsidRDefault="00A40B67" w:rsidP="002D0A46">
            <w:pPr>
              <w:jc w:val="center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Ընթացիկ Ժամանակաշրջան</w:t>
            </w:r>
          </w:p>
        </w:tc>
        <w:tc>
          <w:tcPr>
            <w:tcW w:w="2480" w:type="dxa"/>
          </w:tcPr>
          <w:p w:rsidR="00A40B67" w:rsidRPr="00AA5510" w:rsidRDefault="00A40B67" w:rsidP="002D0A46">
            <w:pPr>
              <w:jc w:val="center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Նախորդ ժամանակաշրջան</w:t>
            </w:r>
          </w:p>
        </w:tc>
        <w:tc>
          <w:tcPr>
            <w:tcW w:w="1665" w:type="dxa"/>
          </w:tcPr>
          <w:p w:rsidR="00A40B67" w:rsidRPr="00AA5510" w:rsidRDefault="00A40B67" w:rsidP="002D0A46">
            <w:pPr>
              <w:jc w:val="center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Փոփոխության տոկոս</w:t>
            </w:r>
          </w:p>
        </w:tc>
      </w:tr>
      <w:tr w:rsidR="00A40B67" w:rsidRPr="00506E26" w:rsidTr="00D37B85">
        <w:trPr>
          <w:cantSplit/>
          <w:trHeight w:val="297"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5510">
              <w:rPr>
                <w:rFonts w:ascii="GHEA Grapalat" w:hAnsi="GHEA Grapalat"/>
                <w:sz w:val="20"/>
                <w:szCs w:val="20"/>
              </w:rPr>
              <w:t>Աշխատակիցների քանակը</w:t>
            </w: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5510">
              <w:rPr>
                <w:rFonts w:ascii="GHEA Grapalat" w:hAnsi="GHEA Grapalat"/>
                <w:sz w:val="20"/>
                <w:szCs w:val="20"/>
              </w:rPr>
              <w:t>Բյուջետային ծախսեր</w:t>
            </w: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5510">
              <w:rPr>
                <w:rFonts w:ascii="GHEA Grapalat" w:hAnsi="GHEA Grapalat"/>
                <w:sz w:val="20"/>
                <w:szCs w:val="20"/>
              </w:rPr>
              <w:t>Արտաբյուջետային ծախսեր</w:t>
            </w: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5510">
              <w:rPr>
                <w:rFonts w:ascii="GHEA Grapalat" w:hAnsi="GHEA Grapalat"/>
                <w:sz w:val="20"/>
                <w:szCs w:val="20"/>
              </w:rPr>
              <w:t>Բյուջետային եկամուտներ</w:t>
            </w: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5510">
              <w:rPr>
                <w:rFonts w:ascii="GHEA Grapalat" w:hAnsi="GHEA Grapalat"/>
                <w:sz w:val="20"/>
                <w:szCs w:val="20"/>
              </w:rPr>
              <w:t>Արտաբյուջետային եկամուտներ</w:t>
            </w: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506E26" w:rsidTr="00D37B85">
        <w:trPr>
          <w:cantSplit/>
        </w:trPr>
        <w:tc>
          <w:tcPr>
            <w:tcW w:w="2926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0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AA5510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46725E" w:rsidRPr="00506E26" w:rsidRDefault="0046725E" w:rsidP="00D872AD">
      <w:pPr>
        <w:pStyle w:val="Heading2"/>
        <w:rPr>
          <w:lang w:val="de-DE"/>
        </w:rPr>
      </w:pPr>
      <w:r w:rsidRPr="00506E26">
        <w:lastRenderedPageBreak/>
        <w:t>Ներքին հսկողության համակարգ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4778"/>
        <w:gridCol w:w="4798"/>
      </w:tblGrid>
      <w:tr w:rsidR="0046725E" w:rsidRPr="00506E26" w:rsidTr="00D37B85">
        <w:trPr>
          <w:cantSplit/>
        </w:trPr>
        <w:tc>
          <w:tcPr>
            <w:tcW w:w="4778" w:type="dxa"/>
          </w:tcPr>
          <w:p w:rsidR="0046725E" w:rsidRPr="00AA5510" w:rsidRDefault="004D20BE" w:rsidP="0078478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784781">
              <w:rPr>
                <w:rFonts w:ascii="GHEA Grapalat" w:hAnsi="GHEA Grapalat" w:cs="Sylfaen"/>
                <w:sz w:val="20"/>
                <w:szCs w:val="20"/>
                <w:lang w:val="ru-RU"/>
              </w:rPr>
              <w:t>աուդիտի</w:t>
            </w: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ստորաբաժանման առկայություն</w:t>
            </w:r>
          </w:p>
        </w:tc>
        <w:tc>
          <w:tcPr>
            <w:tcW w:w="4798" w:type="dxa"/>
          </w:tcPr>
          <w:p w:rsidR="0046725E" w:rsidRPr="00AA5510" w:rsidRDefault="004D20BE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Այո/Ոչ</w:t>
            </w:r>
          </w:p>
        </w:tc>
      </w:tr>
      <w:tr w:rsidR="00D37B85" w:rsidRPr="00506E26" w:rsidTr="00D37B85">
        <w:trPr>
          <w:cantSplit/>
        </w:trPr>
        <w:tc>
          <w:tcPr>
            <w:tcW w:w="4778" w:type="dxa"/>
          </w:tcPr>
          <w:p w:rsidR="00D37B85" w:rsidRPr="00AA5510" w:rsidRDefault="00D37B85" w:rsidP="0078478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784781">
              <w:rPr>
                <w:rFonts w:ascii="GHEA Grapalat" w:hAnsi="GHEA Grapalat" w:cs="Sylfaen"/>
                <w:sz w:val="20"/>
                <w:szCs w:val="20"/>
                <w:lang w:val="ru-RU"/>
              </w:rPr>
              <w:t>աուդիտի</w:t>
            </w: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ստորաբաժանման կազմի (աշխատակիցների </w:t>
            </w:r>
            <w:r w:rsidR="00AF76D5">
              <w:rPr>
                <w:rFonts w:ascii="GHEA Grapalat" w:hAnsi="GHEA Grapalat" w:cs="Sylfaen"/>
                <w:sz w:val="20"/>
                <w:szCs w:val="20"/>
                <w:lang w:val="de-DE"/>
              </w:rPr>
              <w:t>ք</w:t>
            </w: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ա</w:t>
            </w:r>
            <w:r w:rsidR="00AF76D5">
              <w:rPr>
                <w:rFonts w:ascii="GHEA Grapalat" w:hAnsi="GHEA Grapalat" w:cs="Sylfaen"/>
                <w:sz w:val="20"/>
                <w:szCs w:val="20"/>
                <w:lang w:val="de-DE"/>
              </w:rPr>
              <w:t>նակ,</w:t>
            </w: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որակավորում և այլն) և գործունեության նկարագրություն</w:t>
            </w:r>
          </w:p>
        </w:tc>
        <w:tc>
          <w:tcPr>
            <w:tcW w:w="4798" w:type="dxa"/>
          </w:tcPr>
          <w:p w:rsidR="00D37B85" w:rsidRPr="00AA5510" w:rsidRDefault="00D37B85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D20BE" w:rsidRPr="00506E26" w:rsidTr="00D37B85">
        <w:trPr>
          <w:cantSplit/>
        </w:trPr>
        <w:tc>
          <w:tcPr>
            <w:tcW w:w="4778" w:type="dxa"/>
          </w:tcPr>
          <w:p w:rsidR="004D20BE" w:rsidRPr="00AA5510" w:rsidRDefault="004D20BE" w:rsidP="0078478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784781">
              <w:rPr>
                <w:rFonts w:ascii="GHEA Grapalat" w:hAnsi="GHEA Grapalat" w:cs="Sylfaen"/>
                <w:sz w:val="20"/>
                <w:szCs w:val="20"/>
                <w:lang w:val="ru-RU"/>
              </w:rPr>
              <w:t>աուդիտի</w:t>
            </w: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կոմիտեի առկայություն</w:t>
            </w:r>
          </w:p>
        </w:tc>
        <w:tc>
          <w:tcPr>
            <w:tcW w:w="4798" w:type="dxa"/>
          </w:tcPr>
          <w:p w:rsidR="004D20BE" w:rsidRPr="00AA5510" w:rsidRDefault="004D20BE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>Այո/Ոչ</w:t>
            </w:r>
          </w:p>
        </w:tc>
      </w:tr>
      <w:tr w:rsidR="004D20BE" w:rsidRPr="00506E26" w:rsidTr="00D37B85">
        <w:trPr>
          <w:cantSplit/>
        </w:trPr>
        <w:tc>
          <w:tcPr>
            <w:tcW w:w="4778" w:type="dxa"/>
          </w:tcPr>
          <w:p w:rsidR="004D20BE" w:rsidRPr="00AA5510" w:rsidRDefault="004D20BE" w:rsidP="0078478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Առնվազն նախորդ մեկ տարվա ընթացքում ուսումնասիրված ներքին  </w:t>
            </w:r>
            <w:r w:rsidR="00784781">
              <w:rPr>
                <w:rFonts w:ascii="GHEA Grapalat" w:hAnsi="GHEA Grapalat" w:cs="Sylfaen"/>
                <w:sz w:val="20"/>
                <w:szCs w:val="20"/>
                <w:lang w:val="ru-RU"/>
              </w:rPr>
              <w:t>աուդիտի</w:t>
            </w:r>
            <w:r w:rsidRPr="00AA5510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հաշվետվություններում ներկայացված նշանակալի թերացումներ</w:t>
            </w:r>
            <w:r w:rsidR="00FC43F3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, որոնք վերաբերում են </w:t>
            </w:r>
            <w:r w:rsidR="002E2402"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FC43F3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ենթակա գործունեության տեսակին</w:t>
            </w:r>
          </w:p>
        </w:tc>
        <w:tc>
          <w:tcPr>
            <w:tcW w:w="4798" w:type="dxa"/>
          </w:tcPr>
          <w:p w:rsidR="004D20BE" w:rsidRPr="00AA5510" w:rsidRDefault="004D20BE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</w:tbl>
    <w:p w:rsidR="00FF771C" w:rsidRPr="00FF771C" w:rsidRDefault="002E2402" w:rsidP="00D872AD">
      <w:pPr>
        <w:pStyle w:val="Heading2"/>
        <w:rPr>
          <w:lang w:val="de-DE"/>
        </w:rPr>
      </w:pPr>
      <w:r>
        <w:t>Հաշվեքննության</w:t>
      </w:r>
      <w:r w:rsidR="00FF771C">
        <w:t xml:space="preserve"> ենթակա գործունեության տեսակի նկարագրություն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4778"/>
        <w:gridCol w:w="4798"/>
      </w:tblGrid>
      <w:tr w:rsidR="00FC43F3" w:rsidRPr="007634EB" w:rsidTr="00D37B85">
        <w:trPr>
          <w:cantSplit/>
        </w:trPr>
        <w:tc>
          <w:tcPr>
            <w:tcW w:w="4778" w:type="dxa"/>
          </w:tcPr>
          <w:p w:rsidR="00FC43F3" w:rsidRPr="00AA5510" w:rsidRDefault="002E2402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FC43F3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ենթակա մարմնի պատասխանատու ստորաբաժանում</w:t>
            </w:r>
          </w:p>
        </w:tc>
        <w:tc>
          <w:tcPr>
            <w:tcW w:w="4798" w:type="dxa"/>
          </w:tcPr>
          <w:p w:rsidR="00FC43F3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  <w:p w:rsidR="00FC43F3" w:rsidRPr="00AA5510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FC43F3" w:rsidRPr="00506E26" w:rsidTr="00D37B85">
        <w:trPr>
          <w:cantSplit/>
        </w:trPr>
        <w:tc>
          <w:tcPr>
            <w:tcW w:w="4778" w:type="dxa"/>
          </w:tcPr>
          <w:p w:rsidR="00FC43F3" w:rsidRPr="00AA5510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Գործառույթները</w:t>
            </w:r>
          </w:p>
        </w:tc>
        <w:tc>
          <w:tcPr>
            <w:tcW w:w="4798" w:type="dxa"/>
          </w:tcPr>
          <w:p w:rsidR="00FC43F3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  <w:p w:rsidR="00FC43F3" w:rsidRPr="00AA5510" w:rsidRDefault="00FC43F3" w:rsidP="002F257A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</w:tbl>
    <w:p w:rsidR="005C2FE0" w:rsidRPr="00506E26" w:rsidRDefault="005C2FE0" w:rsidP="00D67993">
      <w:pPr>
        <w:pStyle w:val="Heading1"/>
      </w:pPr>
      <w:bookmarkStart w:id="11" w:name="_Toc392177321"/>
      <w:r w:rsidRPr="00506E26">
        <w:lastRenderedPageBreak/>
        <w:t>Ռիսկերի գնահատում</w:t>
      </w:r>
      <w:bookmarkEnd w:id="11"/>
    </w:p>
    <w:p w:rsidR="005C2FE0" w:rsidRPr="00506E26" w:rsidRDefault="002E2402" w:rsidP="00D872AD">
      <w:pPr>
        <w:pStyle w:val="Heading2"/>
      </w:pPr>
      <w:r>
        <w:t>Հաշվեքննության</w:t>
      </w:r>
      <w:r w:rsidR="00FC43F3">
        <w:t xml:space="preserve"> ենթակա գործունեության տեսակ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4786"/>
        <w:gridCol w:w="4790"/>
      </w:tblGrid>
      <w:tr w:rsidR="00143C04" w:rsidRPr="007634EB" w:rsidTr="00D37B85">
        <w:trPr>
          <w:cantSplit/>
        </w:trPr>
        <w:tc>
          <w:tcPr>
            <w:tcW w:w="4786" w:type="dxa"/>
          </w:tcPr>
          <w:p w:rsidR="005C2FE0" w:rsidRPr="00506E26" w:rsidRDefault="00023A4D" w:rsidP="00506E2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Ռիսկ</w:t>
            </w:r>
          </w:p>
        </w:tc>
        <w:tc>
          <w:tcPr>
            <w:tcW w:w="4790" w:type="dxa"/>
          </w:tcPr>
          <w:p w:rsidR="005C2FE0" w:rsidRPr="00506E26" w:rsidRDefault="00023A4D" w:rsidP="00506E2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506E26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Իրավիճակի նկարագրություն</w:t>
            </w:r>
            <w:r w:rsidR="005C2FE0" w:rsidRPr="00506E26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r w:rsidR="00AF76D5" w:rsidRPr="00506E26"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  <w:t>(</w:t>
            </w:r>
            <w:r w:rsidR="00AF76D5" w:rsidRPr="00506E26">
              <w:rPr>
                <w:rFonts w:ascii="GHEA Grapalat" w:hAnsi="GHEA Grapalat" w:cs="Sylfaen"/>
                <w:sz w:val="18"/>
                <w:szCs w:val="18"/>
                <w:lang w:val="de-DE"/>
              </w:rPr>
              <w:t>լրացնել կոնկրետ օրինակ</w:t>
            </w:r>
            <w:r w:rsidR="00AF76D5">
              <w:rPr>
                <w:rFonts w:ascii="GHEA Grapalat" w:hAnsi="GHEA Grapalat" w:cs="Sylfaen"/>
                <w:sz w:val="18"/>
                <w:szCs w:val="18"/>
                <w:lang w:val="de-DE"/>
              </w:rPr>
              <w:t>, հակառակ դեպքում նշել առկա չէ</w:t>
            </w:r>
            <w:r w:rsidR="00AF76D5" w:rsidRPr="00506E26">
              <w:rPr>
                <w:rFonts w:ascii="GHEA Grapalat" w:hAnsi="GHEA Grapalat" w:cs="Sylfaen"/>
                <w:sz w:val="18"/>
                <w:szCs w:val="18"/>
                <w:lang w:val="de-DE"/>
              </w:rPr>
              <w:t>)</w:t>
            </w:r>
          </w:p>
        </w:tc>
      </w:tr>
      <w:tr w:rsidR="00143C04" w:rsidRPr="007634EB" w:rsidTr="00D37B85">
        <w:trPr>
          <w:cantSplit/>
        </w:trPr>
        <w:tc>
          <w:tcPr>
            <w:tcW w:w="4786" w:type="dxa"/>
          </w:tcPr>
          <w:p w:rsidR="005C2FE0" w:rsidRPr="00AA5510" w:rsidRDefault="002E2402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sz w:val="20"/>
                <w:szCs w:val="20"/>
                <w:lang w:val="de-DE"/>
              </w:rPr>
              <w:t>Հաշվեքննության</w:t>
            </w:r>
            <w:r w:rsidR="00AF76D5" w:rsidRPr="00AA5510">
              <w:rPr>
                <w:rFonts w:ascii="GHEA Grapalat" w:hAnsi="GHEA Grapalat"/>
                <w:sz w:val="20"/>
                <w:szCs w:val="20"/>
                <w:lang w:val="de-DE"/>
              </w:rPr>
              <w:t xml:space="preserve"> ենթակա մարմնի ղեկավար անձանց </w:t>
            </w:r>
            <w:r w:rsidR="00AF76D5">
              <w:rPr>
                <w:rFonts w:ascii="GHEA Grapalat" w:hAnsi="GHEA Grapalat"/>
                <w:sz w:val="20"/>
                <w:szCs w:val="20"/>
                <w:lang w:val="de-DE"/>
              </w:rPr>
              <w:t xml:space="preserve">բացասական </w:t>
            </w:r>
            <w:r w:rsidR="00AF76D5" w:rsidRPr="00AA5510">
              <w:rPr>
                <w:rFonts w:ascii="GHEA Grapalat" w:hAnsi="GHEA Grapalat"/>
                <w:sz w:val="20"/>
                <w:szCs w:val="20"/>
                <w:lang w:val="de-DE"/>
              </w:rPr>
              <w:t>վարքագիծ</w:t>
            </w:r>
          </w:p>
        </w:tc>
        <w:tc>
          <w:tcPr>
            <w:tcW w:w="4790" w:type="dxa"/>
          </w:tcPr>
          <w:p w:rsidR="005C2FE0" w:rsidRPr="00AA5510" w:rsidRDefault="005C2FE0" w:rsidP="00AA5510">
            <w:pPr>
              <w:ind w:right="-449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FC43F3" w:rsidRPr="007634EB" w:rsidTr="00D37B85">
        <w:trPr>
          <w:cantSplit/>
        </w:trPr>
        <w:tc>
          <w:tcPr>
            <w:tcW w:w="4786" w:type="dxa"/>
          </w:tcPr>
          <w:p w:rsidR="00FC43F3" w:rsidRPr="00AA5510" w:rsidRDefault="00FC43F3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sz w:val="20"/>
                <w:szCs w:val="20"/>
                <w:lang w:val="de-DE"/>
              </w:rPr>
              <w:t>Կիրառելի օրենսդրական պահանջների տարաբնույթ մեկնաբանություններ</w:t>
            </w:r>
          </w:p>
        </w:tc>
        <w:tc>
          <w:tcPr>
            <w:tcW w:w="4790" w:type="dxa"/>
          </w:tcPr>
          <w:p w:rsidR="00FC43F3" w:rsidRPr="00AA5510" w:rsidRDefault="00FC43F3" w:rsidP="00AA5510">
            <w:pPr>
              <w:ind w:right="-449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143C04" w:rsidRPr="007634EB" w:rsidTr="00D37B85">
        <w:trPr>
          <w:cantSplit/>
        </w:trPr>
        <w:tc>
          <w:tcPr>
            <w:tcW w:w="4786" w:type="dxa"/>
          </w:tcPr>
          <w:p w:rsidR="005C2FE0" w:rsidRPr="00AA5510" w:rsidRDefault="00AF76D5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AA5510">
              <w:rPr>
                <w:rFonts w:ascii="GHEA Grapalat" w:hAnsi="GHEA Grapalat"/>
                <w:sz w:val="20"/>
                <w:szCs w:val="20"/>
                <w:lang w:val="de-DE"/>
              </w:rPr>
              <w:t xml:space="preserve">Ներքին հսկողության համակարգի </w:t>
            </w:r>
            <w:r>
              <w:rPr>
                <w:rFonts w:ascii="GHEA Grapalat" w:hAnsi="GHEA Grapalat"/>
                <w:sz w:val="20"/>
                <w:szCs w:val="20"/>
                <w:lang w:val="de-DE"/>
              </w:rPr>
              <w:t>ան</w:t>
            </w:r>
            <w:r w:rsidRPr="00AA5510">
              <w:rPr>
                <w:rFonts w:ascii="GHEA Grapalat" w:hAnsi="GHEA Grapalat"/>
                <w:sz w:val="20"/>
                <w:szCs w:val="20"/>
                <w:lang w:val="de-DE"/>
              </w:rPr>
              <w:t>արդյունավետությ</w:t>
            </w:r>
            <w:r>
              <w:rPr>
                <w:rFonts w:ascii="GHEA Grapalat" w:hAnsi="GHEA Grapalat"/>
                <w:sz w:val="20"/>
                <w:szCs w:val="20"/>
                <w:lang w:val="de-DE"/>
              </w:rPr>
              <w:t>ան վերաբերյալ տեղեկատվություն</w:t>
            </w:r>
          </w:p>
        </w:tc>
        <w:tc>
          <w:tcPr>
            <w:tcW w:w="4790" w:type="dxa"/>
          </w:tcPr>
          <w:p w:rsidR="005C2FE0" w:rsidRPr="00AA5510" w:rsidRDefault="005C2FE0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143C04" w:rsidRPr="007634EB" w:rsidTr="00D37B85">
        <w:trPr>
          <w:cantSplit/>
        </w:trPr>
        <w:tc>
          <w:tcPr>
            <w:tcW w:w="4786" w:type="dxa"/>
          </w:tcPr>
          <w:p w:rsidR="00023A4D" w:rsidRPr="00AA5510" w:rsidRDefault="00023A4D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4790" w:type="dxa"/>
          </w:tcPr>
          <w:p w:rsidR="00023A4D" w:rsidRPr="00AA5510" w:rsidRDefault="00023A4D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143C04" w:rsidRPr="007634EB" w:rsidTr="00D37B85">
        <w:trPr>
          <w:cantSplit/>
        </w:trPr>
        <w:tc>
          <w:tcPr>
            <w:tcW w:w="4786" w:type="dxa"/>
          </w:tcPr>
          <w:p w:rsidR="00023A4D" w:rsidRPr="00AA5510" w:rsidRDefault="00023A4D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4790" w:type="dxa"/>
          </w:tcPr>
          <w:p w:rsidR="00023A4D" w:rsidRPr="00AA5510" w:rsidRDefault="00023A4D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A0579C" w:rsidRPr="00506E26" w:rsidRDefault="00A0579C" w:rsidP="00C20BB2">
      <w:pPr>
        <w:jc w:val="both"/>
        <w:rPr>
          <w:rFonts w:ascii="GHEA Grapalat" w:hAnsi="GHEA Grapalat"/>
          <w:b/>
          <w:sz w:val="23"/>
          <w:szCs w:val="23"/>
          <w:highlight w:val="red"/>
          <w:lang w:val="de-DE"/>
        </w:rPr>
        <w:sectPr w:rsidR="00A0579C" w:rsidRPr="00506E26" w:rsidSect="005B79EB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p w:rsidR="005C2FE0" w:rsidRPr="00506E26" w:rsidRDefault="00FC43F3" w:rsidP="00D872AD">
      <w:pPr>
        <w:pStyle w:val="Heading2"/>
        <w:rPr>
          <w:lang w:val="de-DE"/>
        </w:rPr>
      </w:pPr>
      <w:r>
        <w:rPr>
          <w:lang w:val="de-DE"/>
        </w:rPr>
        <w:lastRenderedPageBreak/>
        <w:t>Գործառույթների</w:t>
      </w:r>
      <w:r w:rsidR="005C2FE0" w:rsidRPr="00506E26">
        <w:rPr>
          <w:lang w:val="de-DE"/>
        </w:rPr>
        <w:t xml:space="preserve"> մակարդակում ռիսկի գնահատում</w:t>
      </w:r>
    </w:p>
    <w:p w:rsidR="005C2FE0" w:rsidRPr="00506E26" w:rsidRDefault="00385253" w:rsidP="00D67993">
      <w:pPr>
        <w:pStyle w:val="Heading3"/>
        <w:rPr>
          <w:i/>
          <w:lang w:val="de-DE"/>
        </w:rPr>
      </w:pPr>
      <w:r w:rsidRPr="00506E26">
        <w:rPr>
          <w:lang w:val="de-DE"/>
        </w:rPr>
        <w:t xml:space="preserve">Բնորոշ և հսկողության ռիսկերի գնահատման </w:t>
      </w:r>
      <w:r w:rsidR="00351171">
        <w:rPr>
          <w:lang w:val="de-DE"/>
        </w:rPr>
        <w:t>մատրիցա</w:t>
      </w:r>
    </w:p>
    <w:p w:rsidR="00835E4B" w:rsidRDefault="00835E4B" w:rsidP="00C20BB2">
      <w:pPr>
        <w:jc w:val="both"/>
        <w:rPr>
          <w:rFonts w:ascii="GHEA Grapalat" w:hAnsi="GHEA Grapalat"/>
          <w:sz w:val="18"/>
          <w:szCs w:val="1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89"/>
        <w:gridCol w:w="318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59"/>
        <w:gridCol w:w="1096"/>
        <w:gridCol w:w="1035"/>
        <w:gridCol w:w="1118"/>
      </w:tblGrid>
      <w:tr w:rsidR="00AF76D5" w:rsidRPr="007634EB" w:rsidTr="001F1D7A">
        <w:trPr>
          <w:trHeight w:val="315"/>
        </w:trPr>
        <w:tc>
          <w:tcPr>
            <w:tcW w:w="2113" w:type="dxa"/>
            <w:gridSpan w:val="2"/>
            <w:vAlign w:val="center"/>
          </w:tcPr>
          <w:p w:rsidR="00AF76D5" w:rsidRPr="00D37B85" w:rsidRDefault="00AF76D5" w:rsidP="00D3280E">
            <w:pPr>
              <w:ind w:left="45"/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37B85">
              <w:rPr>
                <w:rFonts w:ascii="GHEA Grapalat" w:hAnsi="GHEA Grapalat"/>
                <w:b/>
                <w:sz w:val="18"/>
                <w:szCs w:val="18"/>
                <w:lang w:val="de-DE"/>
              </w:rPr>
              <w:t>Գործառույթ</w:t>
            </w:r>
          </w:p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905" w:type="dxa"/>
            <w:gridSpan w:val="6"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Տեղին հաստատումներ</w:t>
            </w:r>
          </w:p>
        </w:tc>
        <w:tc>
          <w:tcPr>
            <w:tcW w:w="1949" w:type="dxa"/>
            <w:gridSpan w:val="6"/>
            <w:vMerge w:val="restart"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Բնորոշ ռիսկերի վրա ազդող գործոններ</w:t>
            </w:r>
          </w:p>
        </w:tc>
        <w:tc>
          <w:tcPr>
            <w:tcW w:w="1096" w:type="dxa"/>
            <w:vMerge w:val="restart"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Բնորոշ ռիսկ </w:t>
            </w:r>
          </w:p>
        </w:tc>
        <w:tc>
          <w:tcPr>
            <w:tcW w:w="1035" w:type="dxa"/>
            <w:vMerge w:val="restart"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Հսկողության ռիսկ</w:t>
            </w:r>
          </w:p>
        </w:tc>
        <w:tc>
          <w:tcPr>
            <w:tcW w:w="1118" w:type="dxa"/>
            <w:vMerge w:val="restart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37B85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Էական 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անհամապատասխանությունների </w:t>
            </w:r>
            <w:r w:rsidRPr="00D37B85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ռիսկ                       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Բ/Մ/Ց</w:t>
            </w: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AF76D5" w:rsidRPr="002A71BC" w:rsidTr="001F1D7A">
        <w:trPr>
          <w:trHeight w:val="244"/>
        </w:trPr>
        <w:tc>
          <w:tcPr>
            <w:tcW w:w="1224" w:type="dxa"/>
            <w:vMerge w:val="restart"/>
          </w:tcPr>
          <w:p w:rsidR="00AF76D5" w:rsidRPr="002A71BC" w:rsidRDefault="00AF76D5" w:rsidP="00D3280E">
            <w:pPr>
              <w:ind w:left="4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Անվանում</w:t>
            </w:r>
          </w:p>
        </w:tc>
        <w:tc>
          <w:tcPr>
            <w:tcW w:w="889" w:type="dxa"/>
            <w:vMerge w:val="restart"/>
          </w:tcPr>
          <w:p w:rsidR="00AF76D5" w:rsidRPr="002A71BC" w:rsidRDefault="00AF76D5" w:rsidP="00D3280E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Գումարը (հազ. դրամ), եթե կիրառելի է</w:t>
            </w:r>
          </w:p>
        </w:tc>
        <w:tc>
          <w:tcPr>
            <w:tcW w:w="318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Տ</w:t>
            </w:r>
          </w:p>
        </w:tc>
        <w:tc>
          <w:tcPr>
            <w:tcW w:w="317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Ա</w:t>
            </w:r>
          </w:p>
        </w:tc>
        <w:tc>
          <w:tcPr>
            <w:tcW w:w="317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Ճ</w:t>
            </w:r>
          </w:p>
        </w:tc>
        <w:tc>
          <w:tcPr>
            <w:tcW w:w="317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Գ</w:t>
            </w:r>
          </w:p>
        </w:tc>
        <w:tc>
          <w:tcPr>
            <w:tcW w:w="318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Ի</w:t>
            </w:r>
          </w:p>
        </w:tc>
        <w:tc>
          <w:tcPr>
            <w:tcW w:w="318" w:type="dxa"/>
            <w:vMerge w:val="restart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Ն</w:t>
            </w:r>
          </w:p>
        </w:tc>
        <w:tc>
          <w:tcPr>
            <w:tcW w:w="1949" w:type="dxa"/>
            <w:gridSpan w:val="6"/>
            <w:vMerge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vMerge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35" w:type="dxa"/>
            <w:vMerge/>
          </w:tcPr>
          <w:p w:rsidR="00AF76D5" w:rsidRPr="002A71BC" w:rsidRDefault="00AF76D5" w:rsidP="00D3280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AF76D5" w:rsidRPr="00FC4E58" w:rsidTr="001F1D7A">
        <w:trPr>
          <w:trHeight w:val="2267"/>
        </w:trPr>
        <w:tc>
          <w:tcPr>
            <w:tcW w:w="1224" w:type="dxa"/>
            <w:vMerge/>
          </w:tcPr>
          <w:p w:rsidR="00AF76D5" w:rsidRPr="002A71BC" w:rsidRDefault="00AF76D5" w:rsidP="00D3280E">
            <w:pPr>
              <w:ind w:left="4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889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318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359" w:type="dxa"/>
            <w:vAlign w:val="center"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1096" w:type="dxa"/>
          </w:tcPr>
          <w:p w:rsidR="00AF76D5" w:rsidRPr="002A71BC" w:rsidRDefault="00AF76D5" w:rsidP="00D3280E">
            <w:pPr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3-6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Այո, 0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-2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Ոչ=&gt;Բ       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0-2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Այո, 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3-6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Ոչ =&gt; Ց</w:t>
            </w:r>
          </w:p>
        </w:tc>
        <w:tc>
          <w:tcPr>
            <w:tcW w:w="1035" w:type="dxa"/>
          </w:tcPr>
          <w:p w:rsidR="00AF76D5" w:rsidRDefault="00AF76D5" w:rsidP="00D3280E">
            <w:pPr>
              <w:spacing w:before="0" w:beforeAutospacing="0" w:after="0" w:afterAutospacing="0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Այո=&gt;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Ց*,</w:t>
            </w:r>
          </w:p>
          <w:p w:rsidR="00AF76D5" w:rsidRPr="002A71BC" w:rsidRDefault="00AF76D5" w:rsidP="00D3280E">
            <w:pPr>
              <w:spacing w:before="0" w:beforeAutospacing="0" w:after="0" w:afterAutospacing="0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Ոչ</w:t>
            </w: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</w:t>
            </w:r>
            <w:r w:rsidRPr="002A71BC">
              <w:rPr>
                <w:rFonts w:ascii="GHEA Grapalat" w:hAnsi="GHEA Grapalat"/>
                <w:b/>
                <w:sz w:val="18"/>
                <w:szCs w:val="18"/>
                <w:lang w:val="de-DE"/>
              </w:rPr>
              <w:t>=&gt;Բ</w:t>
            </w:r>
          </w:p>
        </w:tc>
        <w:tc>
          <w:tcPr>
            <w:tcW w:w="1118" w:type="dxa"/>
            <w:vMerge/>
          </w:tcPr>
          <w:p w:rsidR="00AF76D5" w:rsidRPr="002A71BC" w:rsidRDefault="00AF76D5" w:rsidP="00D3280E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AF76D5" w:rsidRPr="00FC4E58" w:rsidTr="001F1D7A">
        <w:trPr>
          <w:trHeight w:val="330"/>
        </w:trPr>
        <w:tc>
          <w:tcPr>
            <w:tcW w:w="1224" w:type="dxa"/>
          </w:tcPr>
          <w:p w:rsidR="00AF76D5" w:rsidRPr="002A71BC" w:rsidRDefault="00AF76D5" w:rsidP="00D3280E">
            <w:pPr>
              <w:ind w:left="4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889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59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35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AF76D5" w:rsidRPr="00FC4E58" w:rsidTr="001F1D7A">
        <w:trPr>
          <w:trHeight w:val="307"/>
        </w:trPr>
        <w:tc>
          <w:tcPr>
            <w:tcW w:w="1224" w:type="dxa"/>
          </w:tcPr>
          <w:p w:rsidR="00AF76D5" w:rsidRPr="002A71BC" w:rsidRDefault="00AF76D5" w:rsidP="00D3280E">
            <w:pPr>
              <w:ind w:left="4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889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7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59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35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18" w:type="dxa"/>
          </w:tcPr>
          <w:p w:rsidR="00AF76D5" w:rsidRPr="002A71BC" w:rsidRDefault="00AF76D5" w:rsidP="00D3280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</w:tbl>
    <w:p w:rsidR="00835E4B" w:rsidRPr="00506E26" w:rsidRDefault="00835E4B" w:rsidP="00C20BB2">
      <w:pPr>
        <w:jc w:val="both"/>
        <w:rPr>
          <w:rFonts w:ascii="GHEA Grapalat" w:hAnsi="GHEA Grapalat"/>
          <w:sz w:val="18"/>
          <w:szCs w:val="18"/>
          <w:lang w:val="de-DE"/>
        </w:rPr>
      </w:pPr>
    </w:p>
    <w:p w:rsidR="00F844A2" w:rsidRPr="00D37B85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 xml:space="preserve">Բարդ </w:t>
      </w:r>
      <w:r w:rsidR="00747E77" w:rsidRPr="00D37B85">
        <w:rPr>
          <w:rFonts w:ascii="GHEA Grapalat" w:hAnsi="GHEA Grapalat"/>
          <w:lang w:val="de-DE"/>
        </w:rPr>
        <w:t>գործընթացների և ենթագործառույթների ներառում</w:t>
      </w:r>
    </w:p>
    <w:p w:rsidR="00CC0520" w:rsidRPr="00D37B85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>Աշխատակիցների հոսունության բարձր մակարդակ</w:t>
      </w:r>
    </w:p>
    <w:p w:rsidR="00CC0520" w:rsidRPr="00D37B85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 xml:space="preserve">Նախորդ տարիների համեմատ </w:t>
      </w:r>
      <w:r w:rsidR="00747E77" w:rsidRPr="00D37B85">
        <w:rPr>
          <w:rFonts w:ascii="GHEA Grapalat" w:hAnsi="GHEA Grapalat"/>
          <w:lang w:val="de-DE"/>
        </w:rPr>
        <w:t xml:space="preserve">գործառույթների բնույթի </w:t>
      </w:r>
      <w:r w:rsidRPr="00D37B85">
        <w:rPr>
          <w:rFonts w:ascii="GHEA Grapalat" w:hAnsi="GHEA Grapalat"/>
          <w:lang w:val="de-DE"/>
        </w:rPr>
        <w:t xml:space="preserve">փոփոխության բարձր </w:t>
      </w:r>
      <w:r w:rsidR="00747E77" w:rsidRPr="00D37B85">
        <w:rPr>
          <w:rFonts w:ascii="GHEA Grapalat" w:hAnsi="GHEA Grapalat"/>
          <w:lang w:val="de-DE"/>
        </w:rPr>
        <w:t>մակարդակ</w:t>
      </w:r>
    </w:p>
    <w:p w:rsidR="00CC0520" w:rsidRPr="00D37B85" w:rsidRDefault="00747E77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>Գործառույթի հիմքում ընկած ֆինանսական գործառնությունների</w:t>
      </w:r>
      <w:r w:rsidR="00CC0520" w:rsidRPr="00D37B85">
        <w:rPr>
          <w:rFonts w:ascii="GHEA Grapalat" w:hAnsi="GHEA Grapalat"/>
          <w:lang w:val="de-DE"/>
        </w:rPr>
        <w:t xml:space="preserve"> գումարը ի համեմատություն էականության շեմի բարձր գումար է</w:t>
      </w:r>
    </w:p>
    <w:p w:rsidR="00747E77" w:rsidRPr="00D37B85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de-DE"/>
        </w:rPr>
      </w:pPr>
      <w:r w:rsidRPr="00D37B85">
        <w:rPr>
          <w:rFonts w:ascii="GHEA Grapalat" w:hAnsi="GHEA Grapalat"/>
          <w:lang w:val="de-DE"/>
        </w:rPr>
        <w:t>Նա</w:t>
      </w:r>
      <w:r w:rsidR="00A14B3F" w:rsidRPr="00D37B85">
        <w:rPr>
          <w:rFonts w:ascii="GHEA Grapalat" w:hAnsi="GHEA Grapalat"/>
          <w:lang w:val="de-DE"/>
        </w:rPr>
        <w:t xml:space="preserve">խորդ տարիներում հայտնաբերված </w:t>
      </w:r>
      <w:r w:rsidR="00747E77" w:rsidRPr="00D37B85">
        <w:rPr>
          <w:rFonts w:ascii="GHEA Grapalat" w:hAnsi="GHEA Grapalat"/>
          <w:lang w:val="de-DE"/>
        </w:rPr>
        <w:t>անհամապատասխանություններ</w:t>
      </w:r>
      <w:r w:rsidR="00A14B3F" w:rsidRPr="00D37B85">
        <w:rPr>
          <w:rFonts w:ascii="GHEA Grapalat" w:hAnsi="GHEA Grapalat"/>
          <w:lang w:val="de-DE"/>
        </w:rPr>
        <w:t xml:space="preserve"> առկայություն</w:t>
      </w:r>
      <w:r w:rsidR="00BB4DD1" w:rsidRPr="00D37B85">
        <w:rPr>
          <w:rFonts w:ascii="GHEA Grapalat" w:hAnsi="GHEA Grapalat"/>
          <w:lang w:val="de-DE"/>
        </w:rPr>
        <w:t xml:space="preserve">                                                                 </w:t>
      </w:r>
    </w:p>
    <w:p w:rsidR="00506E26" w:rsidRPr="00D37B85" w:rsidRDefault="00A14B3F" w:rsidP="00E260CD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3"/>
          <w:szCs w:val="23"/>
          <w:lang w:val="de-DE"/>
        </w:rPr>
      </w:pPr>
      <w:r w:rsidRPr="00D37B85">
        <w:rPr>
          <w:rFonts w:ascii="GHEA Grapalat" w:hAnsi="GHEA Grapalat"/>
          <w:lang w:val="de-DE"/>
        </w:rPr>
        <w:t>Նշել այլ առկա գործոններ</w:t>
      </w:r>
      <w:r w:rsidR="00BB4DD1" w:rsidRPr="00D37B85">
        <w:rPr>
          <w:rFonts w:ascii="GHEA Grapalat" w:hAnsi="GHEA Grapalat"/>
          <w:lang w:val="de-DE"/>
        </w:rPr>
        <w:t xml:space="preserve">   </w:t>
      </w:r>
    </w:p>
    <w:p w:rsidR="00AF76D5" w:rsidRPr="007634EB" w:rsidRDefault="00AF76D5" w:rsidP="00AF76D5">
      <w:pPr>
        <w:jc w:val="both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*</w:t>
      </w:r>
      <w:r w:rsidRPr="00CC5345">
        <w:rPr>
          <w:rFonts w:ascii="GHEA Grapalat" w:hAnsi="GHEA Grapalat"/>
          <w:lang w:val="de-DE"/>
        </w:rPr>
        <w:t xml:space="preserve">Պլանավորման փուլում, եթե </w:t>
      </w:r>
      <w:r w:rsidR="002E2402">
        <w:rPr>
          <w:rFonts w:ascii="GHEA Grapalat" w:hAnsi="GHEA Grapalat"/>
          <w:lang w:val="de-DE"/>
        </w:rPr>
        <w:t>հաշվեքննող</w:t>
      </w:r>
      <w:r w:rsidRPr="00CC5345">
        <w:rPr>
          <w:rFonts w:ascii="GHEA Grapalat" w:hAnsi="GHEA Grapalat"/>
          <w:lang w:val="de-DE"/>
        </w:rPr>
        <w:t xml:space="preserve">ը </w:t>
      </w:r>
      <w:r>
        <w:rPr>
          <w:rFonts w:ascii="GHEA Grapalat" w:hAnsi="GHEA Grapalat"/>
          <w:lang w:val="de-DE"/>
        </w:rPr>
        <w:t xml:space="preserve">հսկողության ռիսկը գնահատում է ցածր, ապա պետք է իրականացնի </w:t>
      </w:r>
      <w:r w:rsidRPr="00CC5345">
        <w:rPr>
          <w:rFonts w:ascii="GHEA Grapalat" w:hAnsi="GHEA Grapalat"/>
          <w:lang w:val="de-DE"/>
        </w:rPr>
        <w:t xml:space="preserve">հսկողության </w:t>
      </w:r>
      <w:r>
        <w:rPr>
          <w:rFonts w:ascii="GHEA Grapalat" w:hAnsi="GHEA Grapalat"/>
          <w:lang w:val="de-DE"/>
        </w:rPr>
        <w:t xml:space="preserve">թեստեր </w:t>
      </w:r>
      <w:r w:rsidRPr="00CC5345">
        <w:rPr>
          <w:rFonts w:ascii="GHEA Grapalat" w:hAnsi="GHEA Grapalat"/>
          <w:lang w:val="de-DE"/>
        </w:rPr>
        <w:t>պարզելու համար արդյո՞ք հսկողության գործընթացները արդյունավետ են նախագծված, ներդրված և ի վերջո արդյունավետ են գործում</w:t>
      </w:r>
      <w:r>
        <w:rPr>
          <w:rFonts w:ascii="GHEA Grapalat" w:hAnsi="GHEA Grapalat"/>
          <w:lang w:val="de-DE"/>
        </w:rPr>
        <w:t>: Եթե հսկողության գործընթացները գնահատվում են արդյունավետ</w:t>
      </w:r>
      <w:r w:rsidRPr="00CC5345">
        <w:rPr>
          <w:rFonts w:ascii="GHEA Grapalat" w:hAnsi="GHEA Grapalat"/>
          <w:lang w:val="de-DE"/>
        </w:rPr>
        <w:t>, ռիսկը շարունակում է գնահատվել ցածր:</w:t>
      </w:r>
      <w:r>
        <w:rPr>
          <w:rFonts w:ascii="GHEA Grapalat" w:hAnsi="GHEA Grapalat"/>
          <w:lang w:val="de-DE"/>
        </w:rPr>
        <w:t xml:space="preserve"> Հակառակ դեպքում, ռիսկը հարկավոր է վերանայել:</w:t>
      </w:r>
    </w:p>
    <w:p w:rsidR="001F1D7A" w:rsidRPr="007634EB" w:rsidRDefault="001F1D7A" w:rsidP="00AF76D5">
      <w:pPr>
        <w:jc w:val="both"/>
        <w:rPr>
          <w:rFonts w:ascii="GHEA Grapalat" w:hAnsi="GHEA Grapalat"/>
          <w:sz w:val="23"/>
          <w:szCs w:val="23"/>
          <w:lang w:val="de-DE"/>
        </w:rPr>
        <w:sectPr w:rsidR="001F1D7A" w:rsidRPr="007634EB" w:rsidSect="00506E26">
          <w:pgSz w:w="12240" w:h="15840" w:code="1"/>
          <w:pgMar w:top="1440" w:right="1800" w:bottom="1440" w:left="1440" w:header="720" w:footer="0" w:gutter="0"/>
          <w:cols w:space="720"/>
          <w:docGrid w:linePitch="360"/>
        </w:sectPr>
      </w:pPr>
    </w:p>
    <w:p w:rsidR="00835F9E" w:rsidRPr="00506E26" w:rsidRDefault="00D92785" w:rsidP="00D872AD">
      <w:pPr>
        <w:pStyle w:val="Heading2"/>
        <w:rPr>
          <w:lang w:val="de-DE"/>
        </w:rPr>
      </w:pPr>
      <w:r>
        <w:rPr>
          <w:lang w:val="de-DE"/>
        </w:rPr>
        <w:lastRenderedPageBreak/>
        <w:t>Գործառույթների</w:t>
      </w:r>
      <w:r w:rsidR="00562EBA" w:rsidRPr="00506E26">
        <w:rPr>
          <w:lang w:val="de-DE"/>
        </w:rPr>
        <w:t xml:space="preserve"> մակարդակում գնահատված ռսկերին արձագանքելու </w:t>
      </w:r>
      <w:r w:rsidR="005B15DA" w:rsidRPr="00506E26">
        <w:rPr>
          <w:lang w:val="de-DE"/>
        </w:rPr>
        <w:t xml:space="preserve">պլանավորված </w:t>
      </w:r>
      <w:r w:rsidR="002E2402">
        <w:rPr>
          <w:lang w:val="de-DE"/>
        </w:rPr>
        <w:t>հաշվեքննության</w:t>
      </w:r>
      <w:r w:rsidR="00562EBA" w:rsidRPr="00506E26">
        <w:rPr>
          <w:lang w:val="de-DE"/>
        </w:rPr>
        <w:t xml:space="preserve"> մոտեցում</w:t>
      </w:r>
      <w:r w:rsidR="0021326C" w:rsidRPr="00506E26">
        <w:rPr>
          <w:lang w:val="de-DE"/>
        </w:rPr>
        <w:t xml:space="preserve"> </w:t>
      </w:r>
      <w:r w:rsidR="00835F9E" w:rsidRPr="00506E26">
        <w:rPr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A14B3F" w:rsidRPr="00D67993" w:rsidRDefault="00835F9E" w:rsidP="00D67993">
      <w:pPr>
        <w:pStyle w:val="Heading3"/>
        <w:rPr>
          <w:i/>
          <w:sz w:val="23"/>
          <w:szCs w:val="23"/>
          <w:lang w:val="de-DE"/>
        </w:rPr>
      </w:pPr>
      <w:r w:rsidRPr="00D67993">
        <w:rPr>
          <w:lang w:val="de-DE"/>
        </w:rPr>
        <w:t>Պլանավորման մատրի</w:t>
      </w:r>
      <w:r w:rsidR="005B15DA" w:rsidRPr="00D67993">
        <w:rPr>
          <w:lang w:val="de-DE"/>
        </w:rPr>
        <w:t>ցա</w:t>
      </w:r>
      <w:r w:rsidRPr="00D67993">
        <w:rPr>
          <w:lang w:val="de-DE"/>
        </w:rPr>
        <w:t xml:space="preserve"> </w:t>
      </w:r>
      <w:r w:rsidRPr="00D67993">
        <w:rPr>
          <w:sz w:val="23"/>
          <w:szCs w:val="23"/>
          <w:lang w:val="de-D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493"/>
        <w:gridCol w:w="387"/>
        <w:gridCol w:w="387"/>
        <w:gridCol w:w="387"/>
        <w:gridCol w:w="387"/>
        <w:gridCol w:w="387"/>
        <w:gridCol w:w="1412"/>
        <w:gridCol w:w="1506"/>
        <w:gridCol w:w="1370"/>
        <w:gridCol w:w="1175"/>
        <w:gridCol w:w="1072"/>
        <w:gridCol w:w="1210"/>
        <w:gridCol w:w="1304"/>
      </w:tblGrid>
      <w:tr w:rsidR="00D92785" w:rsidRPr="00D67993" w:rsidTr="00D37B85">
        <w:trPr>
          <w:trHeight w:val="880"/>
        </w:trPr>
        <w:tc>
          <w:tcPr>
            <w:tcW w:w="1700" w:type="dxa"/>
            <w:vMerge w:val="restart"/>
            <w:vAlign w:val="center"/>
          </w:tcPr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D9278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Գործառույթ</w:t>
            </w:r>
          </w:p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40" w:type="dxa"/>
            <w:gridSpan w:val="7"/>
          </w:tcPr>
          <w:p w:rsidR="00D92785" w:rsidRPr="00D67993" w:rsidRDefault="00D92785" w:rsidP="00E55A49">
            <w:pPr>
              <w:spacing w:before="0" w:beforeAutospacing="0" w:after="200" w:afterAutospacing="0"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Էական անհամապատասխանությունների ռիսկ</w:t>
            </w:r>
          </w:p>
          <w:p w:rsidR="00D92785" w:rsidRPr="00D67993" w:rsidRDefault="00D92785" w:rsidP="00E55A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7636" w:type="dxa"/>
            <w:gridSpan w:val="6"/>
          </w:tcPr>
          <w:p w:rsidR="00D92785" w:rsidRPr="00D67993" w:rsidRDefault="002E2402" w:rsidP="00E55A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Հաշվեքննության</w:t>
            </w:r>
            <w:r w:rsidR="00D927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պլանավորման մոտեցում</w:t>
            </w:r>
          </w:p>
        </w:tc>
      </w:tr>
      <w:tr w:rsidR="00D92785" w:rsidRPr="00D67993" w:rsidTr="00D37B85">
        <w:trPr>
          <w:trHeight w:val="720"/>
        </w:trPr>
        <w:tc>
          <w:tcPr>
            <w:tcW w:w="1700" w:type="dxa"/>
            <w:vMerge/>
          </w:tcPr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2428" w:type="dxa"/>
            <w:gridSpan w:val="6"/>
          </w:tcPr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Տեղին հատատում</w:t>
            </w:r>
          </w:p>
        </w:tc>
        <w:tc>
          <w:tcPr>
            <w:tcW w:w="1412" w:type="dxa"/>
            <w:vMerge w:val="restart"/>
            <w:vAlign w:val="center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Խարդախության ռիսկ                      Այո/Ոչ</w:t>
            </w:r>
          </w:p>
        </w:tc>
        <w:tc>
          <w:tcPr>
            <w:tcW w:w="1506" w:type="dxa"/>
            <w:vMerge w:val="restart"/>
            <w:vAlign w:val="center"/>
          </w:tcPr>
          <w:p w:rsidR="00D92785" w:rsidRPr="00D67993" w:rsidRDefault="00D92785" w:rsidP="00D92785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Էական անհամապ. ռիսկ    Բարձր, միջին, ցածր</w:t>
            </w:r>
          </w:p>
        </w:tc>
        <w:tc>
          <w:tcPr>
            <w:tcW w:w="1370" w:type="dxa"/>
            <w:vMerge w:val="restart"/>
            <w:vAlign w:val="center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Փորձագետների ներգրավում   Այո/Ոչ</w:t>
            </w:r>
          </w:p>
        </w:tc>
        <w:tc>
          <w:tcPr>
            <w:tcW w:w="1175" w:type="dxa"/>
            <w:vMerge w:val="restart"/>
            <w:vAlign w:val="center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Հսկողության թեստեր     Այո/Ոչ</w:t>
            </w:r>
          </w:p>
        </w:tc>
        <w:tc>
          <w:tcPr>
            <w:tcW w:w="2281" w:type="dxa"/>
            <w:gridSpan w:val="2"/>
            <w:vAlign w:val="center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Ըստ </w:t>
            </w:r>
            <w:r w:rsidR="00D37B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էության թեստեր </w:t>
            </w:r>
          </w:p>
        </w:tc>
        <w:tc>
          <w:tcPr>
            <w:tcW w:w="1304" w:type="dxa"/>
            <w:vMerge w:val="restart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2E2402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de-DE"/>
              </w:rPr>
              <w:t>Հաշվեքննության</w:t>
            </w:r>
            <w:r w:rsidR="00D927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ընդհանուր մոտեցում  </w:t>
            </w:r>
          </w:p>
        </w:tc>
      </w:tr>
      <w:tr w:rsidR="00D92785" w:rsidRPr="007634EB" w:rsidTr="00D37B85">
        <w:trPr>
          <w:trHeight w:val="960"/>
        </w:trPr>
        <w:tc>
          <w:tcPr>
            <w:tcW w:w="1700" w:type="dxa"/>
            <w:vMerge/>
          </w:tcPr>
          <w:p w:rsidR="00D92785" w:rsidRPr="00D67993" w:rsidRDefault="00D927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Տ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Ա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Ճ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Գ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Ի</w:t>
            </w:r>
          </w:p>
        </w:tc>
        <w:tc>
          <w:tcPr>
            <w:tcW w:w="387" w:type="dxa"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Ն</w:t>
            </w:r>
          </w:p>
        </w:tc>
        <w:tc>
          <w:tcPr>
            <w:tcW w:w="1412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1" w:type="dxa"/>
          </w:tcPr>
          <w:p w:rsidR="00D92785" w:rsidRPr="00D67993" w:rsidRDefault="00D927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>Վերլուծական ընթացակարգեր</w:t>
            </w:r>
            <w:r w:rsidR="00D37B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Այո/Ոչ</w:t>
            </w:r>
          </w:p>
        </w:tc>
        <w:tc>
          <w:tcPr>
            <w:tcW w:w="1210" w:type="dxa"/>
          </w:tcPr>
          <w:p w:rsidR="00D92785" w:rsidRPr="00D67993" w:rsidRDefault="00D92785" w:rsidP="00CD60A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Մանրամասների </w:t>
            </w:r>
            <w:r w:rsidR="00CD60AE">
              <w:rPr>
                <w:rFonts w:ascii="GHEA Grapalat" w:hAnsi="GHEA Grapalat"/>
                <w:b/>
                <w:sz w:val="18"/>
                <w:szCs w:val="18"/>
                <w:lang w:val="ru-RU"/>
              </w:rPr>
              <w:t>ստուգման</w:t>
            </w:r>
            <w:r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թեստ</w:t>
            </w:r>
            <w:r w:rsidR="00D37B85" w:rsidRPr="00D67993">
              <w:rPr>
                <w:rFonts w:ascii="GHEA Grapalat" w:hAnsi="GHEA Grapalat"/>
                <w:b/>
                <w:sz w:val="18"/>
                <w:szCs w:val="18"/>
                <w:lang w:val="de-DE"/>
              </w:rPr>
              <w:t xml:space="preserve"> Այո/Ոչ</w:t>
            </w:r>
          </w:p>
        </w:tc>
        <w:tc>
          <w:tcPr>
            <w:tcW w:w="1304" w:type="dxa"/>
            <w:vMerge/>
          </w:tcPr>
          <w:p w:rsidR="00D92785" w:rsidRPr="00D67993" w:rsidRDefault="00D92785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7634EB" w:rsidTr="00D37B85">
        <w:trPr>
          <w:trHeight w:val="405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7634EB" w:rsidTr="00D37B85">
        <w:trPr>
          <w:trHeight w:val="375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7634EB" w:rsidTr="00D37B85">
        <w:trPr>
          <w:trHeight w:val="375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7634EB" w:rsidTr="00D37B85">
        <w:trPr>
          <w:trHeight w:val="420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7634EB" w:rsidTr="00D37B85">
        <w:trPr>
          <w:trHeight w:val="390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67993" w:rsidRDefault="00D37B85" w:rsidP="00C20BB2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  <w:tr w:rsidR="00D37B85" w:rsidRPr="007634EB" w:rsidTr="00D37B85">
        <w:trPr>
          <w:trHeight w:val="360"/>
        </w:trPr>
        <w:tc>
          <w:tcPr>
            <w:tcW w:w="1700" w:type="dxa"/>
          </w:tcPr>
          <w:p w:rsidR="00D37B85" w:rsidRPr="00D67993" w:rsidRDefault="00D37B85" w:rsidP="00C20BB2">
            <w:pPr>
              <w:ind w:left="165"/>
              <w:jc w:val="both"/>
              <w:rPr>
                <w:rFonts w:ascii="GHEA Grapalat" w:hAnsi="GHEA Grapalat" w:cs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493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387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506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70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175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072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209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  <w:tc>
          <w:tcPr>
            <w:tcW w:w="1304" w:type="dxa"/>
          </w:tcPr>
          <w:p w:rsidR="00D37B85" w:rsidRPr="00D37B85" w:rsidRDefault="00D37B85" w:rsidP="00E55A4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de-DE"/>
              </w:rPr>
            </w:pPr>
          </w:p>
        </w:tc>
      </w:tr>
    </w:tbl>
    <w:p w:rsidR="00A961BF" w:rsidRPr="00506E26" w:rsidRDefault="00A961BF" w:rsidP="00835E4B">
      <w:pPr>
        <w:jc w:val="both"/>
        <w:rPr>
          <w:rFonts w:ascii="GHEA Grapalat" w:hAnsi="GHEA Grapalat" w:cs="Sylfaen"/>
          <w:lang w:val="de-DE"/>
        </w:rPr>
      </w:pPr>
    </w:p>
    <w:sectPr w:rsidR="00A961BF" w:rsidRPr="00506E26" w:rsidSect="005C4038">
      <w:pgSz w:w="15840" w:h="12240" w:orient="landscape" w:code="1"/>
      <w:pgMar w:top="1440" w:right="1440" w:bottom="18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1C" w:rsidRDefault="0044671C">
      <w:r>
        <w:separator/>
      </w:r>
    </w:p>
  </w:endnote>
  <w:endnote w:type="continuationSeparator" w:id="0">
    <w:p w:rsidR="0044671C" w:rsidRDefault="004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9D" w:rsidRDefault="009B3909" w:rsidP="00BF5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99D" w:rsidRDefault="00070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476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B1C" w:rsidRDefault="009B3909">
        <w:pPr>
          <w:pStyle w:val="Footer"/>
          <w:jc w:val="right"/>
        </w:pPr>
        <w:r>
          <w:fldChar w:fldCharType="begin"/>
        </w:r>
        <w:r w:rsidR="003B5B1C">
          <w:instrText xml:space="preserve"> PAGE   \* MERGEFORMAT </w:instrText>
        </w:r>
        <w:r>
          <w:fldChar w:fldCharType="separate"/>
        </w:r>
        <w:r w:rsidR="00763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A1F" w:rsidRPr="003B5B1C" w:rsidRDefault="00C27A1F" w:rsidP="003B5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740"/>
      <w:gridCol w:w="4740"/>
    </w:tblGrid>
    <w:tr w:rsidR="0007099D">
      <w:tc>
        <w:tcPr>
          <w:tcW w:w="250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9B3909">
          <w:pPr>
            <w:spacing w:before="0" w:beforeAutospacing="0" w:after="150" w:afterAutospacing="0"/>
            <w:jc w:val="right"/>
          </w:pPr>
          <w:r>
            <w:fldChar w:fldCharType="begin"/>
          </w:r>
          <w:r w:rsidR="0007099D">
            <w:instrText>PAGE</w:instrText>
          </w:r>
          <w:r>
            <w:fldChar w:fldCharType="separate"/>
          </w:r>
          <w:r w:rsidR="0007099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jc w:val="right"/>
          </w:pPr>
        </w:p>
      </w:tc>
    </w:tr>
  </w:tbl>
  <w:p w:rsidR="0007099D" w:rsidRDefault="00070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1C" w:rsidRDefault="0044671C">
      <w:r>
        <w:separator/>
      </w:r>
    </w:p>
  </w:footnote>
  <w:footnote w:type="continuationSeparator" w:id="0">
    <w:p w:rsidR="0044671C" w:rsidRDefault="0044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740"/>
      <w:gridCol w:w="2370"/>
      <w:gridCol w:w="2370"/>
    </w:tblGrid>
    <w:tr w:rsidR="0007099D"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Pr="00E52E81" w:rsidRDefault="0007099D">
          <w:pPr>
            <w:spacing w:before="0" w:beforeAutospacing="0" w:after="150" w:afterAutospacing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425450" cy="436245"/>
                <wp:effectExtent l="19050" t="0" r="0" b="0"/>
                <wp:docPr id="8" name="Picture 2" descr="PH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H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PLANNING DOCUMENT</w:t>
          </w:r>
        </w:p>
      </w:tc>
    </w:tr>
    <w:tr w:rsidR="0007099D">
      <w:tc>
        <w:tcPr>
          <w:tcW w:w="250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Client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Period-end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W/P reference</w:t>
          </w:r>
        </w:p>
      </w:tc>
    </w:tr>
    <w:tr w:rsidR="0007099D">
      <w:tc>
        <w:tcPr>
          <w:tcW w:w="250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 w:rsidP="00AA5B79">
          <w:pPr>
            <w:spacing w:before="0" w:beforeAutospacing="0" w:after="150" w:afterAutospacing="0"/>
          </w:pPr>
          <w:r>
            <w:t>KIA  MOTORS Armenia cjsc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 w:rsidP="003511DB">
          <w:pPr>
            <w:spacing w:before="0" w:beforeAutospacing="0" w:after="150" w:afterAutospacing="0"/>
          </w:pPr>
          <w:r>
            <w:t>31 December 2010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07099D" w:rsidRDefault="0007099D">
          <w:pPr>
            <w:spacing w:before="0" w:beforeAutospacing="0" w:after="150" w:afterAutospacing="0"/>
          </w:pPr>
        </w:p>
      </w:tc>
    </w:tr>
  </w:tbl>
  <w:p w:rsidR="0007099D" w:rsidRDefault="00070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2FDE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73CB6"/>
    <w:multiLevelType w:val="hybridMultilevel"/>
    <w:tmpl w:val="3FA297A8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268"/>
    <w:multiLevelType w:val="hybridMultilevel"/>
    <w:tmpl w:val="FAEAACDA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277E"/>
    <w:multiLevelType w:val="hybridMultilevel"/>
    <w:tmpl w:val="79F078C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1239367A"/>
    <w:multiLevelType w:val="hybridMultilevel"/>
    <w:tmpl w:val="49DCE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137D"/>
    <w:multiLevelType w:val="multilevel"/>
    <w:tmpl w:val="A31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52EF5"/>
    <w:multiLevelType w:val="hybridMultilevel"/>
    <w:tmpl w:val="50A2E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8C2"/>
    <w:multiLevelType w:val="multilevel"/>
    <w:tmpl w:val="72D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144A18"/>
    <w:multiLevelType w:val="hybridMultilevel"/>
    <w:tmpl w:val="686C572C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701E9"/>
    <w:multiLevelType w:val="hybridMultilevel"/>
    <w:tmpl w:val="FED6F5D0"/>
    <w:lvl w:ilvl="0" w:tplc="1A6E41A6">
      <w:start w:val="1"/>
      <w:numFmt w:val="bullet"/>
      <w:lvlText w:val="n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B641336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197BFD"/>
    <w:multiLevelType w:val="multilevel"/>
    <w:tmpl w:val="D5222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9A0"/>
    <w:multiLevelType w:val="hybridMultilevel"/>
    <w:tmpl w:val="8892C5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17441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D20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822FCC"/>
    <w:multiLevelType w:val="multilevel"/>
    <w:tmpl w:val="E7429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C6714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2D4743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746C06"/>
    <w:multiLevelType w:val="singleLevel"/>
    <w:tmpl w:val="7520C13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20" w15:restartNumberingAfterBreak="0">
    <w:nsid w:val="42BE2DC9"/>
    <w:multiLevelType w:val="hybridMultilevel"/>
    <w:tmpl w:val="58D8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75F18"/>
    <w:multiLevelType w:val="multilevel"/>
    <w:tmpl w:val="EA92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26C77"/>
    <w:multiLevelType w:val="hybridMultilevel"/>
    <w:tmpl w:val="786AD6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B7F7A7F"/>
    <w:multiLevelType w:val="hybridMultilevel"/>
    <w:tmpl w:val="4B2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C408E"/>
    <w:multiLevelType w:val="multilevel"/>
    <w:tmpl w:val="D506F7A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isLgl/>
      <w:lvlText w:val="%1.%2.%3."/>
      <w:lvlJc w:val="left"/>
      <w:pPr>
        <w:ind w:left="1814" w:hanging="1080"/>
      </w:pPr>
      <w:rPr>
        <w:rFonts w:cs="Sylfae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548" w:hanging="144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0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829" w:hanging="216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376" w:hanging="2520"/>
      </w:pPr>
      <w:rPr>
        <w:rFonts w:cs="Sylfaen" w:hint="default"/>
      </w:rPr>
    </w:lvl>
  </w:abstractNum>
  <w:abstractNum w:abstractNumId="25" w15:restartNumberingAfterBreak="0">
    <w:nsid w:val="54D525BB"/>
    <w:multiLevelType w:val="multilevel"/>
    <w:tmpl w:val="68E6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82F43"/>
    <w:multiLevelType w:val="hybridMultilevel"/>
    <w:tmpl w:val="E9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054C7"/>
    <w:multiLevelType w:val="multilevel"/>
    <w:tmpl w:val="5888A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201019E"/>
    <w:multiLevelType w:val="multilevel"/>
    <w:tmpl w:val="C4A81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29" w15:restartNumberingAfterBreak="0">
    <w:nsid w:val="69B17162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6779F6"/>
    <w:multiLevelType w:val="hybridMultilevel"/>
    <w:tmpl w:val="4A46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44B72"/>
    <w:multiLevelType w:val="multilevel"/>
    <w:tmpl w:val="458A2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2" w15:restartNumberingAfterBreak="0">
    <w:nsid w:val="726E45D8"/>
    <w:multiLevelType w:val="hybridMultilevel"/>
    <w:tmpl w:val="C4F0C474"/>
    <w:lvl w:ilvl="0" w:tplc="72C69998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33" w15:restartNumberingAfterBreak="0">
    <w:nsid w:val="74757AAC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827578"/>
    <w:multiLevelType w:val="hybridMultilevel"/>
    <w:tmpl w:val="8C2E6CAC"/>
    <w:lvl w:ilvl="0" w:tplc="ED322B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27"/>
  </w:num>
  <w:num w:numId="8">
    <w:abstractNumId w:val="10"/>
  </w:num>
  <w:num w:numId="9">
    <w:abstractNumId w:val="32"/>
  </w:num>
  <w:num w:numId="10">
    <w:abstractNumId w:val="30"/>
  </w:num>
  <w:num w:numId="11">
    <w:abstractNumId w:val="22"/>
  </w:num>
  <w:num w:numId="12">
    <w:abstractNumId w:val="7"/>
  </w:num>
  <w:num w:numId="13">
    <w:abstractNumId w:val="13"/>
  </w:num>
  <w:num w:numId="14">
    <w:abstractNumId w:val="20"/>
  </w:num>
  <w:num w:numId="15">
    <w:abstractNumId w:val="19"/>
  </w:num>
  <w:num w:numId="16">
    <w:abstractNumId w:val="3"/>
  </w:num>
  <w:num w:numId="17">
    <w:abstractNumId w:val="23"/>
  </w:num>
  <w:num w:numId="18">
    <w:abstractNumId w:val="1"/>
  </w:num>
  <w:num w:numId="19">
    <w:abstractNumId w:val="2"/>
  </w:num>
  <w:num w:numId="20">
    <w:abstractNumId w:val="9"/>
  </w:num>
  <w:num w:numId="21">
    <w:abstractNumId w:val="4"/>
  </w:num>
  <w:num w:numId="22">
    <w:abstractNumId w:val="6"/>
  </w:num>
  <w:num w:numId="23">
    <w:abstractNumId w:val="34"/>
  </w:num>
  <w:num w:numId="24">
    <w:abstractNumId w:val="26"/>
  </w:num>
  <w:num w:numId="25">
    <w:abstractNumId w:val="24"/>
  </w:num>
  <w:num w:numId="26">
    <w:abstractNumId w:val="17"/>
  </w:num>
  <w:num w:numId="27">
    <w:abstractNumId w:val="15"/>
  </w:num>
  <w:num w:numId="28">
    <w:abstractNumId w:val="11"/>
  </w:num>
  <w:num w:numId="29">
    <w:abstractNumId w:val="0"/>
  </w:num>
  <w:num w:numId="30">
    <w:abstractNumId w:val="18"/>
  </w:num>
  <w:num w:numId="31">
    <w:abstractNumId w:val="29"/>
  </w:num>
  <w:num w:numId="32">
    <w:abstractNumId w:val="14"/>
  </w:num>
  <w:num w:numId="33">
    <w:abstractNumId w:val="33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743"/>
    <w:rsid w:val="00023A4D"/>
    <w:rsid w:val="00033F63"/>
    <w:rsid w:val="00040B68"/>
    <w:rsid w:val="000445B5"/>
    <w:rsid w:val="0007099D"/>
    <w:rsid w:val="00075F3F"/>
    <w:rsid w:val="0007790C"/>
    <w:rsid w:val="0008166E"/>
    <w:rsid w:val="00082E89"/>
    <w:rsid w:val="00085FD5"/>
    <w:rsid w:val="0009229B"/>
    <w:rsid w:val="00096D97"/>
    <w:rsid w:val="000A61EA"/>
    <w:rsid w:val="000A6F5D"/>
    <w:rsid w:val="000B6639"/>
    <w:rsid w:val="000C0234"/>
    <w:rsid w:val="000D4CEC"/>
    <w:rsid w:val="000E5427"/>
    <w:rsid w:val="000F0308"/>
    <w:rsid w:val="000F3092"/>
    <w:rsid w:val="00116393"/>
    <w:rsid w:val="00127DB6"/>
    <w:rsid w:val="001422AE"/>
    <w:rsid w:val="00143C04"/>
    <w:rsid w:val="001550DB"/>
    <w:rsid w:val="00181BC4"/>
    <w:rsid w:val="00186178"/>
    <w:rsid w:val="0019160F"/>
    <w:rsid w:val="001954F2"/>
    <w:rsid w:val="001A2713"/>
    <w:rsid w:val="001B08B5"/>
    <w:rsid w:val="001B773C"/>
    <w:rsid w:val="001C304E"/>
    <w:rsid w:val="001C76C9"/>
    <w:rsid w:val="001F1D7A"/>
    <w:rsid w:val="001F5C1D"/>
    <w:rsid w:val="0021292B"/>
    <w:rsid w:val="002129BD"/>
    <w:rsid w:val="0021326C"/>
    <w:rsid w:val="00213BCE"/>
    <w:rsid w:val="00230DA9"/>
    <w:rsid w:val="00232CCE"/>
    <w:rsid w:val="00243BA0"/>
    <w:rsid w:val="002545A5"/>
    <w:rsid w:val="00271789"/>
    <w:rsid w:val="00271953"/>
    <w:rsid w:val="002829DD"/>
    <w:rsid w:val="002968DD"/>
    <w:rsid w:val="002A4F8E"/>
    <w:rsid w:val="002B4283"/>
    <w:rsid w:val="002D0A46"/>
    <w:rsid w:val="002D5B42"/>
    <w:rsid w:val="002D5EBA"/>
    <w:rsid w:val="002D7CEA"/>
    <w:rsid w:val="002E0D4C"/>
    <w:rsid w:val="002E2402"/>
    <w:rsid w:val="003148FD"/>
    <w:rsid w:val="003255F5"/>
    <w:rsid w:val="00351171"/>
    <w:rsid w:val="003511DB"/>
    <w:rsid w:val="00366582"/>
    <w:rsid w:val="00367FBB"/>
    <w:rsid w:val="00385253"/>
    <w:rsid w:val="003A2B1F"/>
    <w:rsid w:val="003A78C2"/>
    <w:rsid w:val="003B0B81"/>
    <w:rsid w:val="003B0E0A"/>
    <w:rsid w:val="003B321C"/>
    <w:rsid w:val="003B34C9"/>
    <w:rsid w:val="003B56BF"/>
    <w:rsid w:val="003B5B1C"/>
    <w:rsid w:val="003B6B3F"/>
    <w:rsid w:val="003B6DFA"/>
    <w:rsid w:val="003C4033"/>
    <w:rsid w:val="003F051B"/>
    <w:rsid w:val="003F1486"/>
    <w:rsid w:val="00404FBF"/>
    <w:rsid w:val="004065B0"/>
    <w:rsid w:val="0041027A"/>
    <w:rsid w:val="004102CD"/>
    <w:rsid w:val="00412997"/>
    <w:rsid w:val="00412EB6"/>
    <w:rsid w:val="0044671C"/>
    <w:rsid w:val="00447AC0"/>
    <w:rsid w:val="00447CCB"/>
    <w:rsid w:val="00453319"/>
    <w:rsid w:val="00455A24"/>
    <w:rsid w:val="00460BF4"/>
    <w:rsid w:val="004663D0"/>
    <w:rsid w:val="0046725E"/>
    <w:rsid w:val="004721E6"/>
    <w:rsid w:val="004743B6"/>
    <w:rsid w:val="004749F0"/>
    <w:rsid w:val="004A002A"/>
    <w:rsid w:val="004B0F3C"/>
    <w:rsid w:val="004C2203"/>
    <w:rsid w:val="004C7392"/>
    <w:rsid w:val="004D03ED"/>
    <w:rsid w:val="004D20BE"/>
    <w:rsid w:val="005009BF"/>
    <w:rsid w:val="00506E26"/>
    <w:rsid w:val="00534529"/>
    <w:rsid w:val="005349BD"/>
    <w:rsid w:val="00550721"/>
    <w:rsid w:val="0055198F"/>
    <w:rsid w:val="00552BD1"/>
    <w:rsid w:val="00552F77"/>
    <w:rsid w:val="00555B51"/>
    <w:rsid w:val="005625B6"/>
    <w:rsid w:val="00562EBA"/>
    <w:rsid w:val="00563534"/>
    <w:rsid w:val="005A4E79"/>
    <w:rsid w:val="005B15DA"/>
    <w:rsid w:val="005B79EB"/>
    <w:rsid w:val="005C2FE0"/>
    <w:rsid w:val="005C4038"/>
    <w:rsid w:val="005D28CB"/>
    <w:rsid w:val="005D470D"/>
    <w:rsid w:val="005D50DA"/>
    <w:rsid w:val="005E5989"/>
    <w:rsid w:val="00603D17"/>
    <w:rsid w:val="00615B86"/>
    <w:rsid w:val="00630E65"/>
    <w:rsid w:val="00645661"/>
    <w:rsid w:val="00646ED1"/>
    <w:rsid w:val="00670B08"/>
    <w:rsid w:val="00671D7B"/>
    <w:rsid w:val="00673DAF"/>
    <w:rsid w:val="006805F2"/>
    <w:rsid w:val="00690180"/>
    <w:rsid w:val="00691967"/>
    <w:rsid w:val="006B2942"/>
    <w:rsid w:val="00703CEA"/>
    <w:rsid w:val="007069ED"/>
    <w:rsid w:val="00712D7B"/>
    <w:rsid w:val="00712DFA"/>
    <w:rsid w:val="00747E77"/>
    <w:rsid w:val="00753550"/>
    <w:rsid w:val="007614A8"/>
    <w:rsid w:val="007634EB"/>
    <w:rsid w:val="00764CD8"/>
    <w:rsid w:val="00780071"/>
    <w:rsid w:val="00784781"/>
    <w:rsid w:val="007A01C4"/>
    <w:rsid w:val="007A0C09"/>
    <w:rsid w:val="007A0E55"/>
    <w:rsid w:val="007A71F5"/>
    <w:rsid w:val="007A7844"/>
    <w:rsid w:val="007A7A68"/>
    <w:rsid w:val="007B6769"/>
    <w:rsid w:val="007C02C0"/>
    <w:rsid w:val="007D2FE3"/>
    <w:rsid w:val="00804B4C"/>
    <w:rsid w:val="008111B7"/>
    <w:rsid w:val="00812027"/>
    <w:rsid w:val="008210E5"/>
    <w:rsid w:val="00827018"/>
    <w:rsid w:val="008318E8"/>
    <w:rsid w:val="00835E4B"/>
    <w:rsid w:val="00835F9E"/>
    <w:rsid w:val="00866090"/>
    <w:rsid w:val="00873861"/>
    <w:rsid w:val="008763D2"/>
    <w:rsid w:val="00883CCB"/>
    <w:rsid w:val="00894A26"/>
    <w:rsid w:val="008A4071"/>
    <w:rsid w:val="008A45D1"/>
    <w:rsid w:val="008A5DF1"/>
    <w:rsid w:val="008B3C6F"/>
    <w:rsid w:val="008D54D4"/>
    <w:rsid w:val="008E1A7C"/>
    <w:rsid w:val="008F2AD8"/>
    <w:rsid w:val="008F6862"/>
    <w:rsid w:val="00905790"/>
    <w:rsid w:val="0090671C"/>
    <w:rsid w:val="00916DB0"/>
    <w:rsid w:val="00926FAD"/>
    <w:rsid w:val="00941B3D"/>
    <w:rsid w:val="00944EDF"/>
    <w:rsid w:val="00964B13"/>
    <w:rsid w:val="009706F6"/>
    <w:rsid w:val="00972F61"/>
    <w:rsid w:val="00973ECB"/>
    <w:rsid w:val="00985F8D"/>
    <w:rsid w:val="00993AC2"/>
    <w:rsid w:val="009A412E"/>
    <w:rsid w:val="009A68B6"/>
    <w:rsid w:val="009B20FF"/>
    <w:rsid w:val="009B2257"/>
    <w:rsid w:val="009B3909"/>
    <w:rsid w:val="009C636F"/>
    <w:rsid w:val="009C7D3E"/>
    <w:rsid w:val="009D5179"/>
    <w:rsid w:val="009F040E"/>
    <w:rsid w:val="009F33DE"/>
    <w:rsid w:val="00A02ECA"/>
    <w:rsid w:val="00A04EEA"/>
    <w:rsid w:val="00A0579C"/>
    <w:rsid w:val="00A1445A"/>
    <w:rsid w:val="00A14B3F"/>
    <w:rsid w:val="00A16FA1"/>
    <w:rsid w:val="00A1793E"/>
    <w:rsid w:val="00A34177"/>
    <w:rsid w:val="00A40B67"/>
    <w:rsid w:val="00A63FE3"/>
    <w:rsid w:val="00A745FA"/>
    <w:rsid w:val="00A850F0"/>
    <w:rsid w:val="00A937DB"/>
    <w:rsid w:val="00A961BF"/>
    <w:rsid w:val="00AA0F90"/>
    <w:rsid w:val="00AA5510"/>
    <w:rsid w:val="00AA5B79"/>
    <w:rsid w:val="00AA6D83"/>
    <w:rsid w:val="00AF2672"/>
    <w:rsid w:val="00AF2ACD"/>
    <w:rsid w:val="00AF59D1"/>
    <w:rsid w:val="00AF76D5"/>
    <w:rsid w:val="00B145BA"/>
    <w:rsid w:val="00B17A0D"/>
    <w:rsid w:val="00B20F7E"/>
    <w:rsid w:val="00B23367"/>
    <w:rsid w:val="00B27478"/>
    <w:rsid w:val="00B513E1"/>
    <w:rsid w:val="00B60630"/>
    <w:rsid w:val="00B63112"/>
    <w:rsid w:val="00B657F3"/>
    <w:rsid w:val="00B73E6F"/>
    <w:rsid w:val="00B835F9"/>
    <w:rsid w:val="00BB4DD1"/>
    <w:rsid w:val="00BE1CBA"/>
    <w:rsid w:val="00BE258D"/>
    <w:rsid w:val="00BF5047"/>
    <w:rsid w:val="00BF5743"/>
    <w:rsid w:val="00C06F7C"/>
    <w:rsid w:val="00C11D2E"/>
    <w:rsid w:val="00C125EC"/>
    <w:rsid w:val="00C1481F"/>
    <w:rsid w:val="00C20917"/>
    <w:rsid w:val="00C20BB2"/>
    <w:rsid w:val="00C24C6E"/>
    <w:rsid w:val="00C259A6"/>
    <w:rsid w:val="00C27A1F"/>
    <w:rsid w:val="00C3356F"/>
    <w:rsid w:val="00C463D8"/>
    <w:rsid w:val="00C5081D"/>
    <w:rsid w:val="00C640F5"/>
    <w:rsid w:val="00C644E3"/>
    <w:rsid w:val="00C746F0"/>
    <w:rsid w:val="00C7492A"/>
    <w:rsid w:val="00C84F3E"/>
    <w:rsid w:val="00C853C5"/>
    <w:rsid w:val="00C90B1E"/>
    <w:rsid w:val="00C94998"/>
    <w:rsid w:val="00C97B27"/>
    <w:rsid w:val="00CB5B7F"/>
    <w:rsid w:val="00CC0520"/>
    <w:rsid w:val="00CC1203"/>
    <w:rsid w:val="00CC5345"/>
    <w:rsid w:val="00CD60AE"/>
    <w:rsid w:val="00CE1684"/>
    <w:rsid w:val="00CF110D"/>
    <w:rsid w:val="00CF1AC2"/>
    <w:rsid w:val="00D14A63"/>
    <w:rsid w:val="00D16C3E"/>
    <w:rsid w:val="00D37B85"/>
    <w:rsid w:val="00D43B94"/>
    <w:rsid w:val="00D46E55"/>
    <w:rsid w:val="00D635FF"/>
    <w:rsid w:val="00D67993"/>
    <w:rsid w:val="00D75DE4"/>
    <w:rsid w:val="00D872AD"/>
    <w:rsid w:val="00D92785"/>
    <w:rsid w:val="00DA2611"/>
    <w:rsid w:val="00DB4156"/>
    <w:rsid w:val="00DB4DA2"/>
    <w:rsid w:val="00DC2421"/>
    <w:rsid w:val="00DC42CE"/>
    <w:rsid w:val="00DD24ED"/>
    <w:rsid w:val="00DD4A25"/>
    <w:rsid w:val="00DD7645"/>
    <w:rsid w:val="00DE2882"/>
    <w:rsid w:val="00DE2DF8"/>
    <w:rsid w:val="00DF0E56"/>
    <w:rsid w:val="00DF1A5B"/>
    <w:rsid w:val="00DF2E9B"/>
    <w:rsid w:val="00E11EAF"/>
    <w:rsid w:val="00E17F1B"/>
    <w:rsid w:val="00E25399"/>
    <w:rsid w:val="00E25FB3"/>
    <w:rsid w:val="00E32D5F"/>
    <w:rsid w:val="00E344F9"/>
    <w:rsid w:val="00E475D8"/>
    <w:rsid w:val="00E522C7"/>
    <w:rsid w:val="00E52E81"/>
    <w:rsid w:val="00E556B0"/>
    <w:rsid w:val="00E55A49"/>
    <w:rsid w:val="00E63547"/>
    <w:rsid w:val="00E77E45"/>
    <w:rsid w:val="00E87C56"/>
    <w:rsid w:val="00EA3C1E"/>
    <w:rsid w:val="00EA4F2E"/>
    <w:rsid w:val="00EB1D25"/>
    <w:rsid w:val="00EC1C66"/>
    <w:rsid w:val="00EC751E"/>
    <w:rsid w:val="00EF09E8"/>
    <w:rsid w:val="00F03CD7"/>
    <w:rsid w:val="00F04D1B"/>
    <w:rsid w:val="00F13002"/>
    <w:rsid w:val="00F13E4B"/>
    <w:rsid w:val="00F230F3"/>
    <w:rsid w:val="00F844A2"/>
    <w:rsid w:val="00FA202E"/>
    <w:rsid w:val="00FA6812"/>
    <w:rsid w:val="00FB77EF"/>
    <w:rsid w:val="00FC437C"/>
    <w:rsid w:val="00FC43F3"/>
    <w:rsid w:val="00FD12D9"/>
    <w:rsid w:val="00FE39F0"/>
    <w:rsid w:val="00FE4718"/>
    <w:rsid w:val="00FF33F4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26DA0"/>
  <w15:docId w15:val="{95B550D9-FDD7-4543-88D7-519F871B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61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link w:val="Heading1Char"/>
    <w:uiPriority w:val="99"/>
    <w:qFormat/>
    <w:rsid w:val="00D67993"/>
    <w:pPr>
      <w:pageBreakBefore/>
      <w:numPr>
        <w:numId w:val="25"/>
      </w:numPr>
      <w:spacing w:before="240" w:beforeAutospacing="0" w:after="120" w:afterAutospacing="0"/>
      <w:ind w:left="357" w:hanging="357"/>
      <w:jc w:val="both"/>
      <w:outlineLvl w:val="0"/>
    </w:pPr>
    <w:rPr>
      <w:rFonts w:ascii="GHEA Grapalat" w:hAnsi="GHEA Grapalat" w:cs="Sylfaen"/>
      <w:b/>
      <w:bCs/>
      <w:caps/>
      <w:kern w:val="36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9"/>
    <w:qFormat/>
    <w:rsid w:val="00D872AD"/>
    <w:pPr>
      <w:keepNext/>
      <w:numPr>
        <w:ilvl w:val="1"/>
        <w:numId w:val="35"/>
      </w:numPr>
      <w:spacing w:before="240" w:beforeAutospacing="0" w:after="120" w:afterAutospacing="0"/>
      <w:ind w:left="567" w:hanging="567"/>
      <w:jc w:val="both"/>
      <w:outlineLvl w:val="1"/>
    </w:pPr>
    <w:rPr>
      <w:rFonts w:ascii="GHEA Grapalat" w:hAnsi="GHEA Grapalat" w:cs="Sylfaen"/>
      <w:b/>
      <w:bCs/>
      <w:smallCaps/>
    </w:rPr>
  </w:style>
  <w:style w:type="paragraph" w:styleId="Heading3">
    <w:name w:val="heading 3"/>
    <w:basedOn w:val="Normal"/>
    <w:link w:val="Heading3Char"/>
    <w:uiPriority w:val="99"/>
    <w:qFormat/>
    <w:rsid w:val="00D67993"/>
    <w:pPr>
      <w:numPr>
        <w:ilvl w:val="2"/>
        <w:numId w:val="25"/>
      </w:numPr>
      <w:spacing w:before="240" w:beforeAutospacing="0" w:after="120" w:afterAutospacing="0"/>
      <w:ind w:left="1418" w:hanging="851"/>
      <w:jc w:val="both"/>
      <w:outlineLvl w:val="2"/>
    </w:pPr>
    <w:rPr>
      <w:rFonts w:ascii="GHEA Grapalat" w:hAnsi="GHEA Grapalat" w:cs="Sylfaen"/>
      <w:b/>
      <w:bCs/>
      <w:iCs/>
    </w:rPr>
  </w:style>
  <w:style w:type="paragraph" w:styleId="Heading4">
    <w:name w:val="heading 4"/>
    <w:basedOn w:val="Normal"/>
    <w:link w:val="Heading4Char"/>
    <w:uiPriority w:val="99"/>
    <w:qFormat/>
    <w:rsid w:val="00645661"/>
    <w:pPr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993"/>
    <w:rPr>
      <w:rFonts w:ascii="GHEA Grapalat" w:hAnsi="GHEA Grapalat" w:cs="Sylfaen"/>
      <w:b/>
      <w:bCs/>
      <w:cap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2AD"/>
    <w:rPr>
      <w:rFonts w:ascii="GHEA Grapalat" w:hAnsi="GHEA Grapalat" w:cs="Sylfaen"/>
      <w:b/>
      <w:bCs/>
      <w:smallCap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7993"/>
    <w:rPr>
      <w:rFonts w:ascii="GHEA Grapalat" w:hAnsi="GHEA Grapalat" w:cs="Sylfaen"/>
      <w:b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4566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64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661"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45661"/>
    <w:pPr>
      <w:spacing w:before="0" w:beforeAutospacing="0" w:after="120" w:afterAutospacing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5661"/>
    <w:pPr>
      <w:spacing w:before="0" w:beforeAutospacing="0" w:after="120" w:afterAutospacing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6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45661"/>
    <w:pPr>
      <w:spacing w:before="0" w:beforeAutospacing="0" w:after="120" w:afterAutospacing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61"/>
    <w:rPr>
      <w:rFonts w:cs="Times New Roman"/>
      <w:lang w:val="en-US" w:eastAsia="en-US"/>
    </w:rPr>
  </w:style>
  <w:style w:type="paragraph" w:customStyle="1" w:styleId="ktc">
    <w:name w:val="ktc"/>
    <w:basedOn w:val="Normal"/>
    <w:uiPriority w:val="99"/>
    <w:rsid w:val="00645661"/>
    <w:pPr>
      <w:pBdr>
        <w:bottom w:val="single" w:sz="6" w:space="0" w:color="000000"/>
      </w:pBdr>
      <w:spacing w:before="0" w:beforeAutospacing="0" w:after="120" w:afterAutospacing="0"/>
    </w:pPr>
    <w:rPr>
      <w:sz w:val="24"/>
      <w:szCs w:val="24"/>
    </w:rPr>
  </w:style>
  <w:style w:type="paragraph" w:customStyle="1" w:styleId="pagebreak">
    <w:name w:val="pagebreak"/>
    <w:basedOn w:val="Normal"/>
    <w:uiPriority w:val="99"/>
    <w:rsid w:val="00645661"/>
    <w:pPr>
      <w:pageBreakBefore/>
      <w:spacing w:before="0" w:beforeAutospacing="0" w:after="120" w:afterAutospacing="0"/>
    </w:pPr>
    <w:rPr>
      <w:sz w:val="24"/>
      <w:szCs w:val="24"/>
    </w:rPr>
  </w:style>
  <w:style w:type="paragraph" w:customStyle="1" w:styleId="lineunder">
    <w:name w:val="lineunder"/>
    <w:basedOn w:val="Normal"/>
    <w:uiPriority w:val="99"/>
    <w:rsid w:val="00645661"/>
    <w:pPr>
      <w:pBdr>
        <w:bottom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lineover">
    <w:name w:val="lineover"/>
    <w:basedOn w:val="Normal"/>
    <w:uiPriority w:val="99"/>
    <w:rsid w:val="00645661"/>
    <w:pPr>
      <w:pBdr>
        <w:top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symbol">
    <w:name w:val="symbol"/>
    <w:basedOn w:val="Normal"/>
    <w:uiPriority w:val="99"/>
    <w:rsid w:val="00645661"/>
    <w:pPr>
      <w:spacing w:before="0" w:beforeAutospacing="0" w:after="120" w:afterAutospacing="0"/>
    </w:pPr>
    <w:rPr>
      <w:rFonts w:ascii="Symbol" w:hAnsi="Symbol"/>
      <w:sz w:val="24"/>
      <w:szCs w:val="24"/>
    </w:rPr>
  </w:style>
  <w:style w:type="paragraph" w:customStyle="1" w:styleId="kpmginclude">
    <w:name w:val="kpmginclude"/>
    <w:basedOn w:val="Normal"/>
    <w:uiPriority w:val="99"/>
    <w:rsid w:val="00645661"/>
    <w:pPr>
      <w:shd w:val="clear" w:color="auto" w:fill="00FFFF"/>
      <w:spacing w:before="0" w:beforeAutospacing="0" w:after="120" w:afterAutospacing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57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85F8D"/>
    <w:pPr>
      <w:spacing w:before="0" w:beforeAutospacing="0" w:after="0" w:afterAutospacing="0"/>
      <w:ind w:left="97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5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743B6"/>
    <w:pPr>
      <w:ind w:left="720"/>
      <w:contextualSpacing/>
    </w:pPr>
  </w:style>
  <w:style w:type="paragraph" w:customStyle="1" w:styleId="Text">
    <w:name w:val="Text"/>
    <w:rsid w:val="00B17A0D"/>
    <w:pPr>
      <w:spacing w:before="240" w:after="0" w:line="260" w:lineRule="atLeast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C84F3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5C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1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1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0E56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A5510"/>
    <w:pPr>
      <w:tabs>
        <w:tab w:val="left" w:pos="440"/>
        <w:tab w:val="right" w:leader="dot" w:pos="9350"/>
      </w:tabs>
      <w:spacing w:before="40" w:beforeAutospacing="0" w:after="40" w:afterAutospacing="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DF0E5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0E56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B96A-7C12-4E66-AF0E-BD13F955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KPMG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cp:lastModifiedBy>hkarapet@mail.ru</cp:lastModifiedBy>
  <cp:revision>70</cp:revision>
  <cp:lastPrinted>2014-08-01T09:27:00Z</cp:lastPrinted>
  <dcterms:created xsi:type="dcterms:W3CDTF">2012-02-07T12:14:00Z</dcterms:created>
  <dcterms:modified xsi:type="dcterms:W3CDTF">2022-04-06T12:32:00Z</dcterms:modified>
</cp:coreProperties>
</file>