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1C" w:rsidRPr="0025691C" w:rsidRDefault="0025691C" w:rsidP="00E9191A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color w:val="000000"/>
          <w:sz w:val="19"/>
          <w:szCs w:val="19"/>
        </w:rPr>
      </w:pPr>
    </w:p>
    <w:p w:rsidR="00E2172E" w:rsidRPr="00E21538" w:rsidRDefault="00E2172E" w:rsidP="00E2172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proofErr w:type="gramStart"/>
      <w:r w:rsidRPr="00E21538">
        <w:rPr>
          <w:rFonts w:ascii="GHEA Grapalat" w:eastAsia="Times New Roman" w:hAnsi="GHEA Grapalat"/>
          <w:color w:val="000000"/>
          <w:sz w:val="20"/>
          <w:szCs w:val="20"/>
        </w:rPr>
        <w:t>Հաստատված</w:t>
      </w:r>
      <w:proofErr w:type="spellEnd"/>
      <w:r w:rsidRPr="00E21538">
        <w:rPr>
          <w:rFonts w:ascii="GHEA Grapalat" w:eastAsia="Times New Roman" w:hAnsi="GHEA Grapalat"/>
          <w:color w:val="000000"/>
          <w:sz w:val="20"/>
          <w:szCs w:val="20"/>
        </w:rPr>
        <w:t xml:space="preserve">  է</w:t>
      </w:r>
      <w:proofErr w:type="gramEnd"/>
    </w:p>
    <w:p w:rsidR="00E2172E" w:rsidRPr="00E21538" w:rsidRDefault="00E2172E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E21538">
        <w:rPr>
          <w:rFonts w:ascii="GHEA Grapalat" w:hAnsi="GHEA Grapalat"/>
          <w:sz w:val="20"/>
          <w:szCs w:val="20"/>
          <w:lang w:val="hy-AM"/>
        </w:rPr>
        <w:t>Հավելված</w:t>
      </w:r>
      <w:r w:rsidR="00915868">
        <w:rPr>
          <w:rFonts w:ascii="GHEA Grapalat" w:hAnsi="GHEA Grapalat"/>
          <w:sz w:val="20"/>
          <w:szCs w:val="20"/>
        </w:rPr>
        <w:t xml:space="preserve"> 3</w:t>
      </w:r>
      <w:r w:rsidRPr="00E21538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E2172E" w:rsidRPr="00E21538" w:rsidRDefault="00E2172E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E21538">
        <w:rPr>
          <w:rFonts w:ascii="GHEA Grapalat" w:hAnsi="GHEA Grapalat"/>
          <w:sz w:val="20"/>
          <w:szCs w:val="20"/>
          <w:lang w:val="hy-AM"/>
        </w:rPr>
        <w:t xml:space="preserve">ՀՀ </w:t>
      </w:r>
      <w:proofErr w:type="spellStart"/>
      <w:r w:rsidRPr="00E21538">
        <w:rPr>
          <w:rFonts w:ascii="GHEA Grapalat" w:hAnsi="GHEA Grapalat"/>
          <w:sz w:val="20"/>
          <w:szCs w:val="20"/>
        </w:rPr>
        <w:t>Արագածոտնի</w:t>
      </w:r>
      <w:proofErr w:type="spellEnd"/>
      <w:r w:rsidRPr="00E21538">
        <w:rPr>
          <w:rFonts w:ascii="GHEA Grapalat" w:hAnsi="GHEA Grapalat"/>
          <w:sz w:val="20"/>
          <w:szCs w:val="20"/>
        </w:rPr>
        <w:t xml:space="preserve"> </w:t>
      </w:r>
      <w:r w:rsidRPr="00E21538">
        <w:rPr>
          <w:rFonts w:ascii="GHEA Grapalat" w:hAnsi="GHEA Grapalat"/>
          <w:sz w:val="20"/>
          <w:szCs w:val="20"/>
          <w:lang w:val="hy-AM"/>
        </w:rPr>
        <w:t xml:space="preserve"> մարզպետարանի</w:t>
      </w:r>
    </w:p>
    <w:p w:rsidR="00E2172E" w:rsidRPr="00E21538" w:rsidRDefault="00E2172E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4B6FFB">
        <w:rPr>
          <w:rFonts w:ascii="GHEA Grapalat" w:hAnsi="GHEA Grapalat"/>
          <w:sz w:val="20"/>
          <w:szCs w:val="20"/>
          <w:lang w:val="hy-AM"/>
        </w:rPr>
        <w:t>գ</w:t>
      </w:r>
      <w:r w:rsidRPr="00E21538">
        <w:rPr>
          <w:rFonts w:ascii="GHEA Grapalat" w:hAnsi="GHEA Grapalat"/>
          <w:sz w:val="20"/>
          <w:szCs w:val="20"/>
          <w:lang w:val="hy-AM"/>
        </w:rPr>
        <w:t xml:space="preserve">լխավոր քարտուղարի </w:t>
      </w:r>
    </w:p>
    <w:p w:rsidR="00E2172E" w:rsidRDefault="00915868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915868">
        <w:rPr>
          <w:rFonts w:ascii="GHEA Grapalat" w:hAnsi="GHEA Grapalat"/>
          <w:sz w:val="20"/>
          <w:szCs w:val="20"/>
          <w:lang w:val="hy-AM"/>
        </w:rPr>
        <w:t>2019</w:t>
      </w:r>
      <w:r w:rsidRPr="00915868">
        <w:rPr>
          <w:rFonts w:ascii="GHEA Grapalat" w:hAnsi="GHEA Grapalat" w:cs="Sylfaen"/>
          <w:sz w:val="20"/>
          <w:szCs w:val="20"/>
          <w:lang w:val="hy-AM"/>
        </w:rPr>
        <w:t>թ</w:t>
      </w:r>
      <w:r w:rsidRPr="004B6FF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B6FFB">
        <w:rPr>
          <w:rFonts w:ascii="GHEA Grapalat" w:hAnsi="GHEA Grapalat" w:cs="Sylfaen"/>
          <w:sz w:val="20"/>
          <w:szCs w:val="20"/>
          <w:lang w:val="hy-AM"/>
        </w:rPr>
        <w:t>նոյեմբերի</w:t>
      </w:r>
      <w:r w:rsidRPr="004B6FFB">
        <w:rPr>
          <w:rFonts w:ascii="GHEA Grapalat" w:hAnsi="GHEA Grapalat"/>
          <w:sz w:val="20"/>
          <w:szCs w:val="20"/>
          <w:lang w:val="hy-AM"/>
        </w:rPr>
        <w:t xml:space="preserve"> 11-</w:t>
      </w:r>
      <w:r w:rsidRPr="004B6FFB">
        <w:rPr>
          <w:rFonts w:ascii="GHEA Grapalat" w:hAnsi="GHEA Grapalat" w:cs="Sylfaen"/>
          <w:sz w:val="20"/>
          <w:szCs w:val="20"/>
          <w:lang w:val="hy-AM"/>
        </w:rPr>
        <w:t>ի</w:t>
      </w:r>
      <w:r w:rsidRPr="004B6FFB">
        <w:rPr>
          <w:rFonts w:ascii="GHEA Grapalat" w:hAnsi="GHEA Grapalat"/>
          <w:sz w:val="20"/>
          <w:szCs w:val="20"/>
          <w:lang w:val="hy-AM"/>
        </w:rPr>
        <w:t xml:space="preserve"> N</w:t>
      </w:r>
      <w:r>
        <w:rPr>
          <w:sz w:val="20"/>
          <w:szCs w:val="20"/>
          <w:lang w:val="hy-AM"/>
        </w:rPr>
        <w:t xml:space="preserve">       </w:t>
      </w:r>
      <w:r w:rsidRPr="004B6FFB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AD0905" w:rsidRPr="004B6FFB">
        <w:rPr>
          <w:rFonts w:ascii="GHEA Grapalat" w:hAnsi="GHEA Grapalat"/>
          <w:sz w:val="20"/>
          <w:szCs w:val="20"/>
          <w:lang w:val="hy-AM"/>
        </w:rPr>
        <w:t>269</w:t>
      </w:r>
      <w:r w:rsidR="00AD0905">
        <w:rPr>
          <w:rFonts w:ascii="GHEA Grapalat" w:hAnsi="GHEA Grapalat"/>
          <w:sz w:val="20"/>
          <w:szCs w:val="20"/>
          <w:lang w:val="hy-AM"/>
        </w:rPr>
        <w:t xml:space="preserve">  </w:t>
      </w:r>
      <w:r w:rsidR="00AD0905" w:rsidRPr="004B6FFB">
        <w:rPr>
          <w:rFonts w:ascii="GHEA Grapalat" w:hAnsi="GHEA Grapalat"/>
          <w:sz w:val="20"/>
          <w:szCs w:val="20"/>
          <w:lang w:val="hy-AM"/>
        </w:rPr>
        <w:t xml:space="preserve">   հրամանի</w:t>
      </w:r>
    </w:p>
    <w:p w:rsidR="009F15D9" w:rsidRDefault="009F15D9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9F15D9" w:rsidRPr="004B6FFB" w:rsidRDefault="009F15D9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25691C">
        <w:rPr>
          <w:rFonts w:ascii="GHEA Grapalat" w:eastAsia="Times New Roman" w:hAnsi="GHEA Grapalat"/>
          <w:color w:val="000000"/>
          <w:sz w:val="24"/>
          <w:szCs w:val="24"/>
        </w:rPr>
        <w:t>ՔԱՂԱՔԱՑԻԱԿԱՆ ԾԱՌԱՅՈՂԻ ՊԱՇՏՈՆԻ ԱՆՁՆԱԳԻՐ</w:t>
      </w: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/>
          <w:color w:val="000000"/>
          <w:sz w:val="19"/>
          <w:szCs w:val="19"/>
        </w:rPr>
      </w:pP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ՀՀ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gramStart"/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ԱՐԱԳԱԾՈՏՆԻ</w:t>
      </w:r>
      <w:r w:rsidRPr="0025691C">
        <w:rPr>
          <w:rFonts w:ascii="GHEA Grapalat" w:eastAsia="Times New Roman" w:hAnsi="GHEA Grapalat"/>
          <w:color w:val="000000"/>
          <w:sz w:val="24"/>
          <w:szCs w:val="24"/>
        </w:rPr>
        <w:t xml:space="preserve"> 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ՄԱՐԶՊԵՏԱՐԱՆԻ</w:t>
      </w:r>
      <w:proofErr w:type="gramEnd"/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ԿՐԹՈՒԹՅԱՆ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>,</w:t>
      </w:r>
      <w:r w:rsidRPr="0025691C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ՄՇԱԿՈՒՅԹԻ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ԵՎ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ՍՊՈՐՏԻ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ՎԱՐՉՈՒԹՅԱՆ</w:t>
      </w:r>
      <w:r w:rsidRPr="0025691C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6E740A">
        <w:rPr>
          <w:rFonts w:ascii="GHEA Grapalat" w:eastAsia="Times New Roman" w:hAnsi="GHEA Grapalat" w:cs="Sylfaen"/>
          <w:color w:val="000000"/>
          <w:sz w:val="24"/>
          <w:szCs w:val="24"/>
        </w:rPr>
        <w:t>ՄՇԱԿՈՒՅԹԻ ԵՎ ՍՊՈՐՏԻ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ԲԱԺՆԻ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ՊԵՏԻ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ՊԱՇՏՈՆԻ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ԱՆՁՆԱԳԻՐ</w:t>
      </w: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color w:val="000000"/>
          <w:sz w:val="19"/>
          <w:szCs w:val="19"/>
        </w:rPr>
      </w:pPr>
      <w:r w:rsidRPr="0025691C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112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7"/>
      </w:tblGrid>
      <w:tr w:rsidR="0025691C" w:rsidRPr="0025691C" w:rsidTr="004B6FFB">
        <w:trPr>
          <w:tblCellSpacing w:w="0" w:type="dxa"/>
          <w:jc w:val="center"/>
        </w:trPr>
        <w:tc>
          <w:tcPr>
            <w:tcW w:w="1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91C" w:rsidRPr="0025691C" w:rsidRDefault="0025691C" w:rsidP="00864F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</w:rPr>
              <w:t>1</w:t>
            </w:r>
            <w:r w:rsidRPr="0025691C">
              <w:rPr>
                <w:rFonts w:ascii="GHEA Grapalat" w:eastAsia="MS Gothic" w:hAnsi="MS Gothic" w:cs="MS Gothic"/>
                <w:bCs/>
                <w:color w:val="000000"/>
                <w:sz w:val="19"/>
                <w:szCs w:val="19"/>
              </w:rPr>
              <w:t>․</w:t>
            </w:r>
            <w:r w:rsidRPr="0025691C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Ընդհանուր</w:t>
            </w:r>
            <w:proofErr w:type="spellEnd"/>
            <w:r w:rsidRPr="0025691C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դրույթներ</w:t>
            </w:r>
            <w:proofErr w:type="spellEnd"/>
          </w:p>
        </w:tc>
      </w:tr>
      <w:tr w:rsidR="0025691C" w:rsidRPr="009F15D9" w:rsidTr="004B6FFB">
        <w:trPr>
          <w:tblCellSpacing w:w="0" w:type="dxa"/>
          <w:jc w:val="center"/>
        </w:trPr>
        <w:tc>
          <w:tcPr>
            <w:tcW w:w="1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A2C" w:rsidRPr="00296A2C" w:rsidRDefault="0025691C" w:rsidP="00296A2C">
            <w:pPr>
              <w:pStyle w:val="a8"/>
              <w:numPr>
                <w:ilvl w:val="1"/>
                <w:numId w:val="8"/>
              </w:numPr>
              <w:ind w:right="9"/>
              <w:jc w:val="both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296A2C">
              <w:rPr>
                <w:rFonts w:ascii="GHEA Grapalat" w:hAnsi="GHEA Grapalat"/>
                <w:color w:val="000000"/>
                <w:sz w:val="19"/>
                <w:szCs w:val="19"/>
              </w:rPr>
              <w:t>Պաշտոնի անվանումը, ծածկագիրը</w:t>
            </w:r>
          </w:p>
          <w:p w:rsidR="0025691C" w:rsidRPr="004B6FFB" w:rsidRDefault="0025691C" w:rsidP="00296A2C">
            <w:pPr>
              <w:ind w:right="9"/>
              <w:jc w:val="both"/>
              <w:rPr>
                <w:rFonts w:ascii="GHEA Grapalat" w:hAnsi="GHEA Grapalat"/>
                <w:color w:val="000000"/>
                <w:sz w:val="19"/>
                <w:szCs w:val="19"/>
                <w:lang w:val="ru-RU"/>
              </w:rPr>
            </w:pPr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br/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Pr="00296A2C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(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)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,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 (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)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296A2C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96A2C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296A2C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296A2C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>(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296A2C">
              <w:rPr>
                <w:rFonts w:ascii="GHEA Grapalat" w:hAnsi="GHEA Grapalat" w:cs="Sylfaen"/>
                <w:sz w:val="24"/>
                <w:szCs w:val="24"/>
              </w:rPr>
              <w:t>պե</w:t>
            </w:r>
            <w:proofErr w:type="spellEnd"/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  </w:t>
            </w:r>
            <w:r w:rsidRPr="004B6FFB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96A2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ծածկագիր</w:t>
            </w:r>
            <w:proofErr w:type="spellEnd"/>
            <w:r w:rsidRPr="00296A2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6FFB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ru-RU"/>
              </w:rPr>
              <w:t>92-1.4-</w:t>
            </w:r>
            <w:r w:rsidRPr="00296A2C">
              <w:rPr>
                <w:rFonts w:ascii="GHEA Grapalat" w:eastAsiaTheme="minorHAnsi" w:hAnsi="GHEA Grapalat" w:cs="GHEA Grapalat"/>
                <w:color w:val="000000"/>
                <w:sz w:val="24"/>
                <w:szCs w:val="24"/>
              </w:rPr>
              <w:t>Ղ</w:t>
            </w:r>
            <w:r w:rsidR="00EE6A3E" w:rsidRPr="004B6FFB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ru-RU"/>
              </w:rPr>
              <w:t>5</w:t>
            </w:r>
            <w:r w:rsidRPr="004B6FFB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ru-RU"/>
              </w:rPr>
              <w:t>-2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/</w:t>
            </w:r>
          </w:p>
          <w:p w:rsidR="0025691C" w:rsidRPr="004B6FFB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color w:val="000000"/>
                <w:sz w:val="19"/>
                <w:szCs w:val="19"/>
                <w:lang w:val="ru-RU"/>
              </w:rPr>
            </w:pPr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1.2.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Ենթակա</w:t>
            </w:r>
            <w:proofErr w:type="spellEnd"/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 </w:t>
            </w: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և</w:t>
            </w:r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հաշվետու</w:t>
            </w:r>
            <w:proofErr w:type="spellEnd"/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 </w:t>
            </w: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է</w:t>
            </w:r>
            <w:r w:rsidRPr="00256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E9191A" w:rsidRPr="004B6FFB" w:rsidRDefault="0025691C" w:rsidP="00E9191A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Բաժնի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պետը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ենթակա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և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հաշվետու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է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Վ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արչության պետին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:</w:t>
            </w:r>
          </w:p>
          <w:p w:rsidR="0025691C" w:rsidRPr="00E9191A" w:rsidRDefault="0025691C" w:rsidP="00E9191A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25691C">
              <w:rPr>
                <w:rFonts w:ascii="GHEA Grapalat" w:hAnsi="GHEA Grapalat" w:cs="Arial Unicode"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hAnsi="GHEA Grapalat"/>
                <w:color w:val="000000"/>
                <w:sz w:val="19"/>
                <w:szCs w:val="19"/>
              </w:rPr>
              <w:t>1.3. Ենթակա և հաշվետու պաշտոններ</w:t>
            </w:r>
          </w:p>
          <w:p w:rsidR="0025691C" w:rsidRPr="004B6FFB" w:rsidRDefault="0025691C" w:rsidP="00864FC7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Բաժնի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պետին  ենթակա</w:t>
            </w:r>
            <w:proofErr w:type="gramEnd"/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և հաշվետու են </w:t>
            </w:r>
            <w:r w:rsidR="00F22C5D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Բ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աժնի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="000A0A76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աշխատողներ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ը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:</w:t>
            </w:r>
          </w:p>
          <w:p w:rsidR="0025691C" w:rsidRPr="004B6FFB" w:rsidRDefault="0025691C" w:rsidP="00864FC7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</w:pPr>
            <w:r w:rsidRPr="0025691C">
              <w:rPr>
                <w:rFonts w:ascii="GHEA Grapalat" w:hAnsi="GHEA Grapalat" w:cs="Arial Unicode"/>
                <w:b w:val="0"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 xml:space="preserve">1.4.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Փոխարինող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պաշտոնի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կամ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պաշտոնների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անվանումները</w:t>
            </w:r>
            <w:proofErr w:type="spellEnd"/>
          </w:p>
          <w:p w:rsidR="0025691C" w:rsidRPr="004B6FFB" w:rsidRDefault="0025691C" w:rsidP="00864FC7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Բաժնի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պետի բացակայության դեպքում նրան փոխարինում է 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Բ</w:t>
            </w:r>
            <w:r w:rsidR="00E1209F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աժնի </w:t>
            </w:r>
            <w:proofErr w:type="spellStart"/>
            <w:r w:rsidR="004D6770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գլխավոր</w:t>
            </w:r>
            <w:proofErr w:type="spellEnd"/>
            <w:r w:rsidR="004D6770" w:rsidRPr="004B6FFB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="003C600F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կամ</w:t>
            </w:r>
            <w:proofErr w:type="spellEnd"/>
            <w:r w:rsidR="004D6770" w:rsidRPr="004B6FFB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="004D6770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ավագ</w:t>
            </w:r>
            <w:proofErr w:type="spellEnd"/>
            <w:r w:rsidR="004D6770" w:rsidRPr="004B6FFB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մասնագետներից մեկը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:</w:t>
            </w:r>
          </w:p>
          <w:p w:rsidR="0025691C" w:rsidRPr="004B6FFB" w:rsidRDefault="0025691C" w:rsidP="00864FC7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</w:pPr>
            <w:r w:rsidRPr="0025691C">
              <w:rPr>
                <w:rFonts w:ascii="GHEA Grapalat" w:hAnsi="GHEA Grapalat"/>
                <w:b w:val="0"/>
                <w:i/>
                <w:iCs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1.</w:t>
            </w:r>
            <w:proofErr w:type="gram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5.Աշխատավայրը</w:t>
            </w:r>
            <w:proofErr w:type="gramEnd"/>
          </w:p>
          <w:p w:rsidR="0025691C" w:rsidRPr="0025691C" w:rsidRDefault="0025691C" w:rsidP="00864FC7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Հայաստան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,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Արագածոտնի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մարզ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,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ք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.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Աշտարակ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,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Վ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.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Պետրոսյան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/>
                <w:b w:val="0"/>
                <w:iCs/>
                <w:sz w:val="24"/>
                <w:szCs w:val="24"/>
              </w:rPr>
              <w:t>4</w:t>
            </w:r>
          </w:p>
        </w:tc>
      </w:tr>
      <w:tr w:rsidR="0025691C" w:rsidRPr="009F15D9" w:rsidTr="004B6FFB">
        <w:trPr>
          <w:trHeight w:val="795"/>
          <w:tblCellSpacing w:w="0" w:type="dxa"/>
          <w:jc w:val="center"/>
        </w:trPr>
        <w:tc>
          <w:tcPr>
            <w:tcW w:w="1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91C" w:rsidRPr="004B6FFB" w:rsidRDefault="0025691C" w:rsidP="00864F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</w:pPr>
            <w:r w:rsidRPr="004B6FFB"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  <w:lang w:val="ru-RU"/>
              </w:rPr>
              <w:t>2.</w:t>
            </w:r>
            <w:r w:rsidRPr="0025691C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Պաշտոնի</w:t>
            </w:r>
            <w:proofErr w:type="spellEnd"/>
            <w:r w:rsidRPr="004B6FFB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բնութագիրը</w:t>
            </w:r>
            <w:proofErr w:type="spellEnd"/>
          </w:p>
          <w:p w:rsidR="0025691C" w:rsidRPr="004B6FFB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</w:pPr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2.1.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Աշխատանքի</w:t>
            </w:r>
            <w:proofErr w:type="spellEnd"/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բնույթը</w:t>
            </w:r>
            <w:proofErr w:type="spellEnd"/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իրավունքները</w:t>
            </w:r>
            <w:proofErr w:type="spellEnd"/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պարտականությունները</w:t>
            </w:r>
            <w:proofErr w:type="spellEnd"/>
            <w:r w:rsidRPr="00256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  <w:r w:rsidRPr="004B6FFB">
              <w:rPr>
                <w:rFonts w:ascii="GHEA Grapalat" w:eastAsia="Times New Roman" w:hAnsi="GHEA Grapalat" w:cs="Arial Unicode"/>
                <w:color w:val="000000"/>
                <w:sz w:val="19"/>
                <w:szCs w:val="19"/>
                <w:lang w:val="ru-RU"/>
              </w:rPr>
              <w:br/>
            </w:r>
          </w:p>
          <w:p w:rsidR="00F87CBC" w:rsidRPr="009F15D9" w:rsidRDefault="00F87CBC" w:rsidP="00F87CBC">
            <w:pPr>
              <w:spacing w:after="200" w:line="276" w:lineRule="auto"/>
              <w:ind w:left="72" w:firstLine="270"/>
              <w:jc w:val="both"/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</w:pP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կազմակերպում</w:t>
            </w:r>
            <w:proofErr w:type="spellEnd"/>
            <w:r w:rsidRPr="008B7EE8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8B7E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 w:rsidRPr="008B7EE8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մշակութային քաղաքականության </w:t>
            </w:r>
            <w:r w:rsidRPr="008B7EE8">
              <w:rPr>
                <w:rFonts w:ascii="GHEA Grapalat" w:hAnsi="GHEA Grapalat"/>
                <w:sz w:val="24"/>
                <w:szCs w:val="24"/>
              </w:rPr>
              <w:t>և</w:t>
            </w:r>
            <w:r w:rsidRPr="009F15D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E8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9F15D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E8">
              <w:rPr>
                <w:rFonts w:ascii="GHEA Grapalat" w:hAnsi="GHEA Grapalat"/>
                <w:sz w:val="24"/>
                <w:szCs w:val="24"/>
              </w:rPr>
              <w:t>հանրակրթական</w:t>
            </w:r>
            <w:proofErr w:type="spellEnd"/>
            <w:r w:rsidRPr="009F15D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E8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9F15D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E8">
              <w:rPr>
                <w:rFonts w:ascii="GHEA Grapalat" w:hAnsi="GHEA Grapalat"/>
                <w:sz w:val="24"/>
                <w:szCs w:val="24"/>
              </w:rPr>
              <w:t>կատարման</w:t>
            </w:r>
            <w:proofErr w:type="spellEnd"/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E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Pr="009F15D9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LatArm"/>
                <w:sz w:val="24"/>
                <w:szCs w:val="24"/>
              </w:rPr>
              <w:t>մարզում</w:t>
            </w:r>
            <w:proofErr w:type="spellEnd"/>
            <w:r w:rsidRPr="009F15D9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.</w:t>
            </w:r>
          </w:p>
          <w:p w:rsidR="00F87CBC" w:rsidRPr="004B6FFB" w:rsidRDefault="00F87CBC" w:rsidP="00F87C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B7EE8">
              <w:rPr>
                <w:rFonts w:ascii="GHEA Grapalat" w:eastAsia="Calibri" w:hAnsi="GHEA Grapalat"/>
                <w:lang w:val="hy-AM" w:eastAsia="en-US"/>
              </w:rPr>
              <w:t xml:space="preserve">   2.</w:t>
            </w:r>
            <w:r w:rsidRPr="004B6FFB">
              <w:rPr>
                <w:rFonts w:ascii="GHEA Grapalat" w:eastAsia="Calibri" w:hAnsi="GHEA Grapalat"/>
                <w:lang w:val="hy-AM" w:eastAsia="en-US"/>
              </w:rPr>
              <w:t xml:space="preserve"> կազմակերպում</w:t>
            </w:r>
            <w:r w:rsidRPr="008B7EE8">
              <w:rPr>
                <w:rFonts w:ascii="GHEA Grapalat" w:eastAsia="Calibri" w:hAnsi="GHEA Grapalat"/>
                <w:lang w:val="hy-AM" w:eastAsia="en-US"/>
              </w:rPr>
              <w:t xml:space="preserve"> է մշակութային և սպորտային</w:t>
            </w:r>
            <w:r w:rsidRPr="004B6FFB">
              <w:rPr>
                <w:rFonts w:ascii="GHEA Grapalat" w:eastAsia="Calibri" w:hAnsi="GHEA Grapalat"/>
                <w:lang w:val="hy-AM" w:eastAsia="en-US"/>
              </w:rPr>
              <w:t xml:space="preserve"> հաստատությունների աշխատանքը</w:t>
            </w:r>
            <w:r>
              <w:rPr>
                <w:rFonts w:ascii="GHEA Grapalat" w:eastAsia="Calibri" w:hAnsi="GHEA Grapalat"/>
                <w:lang w:val="hy-AM" w:eastAsia="en-US"/>
              </w:rPr>
              <w:t>,</w:t>
            </w:r>
            <w:r w:rsidRPr="008B7EE8">
              <w:rPr>
                <w:rFonts w:ascii="GHEA Grapalat" w:eastAsia="Calibri" w:hAnsi="GHEA Grapalat"/>
                <w:lang w:val="hy-AM" w:eastAsia="en-US"/>
              </w:rPr>
              <w:t xml:space="preserve"> պետական, ազգային և այլ տոների հետ կապված զանգվածային միջոցառումների</w:t>
            </w:r>
            <w:r w:rsidRPr="008B7EE8">
              <w:rPr>
                <w:rFonts w:ascii="GHEA Grapalat" w:hAnsi="GHEA Grapalat"/>
                <w:lang w:val="hy-AM"/>
              </w:rPr>
              <w:t xml:space="preserve"> կազմակերպչական և</w:t>
            </w:r>
            <w:r w:rsidRPr="008B7EE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8B7EE8">
              <w:rPr>
                <w:rFonts w:ascii="GHEA Grapalat" w:hAnsi="GHEA Grapalat"/>
                <w:lang w:val="hy-AM"/>
              </w:rPr>
              <w:t>ավանդական ազգային ծեսերի վերականգնման</w:t>
            </w:r>
            <w:r w:rsidRPr="004B6FFB">
              <w:rPr>
                <w:rFonts w:ascii="GHEA Grapalat" w:hAnsi="GHEA Grapalat"/>
                <w:lang w:val="hy-AM"/>
              </w:rPr>
              <w:t>ն</w:t>
            </w:r>
            <w:r w:rsidRPr="008B7EE8">
              <w:rPr>
                <w:rFonts w:ascii="GHEA Grapalat" w:hAnsi="GHEA Grapalat"/>
                <w:lang w:val="hy-AM"/>
              </w:rPr>
              <w:t xml:space="preserve"> ու տարածմանը նպաստող </w:t>
            </w:r>
            <w:r w:rsidRPr="008B7EE8">
              <w:rPr>
                <w:rFonts w:ascii="GHEA Grapalat" w:hAnsi="GHEA Grapalat" w:cs="Sylfaen"/>
                <w:lang w:val="hy-AM"/>
              </w:rPr>
              <w:t>աշխատանքները</w:t>
            </w:r>
            <w:r w:rsidRPr="004B6FFB">
              <w:rPr>
                <w:rFonts w:ascii="GHEA Grapalat" w:hAnsi="GHEA Grapalat" w:cs="Arial LatArm"/>
                <w:lang w:val="hy-AM"/>
              </w:rPr>
              <w:t>,</w:t>
            </w:r>
            <w:r w:rsidRPr="008B7EE8">
              <w:rPr>
                <w:rFonts w:ascii="GHEA Grapalat" w:hAnsi="GHEA Grapalat"/>
                <w:lang w:val="hy-AM"/>
              </w:rPr>
              <w:t xml:space="preserve"> </w:t>
            </w:r>
            <w:r w:rsidRPr="004B6FFB">
              <w:rPr>
                <w:rFonts w:ascii="GHEA Grapalat" w:hAnsi="GHEA Grapalat"/>
                <w:lang w:val="hy-AM"/>
              </w:rPr>
              <w:lastRenderedPageBreak/>
              <w:t xml:space="preserve">նպաստում է </w:t>
            </w:r>
            <w:r w:rsidRPr="008B7EE8">
              <w:rPr>
                <w:rFonts w:ascii="GHEA Grapalat" w:hAnsi="GHEA Grapalat"/>
                <w:lang w:val="hy-AM"/>
              </w:rPr>
              <w:t>մարզի տարածքում բնակվող ազգային փոքրամասնությունների մշակութային կենտր</w:t>
            </w:r>
            <w:r w:rsidRPr="004B6FFB">
              <w:rPr>
                <w:rFonts w:ascii="GHEA Grapalat" w:hAnsi="GHEA Grapalat"/>
                <w:lang w:val="hy-AM"/>
              </w:rPr>
              <w:t>ո</w:t>
            </w:r>
            <w:r w:rsidRPr="008B7EE8">
              <w:rPr>
                <w:rFonts w:ascii="GHEA Grapalat" w:hAnsi="GHEA Grapalat"/>
                <w:lang w:val="hy-AM"/>
              </w:rPr>
              <w:t>նների հետ համատեղ ազգային տոների և նրանց ինքնության պահ</w:t>
            </w:r>
            <w:r>
              <w:rPr>
                <w:rFonts w:ascii="GHEA Grapalat" w:hAnsi="GHEA Grapalat"/>
                <w:lang w:val="hy-AM"/>
              </w:rPr>
              <w:t>պանման համար տարվող աշխատանքներ</w:t>
            </w:r>
            <w:r w:rsidRPr="004B6FFB">
              <w:rPr>
                <w:rFonts w:ascii="GHEA Grapalat" w:hAnsi="GHEA Grapalat"/>
                <w:lang w:val="hy-AM"/>
              </w:rPr>
              <w:t>ին.</w:t>
            </w:r>
          </w:p>
          <w:p w:rsidR="00F87CBC" w:rsidRPr="004B6FFB" w:rsidRDefault="00F87CBC" w:rsidP="00F87C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4B6FFB">
              <w:rPr>
                <w:rFonts w:ascii="GHEA Grapalat" w:hAnsi="GHEA Grapalat"/>
                <w:lang w:val="hy-AM"/>
              </w:rPr>
              <w:t xml:space="preserve">3. </w:t>
            </w:r>
            <w:r w:rsidRPr="004B6FFB">
              <w:rPr>
                <w:rFonts w:ascii="GHEA Grapalat" w:hAnsi="GHEA Grapalat" w:cs="Sylfaen"/>
                <w:lang w:val="hy-AM"/>
              </w:rPr>
              <w:t>կազմակերպում</w:t>
            </w:r>
            <w:r w:rsidRPr="00C07CE1">
              <w:rPr>
                <w:rFonts w:ascii="GHEA Grapalat" w:hAnsi="GHEA Grapalat" w:cs="Sylfaen"/>
                <w:lang w:val="hy-AM"/>
              </w:rPr>
              <w:t xml:space="preserve"> է </w:t>
            </w:r>
            <w:r w:rsidRPr="00C07CE1">
              <w:rPr>
                <w:rFonts w:ascii="GHEA Grapalat" w:hAnsi="GHEA Grapalat"/>
                <w:lang w:val="af-ZA"/>
              </w:rPr>
              <w:t>հանրապետական մարզական միջոցառումների տարածաշրջանային և մարզային  փուլերի, մարզի դպրոցականների շրջանում տարբեր մարզաձևեր</w:t>
            </w:r>
            <w:r>
              <w:rPr>
                <w:rFonts w:ascii="GHEA Grapalat" w:hAnsi="GHEA Grapalat"/>
                <w:lang w:val="af-ZA"/>
              </w:rPr>
              <w:t>ի</w:t>
            </w:r>
            <w:r w:rsidRPr="00C07CE1">
              <w:rPr>
                <w:rFonts w:ascii="GHEA Grapalat" w:hAnsi="GHEA Grapalat"/>
                <w:lang w:val="af-ZA"/>
              </w:rPr>
              <w:t>ց տարածաշրջանային և մարզային մրցումների, ֆիզկուլտուրային-առողջարարական և տարբեր մարզային միջոցառումների կազմակե</w:t>
            </w:r>
            <w:r>
              <w:rPr>
                <w:rFonts w:ascii="GHEA Grapalat" w:hAnsi="GHEA Grapalat"/>
                <w:lang w:val="af-ZA"/>
              </w:rPr>
              <w:t>րպման և անցակցման  աշխատանքները</w:t>
            </w:r>
            <w:r w:rsidRPr="00C07CE1">
              <w:rPr>
                <w:rFonts w:ascii="GHEA Grapalat" w:hAnsi="GHEA Grapalat"/>
                <w:lang w:val="af-ZA"/>
              </w:rPr>
              <w:t>.</w:t>
            </w:r>
          </w:p>
          <w:p w:rsidR="00F87CBC" w:rsidRPr="008B7EE8" w:rsidRDefault="00F87CBC" w:rsidP="00F87C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  <w:p w:rsidR="00F87CBC" w:rsidRPr="004B6FFB" w:rsidRDefault="00F87CBC" w:rsidP="00F87CBC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B6FFB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մարզի տարածքում պետական և  ոչ պետական մշակութային (երաժշտական, արվեստի և գեղարվեստի դպրոցներ, 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թատրոններ,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գրադարաններ, թանգարաններ,  ակումբներ, 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ինքնագործ 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>խմբեր և այլն) և մարզական կազմակերպությունների գործունեությ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</w:t>
            </w: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4B6FF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F87CBC" w:rsidRPr="008B7EE8" w:rsidRDefault="00F87CBC" w:rsidP="00F87CBC">
            <w:pPr>
              <w:pStyle w:val="a6"/>
              <w:ind w:right="16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5. կազմակերպում է </w:t>
            </w:r>
            <w:r w:rsidRPr="00C07C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մարզում ֆիզիկական կուլտուրայի և սպորտի բնագավառում պետական ծրագրերի իրագործման, 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մանկապատանեկան մարզադպրոցների, հանրակրթական դպրոցների, մարզական հերթափոխի պատրաստման, մարզաձևերի զարգացման և ֆիզիկական կուլտուրայի ու սպորտի նյութատեխնիկական բազայի ամրապնդման գործընթացը.</w:t>
            </w:r>
          </w:p>
          <w:p w:rsidR="00F87CBC" w:rsidRPr="004B6FFB" w:rsidRDefault="00F87CBC" w:rsidP="00F87CBC">
            <w:pPr>
              <w:pStyle w:val="a6"/>
              <w:ind w:right="16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մարզում ֆիզիկական կուլտուրայի և սպորտի բնագավառում պետական ծրագրերի իրագործման, </w:t>
            </w:r>
            <w:r w:rsidRPr="008B7EE8">
              <w:rPr>
                <w:rFonts w:ascii="GHEA Grapalat" w:hAnsi="GHEA Grapalat"/>
                <w:sz w:val="24"/>
                <w:szCs w:val="24"/>
                <w:lang w:val="af-ZA"/>
              </w:rPr>
              <w:t>&lt;&lt;Ֆիզիկական կուլտուրա&gt;&gt;  առարկայի դասավանդման վիճակը բարելավելու, երաժշտական, արվեստի, գեղարվեստի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  ոչ պետական մշակութային, սպորտային կազմակերպություններում</w:t>
            </w:r>
            <w:r w:rsidRPr="008B7EE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հանրակրթական ուսումնական հաստատություններում մեթոդական օգնության տրամադրման 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աշխատանքները.</w:t>
            </w:r>
          </w:p>
          <w:p w:rsidR="00F87CBC" w:rsidRPr="004B6FFB" w:rsidRDefault="00F87CBC" w:rsidP="00F87CB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7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.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կազմակերպում է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մարզի երիտասարդության հետ տարվող աշխատանքները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, ապահովում է մարզի մասնակցությունը շախմատի օլիմպիադային մարզային և հանրապետական փուլին.</w:t>
            </w:r>
          </w:p>
          <w:p w:rsidR="00F87CBC" w:rsidRPr="00093A52" w:rsidRDefault="00F87CBC" w:rsidP="00F87CB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</w:pP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8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. 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իրականացնում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է  ՀՀ օրենքով սահմանված լիազորություններ պատմ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ության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և մշակույթի հուշարձանների պահպանության և օգտագ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րծման  ուղղությամբ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, 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ազգային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արժեք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համարվող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մշակութային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նյութական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և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ոչ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նյութական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ժառանգությունների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պահպանման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տարածման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և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զարգացման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աշխատանքները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>.</w:t>
            </w:r>
          </w:p>
          <w:p w:rsidR="0025691C" w:rsidRPr="004B6FFB" w:rsidRDefault="00F87CBC" w:rsidP="00475F08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Arial"/>
                <w:color w:val="333333"/>
                <w:sz w:val="24"/>
                <w:szCs w:val="24"/>
                <w:lang w:val="af-ZA" w:eastAsia="ru-RU"/>
              </w:rPr>
              <w:t>9</w:t>
            </w:r>
            <w:r w:rsidRPr="008B7EE8">
              <w:rPr>
                <w:rFonts w:ascii="GHEA Grapalat" w:hAnsi="GHEA Grapalat" w:cs="Arial"/>
                <w:color w:val="333333"/>
                <w:sz w:val="24"/>
                <w:szCs w:val="24"/>
                <w:lang w:val="af-ZA" w:eastAsia="ru-RU"/>
              </w:rPr>
              <w:t xml:space="preserve">. </w:t>
            </w:r>
            <w:r w:rsidRPr="008B7EE8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>իրականացնում է</w:t>
            </w:r>
            <w:r w:rsidRPr="008B7EE8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հանրակրթական ուսումնական հաստատություններում</w:t>
            </w:r>
            <w:r w:rsidRPr="008B7EE8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 xml:space="preserve"> ռազմագիտության առարկայի կաբինետների պահպանման և նպատակային օգտագործման </w:t>
            </w:r>
            <w:r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>վերահսկողություն</w:t>
            </w:r>
            <w:r w:rsidRPr="008B7EE8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>ը</w:t>
            </w:r>
            <w:r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>:</w:t>
            </w:r>
          </w:p>
          <w:p w:rsidR="00F87CBC" w:rsidRPr="004B6FFB" w:rsidRDefault="00F87CBC" w:rsidP="00864FC7">
            <w:pPr>
              <w:pStyle w:val="a4"/>
              <w:ind w:left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5691C" w:rsidRPr="00F87CBC" w:rsidRDefault="0025691C" w:rsidP="00864FC7">
            <w:pPr>
              <w:pStyle w:val="a4"/>
              <w:ind w:left="72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87C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Pr="00F87CBC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5691C" w:rsidRPr="0025691C" w:rsidRDefault="0025691C" w:rsidP="00864FC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B323F" w:rsidRPr="008B7EE8" w:rsidRDefault="007B323F" w:rsidP="007B323F">
            <w:pPr>
              <w:pStyle w:val="a8"/>
              <w:numPr>
                <w:ilvl w:val="0"/>
                <w:numId w:val="1"/>
              </w:numPr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</w:pP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համապատասխան ստորաբաժանումներից և մարմիններից պահանջել ու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ստանալ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լրացուցիչ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ու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անհրաժեշտ փաստաթղթեր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հիմնավորումներ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նյութեր և տեղեկատվություն</w:t>
            </w:r>
          </w:p>
          <w:p w:rsidR="007B323F" w:rsidRPr="008B7EE8" w:rsidRDefault="007B323F" w:rsidP="007B323F">
            <w:pPr>
              <w:pStyle w:val="a8"/>
              <w:numPr>
                <w:ilvl w:val="0"/>
                <w:numId w:val="1"/>
              </w:numPr>
              <w:tabs>
                <w:tab w:val="left" w:pos="90"/>
              </w:tabs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</w:pP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համապատասխան ստորաբաժանումների և մարմինների հետ կազմակերպել մասնագիտական քննարկումներ և ստանալ առաջարկություններ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,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նաև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ներկայացնել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իր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կողմից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սպասարկող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ոլորտին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առնչվող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աշխատանքների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բարելավման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վերաբերյալ</w:t>
            </w:r>
            <w:proofErr w:type="spellEnd"/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7B323F" w:rsidRPr="008B7EE8" w:rsidRDefault="007B323F" w:rsidP="007B323F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պարբերաբար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այցելել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մշակութային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մարզական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հաստատություններ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տրամադրել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af-ZA"/>
              </w:rPr>
              <w:t xml:space="preserve"> 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lastRenderedPageBreak/>
              <w:t>մեթոդական օժանդակություն</w:t>
            </w:r>
            <w:r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հրավիրել </w:t>
            </w:r>
            <w:r w:rsidR="007E268D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>աշխատանքային քննարկումներ</w:t>
            </w:r>
          </w:p>
          <w:p w:rsidR="0025691C" w:rsidRPr="0025691C" w:rsidRDefault="0025691C" w:rsidP="00864FC7">
            <w:pPr>
              <w:pStyle w:val="a6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proofErr w:type="spellStart"/>
            <w:r w:rsidRPr="0025691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Pr="0025691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՝</w:t>
            </w:r>
          </w:p>
          <w:p w:rsidR="0025691C" w:rsidRPr="0025691C" w:rsidRDefault="0025691C" w:rsidP="00864FC7">
            <w:pPr>
              <w:pStyle w:val="a6"/>
              <w:ind w:left="522" w:hanging="36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  <w:p w:rsidR="00C92D45" w:rsidRPr="008B7EE8" w:rsidRDefault="00C92D45" w:rsidP="00C92D45">
            <w:pPr>
              <w:pStyle w:val="a8"/>
              <w:numPr>
                <w:ilvl w:val="0"/>
                <w:numId w:val="2"/>
              </w:numPr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ուսումնասիրել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վերլուծել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ստուգել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համապատասխան ստորաբաժանումներից և մարմիններից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սպորտային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ու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մշակութային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հաստատություններից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ստացված  փաստաթղթերը,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փաթեթները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նյութերը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քննարկել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ստացված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արդյունքները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.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C92D45" w:rsidRPr="004B6FFB" w:rsidRDefault="00C92D45" w:rsidP="00C92D45">
            <w:pPr>
              <w:pStyle w:val="a8"/>
              <w:numPr>
                <w:ilvl w:val="0"/>
                <w:numId w:val="2"/>
              </w:numPr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r w:rsidRPr="008B7EE8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ստուգել</w:t>
            </w:r>
            <w:r w:rsidRPr="004B6FFB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, ճշտել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 տրամադրված փաստաթղթերի ամբողջականությունը և  տրամադրել տեղեկատվություն  համաձայն ժամանակացույցի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, սահմանված ժամկետներում ու կարգով ընթացք տալ գրություններին ու իրավական ակտերին:</w:t>
            </w:r>
          </w:p>
          <w:p w:rsidR="008F6DCC" w:rsidRPr="004B6FFB" w:rsidRDefault="008F6DCC" w:rsidP="008F6D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  <w:lang w:val="hy-AM"/>
              </w:rPr>
            </w:pPr>
          </w:p>
          <w:p w:rsidR="008F6DCC" w:rsidRPr="004B6FFB" w:rsidRDefault="008F6DCC" w:rsidP="008F6D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19"/>
                <w:szCs w:val="19"/>
                <w:lang w:val="hy-AM"/>
              </w:rPr>
            </w:pPr>
            <w:r w:rsidRPr="004B6FFB"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  <w:lang w:val="hy-AM"/>
              </w:rPr>
              <w:t>3.</w:t>
            </w:r>
            <w:r w:rsidRPr="004B6FFB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val="hy-AM"/>
              </w:rPr>
              <w:t> </w:t>
            </w:r>
            <w:r w:rsidRPr="004B6FFB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  <w:lang w:val="hy-AM"/>
              </w:rPr>
              <w:t>Պաշտոնին ներկայացվող պահանջները</w:t>
            </w:r>
          </w:p>
          <w:p w:rsidR="008F6DCC" w:rsidRPr="004B6FFB" w:rsidRDefault="008F6DCC" w:rsidP="008F6DC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i/>
                <w:iCs/>
                <w:color w:val="000000"/>
                <w:sz w:val="24"/>
                <w:szCs w:val="24"/>
                <w:lang w:val="hy-AM"/>
              </w:rPr>
            </w:pPr>
            <w:r w:rsidRPr="004B6FF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3.1.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Կրթություն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,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որակավորման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աստիճան</w:t>
            </w:r>
          </w:p>
          <w:p w:rsidR="0025691C" w:rsidRPr="004B6FFB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  <w:lang w:val="hy-AM"/>
              </w:rPr>
            </w:pPr>
          </w:p>
        </w:tc>
      </w:tr>
      <w:tr w:rsidR="0025691C" w:rsidRPr="0025691C" w:rsidTr="004B6FFB">
        <w:trPr>
          <w:tblCellSpacing w:w="0" w:type="dxa"/>
          <w:jc w:val="center"/>
        </w:trPr>
        <w:tc>
          <w:tcPr>
            <w:tcW w:w="11257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1678"/>
              <w:gridCol w:w="1846"/>
              <w:gridCol w:w="2843"/>
              <w:gridCol w:w="1727"/>
              <w:gridCol w:w="2193"/>
            </w:tblGrid>
            <w:tr w:rsidR="004E2C7C" w:rsidRPr="009F15D9" w:rsidTr="004B6FFB"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B77E07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Mariam" w:eastAsiaTheme="minorEastAsia" w:hAnsi="GHEA Mariam"/>
                      <w:b/>
                      <w:bCs/>
                      <w:lang w:val="en-US"/>
                    </w:rPr>
                  </w:pPr>
                  <w:r>
                    <w:rPr>
                      <w:rFonts w:ascii="GHEA Mariam" w:hAnsi="GHEA Mariam"/>
                      <w:b/>
                      <w:bCs/>
                      <w:lang w:val="hy-AM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046A86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/>
                      <w:bCs/>
                      <w:sz w:val="20"/>
                      <w:szCs w:val="20"/>
                      <w:lang w:val="hy-AM"/>
                    </w:rPr>
                  </w:pPr>
                  <w:r w:rsidRPr="00046A86"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val="hy-AM"/>
                    </w:rPr>
                    <w:t>Ուղղություն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B77E07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B77E07">
                    <w:rPr>
                      <w:rFonts w:ascii="GHEA Grapalat" w:hAnsi="GHEA Grapalat"/>
                      <w:bCs/>
                      <w:lang w:val="hy-AM"/>
                    </w:rPr>
                    <w:t>կրթություն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81" w:rsidRPr="004B6FFB" w:rsidRDefault="007D2581" w:rsidP="005F46BD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4B6FFB">
                    <w:rPr>
                      <w:rFonts w:ascii="GHEA Grapalat" w:eastAsiaTheme="minorEastAsia" w:hAnsi="GHEA Grapalat"/>
                      <w:b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B77E07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B77E07">
                    <w:rPr>
                      <w:rFonts w:ascii="GHEA Grapalat" w:hAnsi="GHEA Grapalat"/>
                      <w:bCs/>
                      <w:lang w:val="hy-AM"/>
                    </w:rPr>
                    <w:t>Հումանիտար գիտություններ և արվեստ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81" w:rsidRPr="009F15D9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9F15D9">
                    <w:rPr>
                      <w:rFonts w:ascii="GHEA Grapalat" w:eastAsiaTheme="minorEastAsia" w:hAnsi="GHEA Grapalat"/>
                      <w:b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E2C7C" w:rsidRPr="009F15D9" w:rsidTr="004B6FFB"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81" w:rsidRPr="009F15D9" w:rsidRDefault="004E2C7C">
                  <w:pPr>
                    <w:spacing w:after="200" w:line="276" w:lineRule="auto"/>
                    <w:ind w:right="9"/>
                    <w:jc w:val="both"/>
                    <w:rPr>
                      <w:rFonts w:ascii="GHEA Mariam" w:eastAsiaTheme="minorEastAsia" w:hAnsi="GHEA Mariam"/>
                      <w:b/>
                      <w:bCs/>
                      <w:lang w:val="hy-AM"/>
                    </w:rPr>
                  </w:pPr>
                  <w:r w:rsidRPr="009F15D9">
                    <w:rPr>
                      <w:rFonts w:ascii="GHEA Mariam" w:eastAsiaTheme="minorEastAsia" w:hAnsi="GHEA Mariam"/>
                      <w:b/>
                      <w:bCs/>
                      <w:lang w:val="hy-AM"/>
                    </w:rPr>
                    <w:t>2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046A86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/>
                      <w:bCs/>
                      <w:sz w:val="20"/>
                      <w:szCs w:val="20"/>
                      <w:lang w:val="hy-AM"/>
                    </w:rPr>
                  </w:pPr>
                  <w:r w:rsidRPr="00046A86"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B77E07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B77E07">
                    <w:rPr>
                      <w:rFonts w:ascii="GHEA Grapalat" w:hAnsi="GHEA Grapalat"/>
                      <w:lang w:val="hy-AM"/>
                    </w:rPr>
                    <w:t>կրթություն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81" w:rsidRPr="009F15D9" w:rsidRDefault="007D2581" w:rsidP="005F46BD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9F15D9">
                    <w:rPr>
                      <w:rFonts w:ascii="GHEA Grapalat" w:eastAsiaTheme="minorEastAsia" w:hAnsi="GHEA Grapalat"/>
                      <w:bCs/>
                      <w:lang w:val="hy-AM"/>
                    </w:rPr>
                    <w:t xml:space="preserve">Սոցիալական և վարքաբանական գիտություններ 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60555B" w:rsidRDefault="0060555B" w:rsidP="00674F27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lang w:val="hy-AM"/>
                    </w:rPr>
                  </w:pPr>
                  <w:r>
                    <w:rPr>
                      <w:rFonts w:ascii="GHEA Grapalat" w:eastAsiaTheme="minorEastAsia" w:hAnsi="GHEA Grapalat"/>
                      <w:lang w:val="hy-AM"/>
                    </w:rPr>
                    <w:t>Հումանիտար գիտություններ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81" w:rsidRPr="009F15D9" w:rsidRDefault="007D2581" w:rsidP="00674F27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lang w:val="hy-AM"/>
                    </w:rPr>
                  </w:pPr>
                  <w:r w:rsidRPr="009F15D9">
                    <w:rPr>
                      <w:rFonts w:ascii="GHEA Grapalat" w:eastAsiaTheme="minorEastAsia" w:hAnsi="GHEA Grapalat"/>
                      <w:lang w:val="hy-AM"/>
                    </w:rPr>
                    <w:t>իրավունք</w:t>
                  </w:r>
                </w:p>
              </w:tc>
            </w:tr>
          </w:tbl>
          <w:p w:rsidR="0025691C" w:rsidRPr="004B6FFB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B6FFB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4B6FF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3.2.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գիտելիքներ</w:t>
            </w:r>
            <w:r w:rsidRPr="004B6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br/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Ունի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անհրաժեշտ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գիտելիքներ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br/>
            </w:r>
            <w:r w:rsidRPr="004B6FF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3.3.</w:t>
            </w:r>
            <w:r w:rsidRPr="004B6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Աշխատանքային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ստաժը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,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աշխատանքի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բնագավառում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փորձը</w:t>
            </w:r>
          </w:p>
          <w:p w:rsidR="0025691C" w:rsidRPr="004B6FFB" w:rsidRDefault="0025691C" w:rsidP="00E9191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Հանրային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ծառայության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առնվազն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երեք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կամ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763626"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>չորս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մասնագիտական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աշխատանքային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կամ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233C7B" w:rsidRPr="007D67F3">
              <w:rPr>
                <w:rFonts w:ascii="GHEA Grapalat" w:hAnsi="GHEA Grapalat"/>
                <w:sz w:val="24"/>
                <w:szCs w:val="24"/>
                <w:lang w:val="hy-AM"/>
              </w:rPr>
              <w:t>մշակույթի կամ սպորտի բնագավառներում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՝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763626"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>չորս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աշխատանքային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</w:p>
          <w:p w:rsidR="0025691C" w:rsidRPr="004B6FFB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4B6FFB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br/>
              <w:t>3.4. Անհրաժեշտ կոմպետենցիաներ</w:t>
            </w:r>
          </w:p>
          <w:p w:rsidR="0025691C" w:rsidRPr="004B6FFB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</w:p>
          <w:p w:rsidR="0025691C" w:rsidRPr="004B6FFB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B6FF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Ընդհանրական</w:t>
            </w:r>
            <w:r w:rsidRPr="004B6FF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կոմպետենցիաներ</w:t>
            </w:r>
          </w:p>
          <w:p w:rsidR="0025691C" w:rsidRPr="004B6FFB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25691C" w:rsidRPr="004B6FFB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4B6FFB">
              <w:rPr>
                <w:rFonts w:ascii="GHEA Grapalat" w:hAnsi="GHEA Grapalat"/>
                <w:color w:val="000000"/>
                <w:lang w:val="hy-AM"/>
              </w:rPr>
              <w:t>1. Աշխատակազմի կառավարում</w:t>
            </w:r>
          </w:p>
          <w:p w:rsidR="0025691C" w:rsidRPr="004B6FFB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4B6FFB">
              <w:rPr>
                <w:rFonts w:ascii="GHEA Grapalat" w:hAnsi="GHEA Grapalat"/>
                <w:color w:val="000000"/>
                <w:lang w:val="hy-AM"/>
              </w:rPr>
              <w:lastRenderedPageBreak/>
              <w:t>2. Քաղաքականության վերլուծություն, մոնիթորինգ</w:t>
            </w:r>
          </w:p>
          <w:p w:rsidR="0025691C" w:rsidRPr="004B6FFB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4B6FFB">
              <w:rPr>
                <w:rFonts w:ascii="GHEA Grapalat" w:hAnsi="GHEA Grapalat"/>
                <w:color w:val="000000"/>
                <w:lang w:val="hy-AM"/>
              </w:rPr>
              <w:t>3. Որոշումների կայացում</w:t>
            </w:r>
          </w:p>
          <w:p w:rsidR="0025691C" w:rsidRPr="004B6FFB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4B6FFB">
              <w:rPr>
                <w:rFonts w:ascii="GHEA Grapalat" w:hAnsi="GHEA Grapalat"/>
                <w:color w:val="000000"/>
                <w:lang w:val="hy-AM"/>
              </w:rPr>
              <w:t>4. Ծրագրերի կառավարում</w:t>
            </w:r>
          </w:p>
          <w:p w:rsidR="0025691C" w:rsidRPr="0025691C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25691C">
              <w:rPr>
                <w:rFonts w:ascii="GHEA Grapalat" w:hAnsi="GHEA Grapalat"/>
                <w:color w:val="000000"/>
              </w:rPr>
              <w:t>5. Խնդրի լուծում</w:t>
            </w:r>
          </w:p>
          <w:p w:rsidR="0025691C" w:rsidRPr="0025691C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25691C">
              <w:rPr>
                <w:rFonts w:ascii="GHEA Grapalat" w:hAnsi="GHEA Grapalat"/>
                <w:color w:val="000000"/>
              </w:rPr>
              <w:t>6. Բարեվարքություն</w:t>
            </w:r>
          </w:p>
          <w:p w:rsidR="0025691C" w:rsidRPr="0025691C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691C">
              <w:rPr>
                <w:rFonts w:ascii="GHEA Grapalat" w:hAnsi="GHEA Grapalat"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691C">
              <w:rPr>
                <w:rFonts w:ascii="GHEA Grapalat" w:hAnsi="GHEA Grapalat" w:cs="Sylfaen"/>
                <w:color w:val="000000"/>
                <w:sz w:val="24"/>
                <w:szCs w:val="24"/>
              </w:rPr>
              <w:t>Ընտրանքային</w:t>
            </w:r>
            <w:proofErr w:type="spellEnd"/>
            <w:r w:rsidRPr="002569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91C">
              <w:rPr>
                <w:rFonts w:ascii="GHEA Grapalat" w:hAnsi="GHEA Grapalat" w:cs="Sylfaen"/>
                <w:color w:val="000000"/>
                <w:sz w:val="24"/>
                <w:szCs w:val="24"/>
              </w:rPr>
              <w:t>կոմպետենցիաները</w:t>
            </w:r>
            <w:proofErr w:type="spellEnd"/>
          </w:p>
          <w:p w:rsidR="0025691C" w:rsidRPr="00761B7E" w:rsidRDefault="0025691C" w:rsidP="00761B7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Փոփոխությունների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կառավարում</w:t>
            </w:r>
          </w:p>
          <w:p w:rsidR="0025691C" w:rsidRPr="00865EF0" w:rsidRDefault="0025691C" w:rsidP="0025691C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Ժամանակի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կառավարում</w:t>
            </w:r>
          </w:p>
          <w:p w:rsidR="0025691C" w:rsidRPr="00865EF0" w:rsidRDefault="0025691C" w:rsidP="0025691C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Ժողովների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և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խորհրդակցությունների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կազմակերպում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և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վարում</w:t>
            </w:r>
          </w:p>
          <w:p w:rsidR="0025691C" w:rsidRDefault="0025691C" w:rsidP="0025691C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Փաստաթղթերի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նախապատրաստում</w:t>
            </w:r>
          </w:p>
          <w:p w:rsidR="00761B7E" w:rsidRPr="00865EF0" w:rsidRDefault="00761B7E" w:rsidP="0025691C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Ելույթների</w:t>
            </w:r>
            <w:proofErr w:type="spellEnd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նախապատրաստում</w:t>
            </w:r>
            <w:proofErr w:type="spellEnd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կազմակերպում</w:t>
            </w:r>
            <w:proofErr w:type="spellEnd"/>
          </w:p>
          <w:p w:rsidR="0025691C" w:rsidRPr="0025691C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5691C" w:rsidRPr="0025691C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25691C" w:rsidRPr="0025691C" w:rsidTr="004B6FFB">
        <w:trPr>
          <w:tblCellSpacing w:w="0" w:type="dxa"/>
          <w:jc w:val="center"/>
        </w:trPr>
        <w:tc>
          <w:tcPr>
            <w:tcW w:w="1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91C" w:rsidRPr="0025691C" w:rsidRDefault="0025691C" w:rsidP="00864F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</w:rPr>
              <w:lastRenderedPageBreak/>
              <w:t>4.</w:t>
            </w:r>
            <w:r w:rsidRPr="0025691C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Կազմակերպական</w:t>
            </w:r>
            <w:proofErr w:type="spellEnd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շրջանակը</w:t>
            </w:r>
            <w:proofErr w:type="spellEnd"/>
          </w:p>
          <w:p w:rsidR="0025691C" w:rsidRPr="0025691C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4.1.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Աշխատանքի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կազմակերպման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ղեկավարման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պատասխանատվությունը</w:t>
            </w:r>
            <w:proofErr w:type="spellEnd"/>
          </w:p>
          <w:p w:rsidR="007646D9" w:rsidRDefault="003C600F" w:rsidP="00797E9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կազմում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գործող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միավորի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25691C" w:rsidRPr="0025691C">
              <w:rPr>
                <w:rFonts w:ascii="GHEA Grapalat" w:hAnsi="GHEA Grapalat"/>
                <w:i/>
                <w:iCs/>
                <w:color w:val="000000"/>
              </w:rPr>
              <w:br/>
            </w:r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br/>
              <w:t xml:space="preserve">4.2. </w:t>
            </w:r>
            <w:proofErr w:type="spellStart"/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Որոշումներ</w:t>
            </w:r>
            <w:proofErr w:type="spellEnd"/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կայացնելու</w:t>
            </w:r>
            <w:proofErr w:type="spellEnd"/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լիազորությունները</w:t>
            </w:r>
            <w:proofErr w:type="spellEnd"/>
          </w:p>
          <w:p w:rsidR="00CE1CF8" w:rsidRDefault="0025691C" w:rsidP="00797E9B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br/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կազմում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գործող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միավորի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կազմակերպման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ղեկավարման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։</w:t>
            </w:r>
          </w:p>
          <w:p w:rsidR="007646D9" w:rsidRDefault="0025691C" w:rsidP="00864F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4.3.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Գործունեության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ազդեցությունը</w:t>
            </w:r>
            <w:proofErr w:type="spellEnd"/>
            <w:r w:rsidRPr="00256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25691C" w:rsidRPr="0025691C" w:rsidRDefault="0025691C" w:rsidP="007646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i/>
                <w:iCs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 w:cs="Arial Unicode"/>
                <w:color w:val="000000"/>
                <w:sz w:val="19"/>
                <w:szCs w:val="19"/>
              </w:rPr>
              <w:br/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մակարդակում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25691C" w:rsidRPr="0025691C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i/>
                <w:iCs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4.4.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Շփումները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ներկայացուցչությունը</w:t>
            </w:r>
            <w:proofErr w:type="spellEnd"/>
          </w:p>
          <w:p w:rsidR="00365366" w:rsidRDefault="00365366" w:rsidP="00365366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պատվիրակված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օտարերկրյա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հանդիպումներին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5691C" w:rsidRPr="0025691C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br/>
              <w:t xml:space="preserve">4.5.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Խնդիրների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բարդությունը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դրանց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լուծումը</w:t>
            </w:r>
            <w:proofErr w:type="spellEnd"/>
          </w:p>
          <w:p w:rsidR="0025691C" w:rsidRPr="0025691C" w:rsidRDefault="00365366" w:rsidP="006D3AE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Իր լիազորությունների շրջանակներում բացահայտում է իր կողմից ղեկավարվող կառուցվածքային  միավորի գործառույթներից բխող խնդիրները և դրանց տալիս լուծումներ։</w:t>
            </w:r>
          </w:p>
        </w:tc>
      </w:tr>
    </w:tbl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/>
          <w:color w:val="000000"/>
          <w:sz w:val="19"/>
          <w:szCs w:val="19"/>
        </w:rPr>
      </w:pPr>
      <w:r w:rsidRPr="0025691C">
        <w:rPr>
          <w:rFonts w:ascii="Arial" w:eastAsia="Times New Roman" w:hAnsi="Arial" w:cs="Arial"/>
          <w:color w:val="000000"/>
          <w:sz w:val="19"/>
          <w:szCs w:val="19"/>
        </w:rPr>
        <w:lastRenderedPageBreak/>
        <w:t> </w:t>
      </w: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19"/>
          <w:u w:val="single"/>
        </w:rPr>
      </w:pP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19"/>
          <w:u w:val="single"/>
        </w:rPr>
      </w:pP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19"/>
          <w:u w:val="single"/>
        </w:rPr>
      </w:pP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19"/>
          <w:u w:val="single"/>
        </w:rPr>
      </w:pPr>
    </w:p>
    <w:p w:rsidR="0025691C" w:rsidRPr="0025691C" w:rsidRDefault="0025691C" w:rsidP="0025691C">
      <w:pPr>
        <w:rPr>
          <w:rFonts w:ascii="GHEA Grapalat" w:hAnsi="GHEA Grapalat"/>
        </w:rPr>
      </w:pPr>
    </w:p>
    <w:p w:rsidR="00560192" w:rsidRPr="0025691C" w:rsidRDefault="00560192" w:rsidP="0025691C">
      <w:pPr>
        <w:rPr>
          <w:rFonts w:ascii="GHEA Grapalat" w:hAnsi="GHEA Grapalat"/>
        </w:rPr>
      </w:pPr>
    </w:p>
    <w:sectPr w:rsidR="00560192" w:rsidRPr="0025691C" w:rsidSect="00E9191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667"/>
    <w:multiLevelType w:val="hybridMultilevel"/>
    <w:tmpl w:val="7AC09626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558B1"/>
    <w:multiLevelType w:val="hybridMultilevel"/>
    <w:tmpl w:val="7B9483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F1D6EEE"/>
    <w:multiLevelType w:val="hybridMultilevel"/>
    <w:tmpl w:val="F0047B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078B0"/>
    <w:multiLevelType w:val="hybridMultilevel"/>
    <w:tmpl w:val="7C72B9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93B88"/>
    <w:multiLevelType w:val="multilevel"/>
    <w:tmpl w:val="299CC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04719A7"/>
    <w:multiLevelType w:val="hybridMultilevel"/>
    <w:tmpl w:val="AB8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72F78"/>
    <w:multiLevelType w:val="hybridMultilevel"/>
    <w:tmpl w:val="85CA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7EE8"/>
    <w:rsid w:val="00046A86"/>
    <w:rsid w:val="00092E8B"/>
    <w:rsid w:val="00093A52"/>
    <w:rsid w:val="000A0A76"/>
    <w:rsid w:val="000E5192"/>
    <w:rsid w:val="00107E53"/>
    <w:rsid w:val="001D069C"/>
    <w:rsid w:val="001F5010"/>
    <w:rsid w:val="00233C7B"/>
    <w:rsid w:val="0025691C"/>
    <w:rsid w:val="00293995"/>
    <w:rsid w:val="00296A2C"/>
    <w:rsid w:val="002E1A2A"/>
    <w:rsid w:val="003104D4"/>
    <w:rsid w:val="00323A19"/>
    <w:rsid w:val="00365366"/>
    <w:rsid w:val="00373F24"/>
    <w:rsid w:val="003C600F"/>
    <w:rsid w:val="003F49BD"/>
    <w:rsid w:val="004430FD"/>
    <w:rsid w:val="00475F08"/>
    <w:rsid w:val="0049042B"/>
    <w:rsid w:val="004B6FFB"/>
    <w:rsid w:val="004D6770"/>
    <w:rsid w:val="004E1B3A"/>
    <w:rsid w:val="004E2C7C"/>
    <w:rsid w:val="004E5283"/>
    <w:rsid w:val="005321E8"/>
    <w:rsid w:val="00560192"/>
    <w:rsid w:val="005C6194"/>
    <w:rsid w:val="005E1400"/>
    <w:rsid w:val="005E585C"/>
    <w:rsid w:val="005E7A9E"/>
    <w:rsid w:val="005F46BD"/>
    <w:rsid w:val="0060555B"/>
    <w:rsid w:val="006644D2"/>
    <w:rsid w:val="00667609"/>
    <w:rsid w:val="00674F27"/>
    <w:rsid w:val="006A7673"/>
    <w:rsid w:val="006D3AE8"/>
    <w:rsid w:val="006E5FD8"/>
    <w:rsid w:val="006E740A"/>
    <w:rsid w:val="006F0D80"/>
    <w:rsid w:val="00761B7E"/>
    <w:rsid w:val="00763626"/>
    <w:rsid w:val="007646D9"/>
    <w:rsid w:val="00797E9B"/>
    <w:rsid w:val="007B323F"/>
    <w:rsid w:val="007D2581"/>
    <w:rsid w:val="007E268D"/>
    <w:rsid w:val="00845A09"/>
    <w:rsid w:val="00865EF0"/>
    <w:rsid w:val="008A3F69"/>
    <w:rsid w:val="008B7EE8"/>
    <w:rsid w:val="008F56BC"/>
    <w:rsid w:val="008F6DCC"/>
    <w:rsid w:val="00915868"/>
    <w:rsid w:val="00930330"/>
    <w:rsid w:val="009601BC"/>
    <w:rsid w:val="00993F9F"/>
    <w:rsid w:val="009A291F"/>
    <w:rsid w:val="009F15D9"/>
    <w:rsid w:val="00A340AA"/>
    <w:rsid w:val="00A723AA"/>
    <w:rsid w:val="00AD0905"/>
    <w:rsid w:val="00AE7CEE"/>
    <w:rsid w:val="00B050C3"/>
    <w:rsid w:val="00B26E53"/>
    <w:rsid w:val="00B27B69"/>
    <w:rsid w:val="00B77E07"/>
    <w:rsid w:val="00C3401F"/>
    <w:rsid w:val="00C50849"/>
    <w:rsid w:val="00C914E7"/>
    <w:rsid w:val="00C92D45"/>
    <w:rsid w:val="00CE1CF8"/>
    <w:rsid w:val="00E1043E"/>
    <w:rsid w:val="00E10C8E"/>
    <w:rsid w:val="00E1209F"/>
    <w:rsid w:val="00E1407B"/>
    <w:rsid w:val="00E2172E"/>
    <w:rsid w:val="00E63620"/>
    <w:rsid w:val="00E83CDA"/>
    <w:rsid w:val="00E9191A"/>
    <w:rsid w:val="00ED00AE"/>
    <w:rsid w:val="00EE6A3E"/>
    <w:rsid w:val="00F10E5B"/>
    <w:rsid w:val="00F22C5D"/>
    <w:rsid w:val="00F87CBC"/>
    <w:rsid w:val="00FA2884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EA77"/>
  <w15:docId w15:val="{73BC57EC-3A5E-448B-BA73-1BD7857F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E8"/>
    <w:pPr>
      <w:spacing w:after="160" w:line="256" w:lineRule="auto"/>
    </w:pPr>
    <w:rPr>
      <w:rFonts w:ascii="Calibri" w:eastAsia="Calibri" w:hAnsi="Calibr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B7EE8"/>
    <w:pPr>
      <w:spacing w:after="120"/>
      <w:ind w:left="36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7EE8"/>
    <w:rPr>
      <w:rFonts w:ascii="Calibri" w:eastAsia="Calibri" w:hAnsi="Calibri"/>
      <w:b w:val="0"/>
      <w:sz w:val="20"/>
      <w:szCs w:val="20"/>
    </w:rPr>
  </w:style>
  <w:style w:type="paragraph" w:styleId="a6">
    <w:name w:val="No Spacing"/>
    <w:uiPriority w:val="1"/>
    <w:qFormat/>
    <w:rsid w:val="008B7EE8"/>
    <w:pPr>
      <w:spacing w:after="0" w:line="240" w:lineRule="auto"/>
    </w:pPr>
    <w:rPr>
      <w:rFonts w:ascii="Calibri" w:eastAsia="Calibri" w:hAnsi="Calibri"/>
      <w:b w:val="0"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8"/>
    <w:uiPriority w:val="34"/>
    <w:locked/>
    <w:rsid w:val="008B7EE8"/>
    <w:rPr>
      <w:rFonts w:ascii="Calibri" w:eastAsia="Times New Roman" w:hAnsi="Calibri"/>
      <w:lang w:val="ru-RU" w:eastAsia="ru-RU"/>
    </w:rPr>
  </w:style>
  <w:style w:type="paragraph" w:styleId="a8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8B7EE8"/>
    <w:pPr>
      <w:spacing w:after="200" w:line="276" w:lineRule="auto"/>
      <w:ind w:left="720"/>
      <w:contextualSpacing/>
    </w:pPr>
    <w:rPr>
      <w:rFonts w:eastAsia="Times New Roman"/>
      <w:b/>
      <w:lang w:val="ru-RU" w:eastAsia="ru-RU"/>
    </w:rPr>
  </w:style>
  <w:style w:type="character" w:customStyle="1" w:styleId="Bodytext">
    <w:name w:val="Body text_"/>
    <w:link w:val="1"/>
    <w:locked/>
    <w:rsid w:val="008B7EE8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7EE8"/>
    <w:pPr>
      <w:widowControl w:val="0"/>
      <w:shd w:val="clear" w:color="auto" w:fill="FFFFFF"/>
      <w:spacing w:before="540" w:after="0" w:line="480" w:lineRule="exact"/>
      <w:ind w:hanging="560"/>
      <w:jc w:val="both"/>
    </w:pPr>
    <w:rPr>
      <w:rFonts w:ascii="Tahoma" w:eastAsia="Tahoma" w:hAnsi="Tahoma" w:cs="Tahoma"/>
      <w:b/>
    </w:rPr>
  </w:style>
  <w:style w:type="table" w:styleId="a9">
    <w:name w:val="Table Grid"/>
    <w:basedOn w:val="a1"/>
    <w:uiPriority w:val="59"/>
    <w:rsid w:val="005321E8"/>
    <w:pPr>
      <w:spacing w:after="0" w:line="240" w:lineRule="auto"/>
    </w:pPr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B050C3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B050C3"/>
    <w:rPr>
      <w:rFonts w:asciiTheme="minorHAnsi" w:eastAsiaTheme="minorEastAsia" w:hAnsiTheme="minorHAnsi" w:cstheme="minorBidi"/>
      <w:b w:val="0"/>
    </w:rPr>
  </w:style>
  <w:style w:type="character" w:styleId="aa">
    <w:name w:val="Strong"/>
    <w:basedOn w:val="a0"/>
    <w:uiPriority w:val="22"/>
    <w:qFormat/>
    <w:rsid w:val="00AE7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Mulberry 2.0</cp:keywords>
  <cp:lastModifiedBy>Gayane</cp:lastModifiedBy>
  <cp:revision>7</cp:revision>
  <dcterms:created xsi:type="dcterms:W3CDTF">2019-12-17T10:42:00Z</dcterms:created>
  <dcterms:modified xsi:type="dcterms:W3CDTF">2022-07-19T06:11:00Z</dcterms:modified>
</cp:coreProperties>
</file>