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2A1E0EFB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917D07" w:rsidRPr="00917D07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DB41416" w:rsidR="003147DD" w:rsidRPr="00570B06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9A4C16">
        <w:rPr>
          <w:rFonts w:ascii="GHEA Grapalat" w:eastAsia="Times New Roman" w:hAnsi="GHEA Grapalat" w:cs="Sylfaen"/>
          <w:bCs/>
          <w:lang w:val="hy-AM"/>
        </w:rPr>
        <w:t>1</w:t>
      </w:r>
      <w:r w:rsidR="00917D07" w:rsidRPr="00917D07">
        <w:rPr>
          <w:rFonts w:ascii="GHEA Grapalat" w:eastAsia="Times New Roman" w:hAnsi="GHEA Grapalat" w:cs="Sylfaen"/>
          <w:bCs/>
          <w:lang w:val="hy-AM"/>
        </w:rPr>
        <w:t>9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հանձնարարությունները՝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պատշաճ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որակով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36338B5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ապահովում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շրջանառությունը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լրացնում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ED3EE7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bookmarkStart w:id="0" w:name="_Hlk95484028"/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հետևում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հանձնարարականների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համապատասխան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կատարման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ընթացքին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որոնց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արդյունքների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bookmarkEnd w:id="0"/>
    <w:p w14:paraId="136FDEB7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դեպքում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ներկայացնում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ինչպես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հաշվետվություններ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միջնորդագրեր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զեկուցագրեր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5BFCEA6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թ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մասնակցում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ծրագրերի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մշակման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աշխատանքներին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6A678AAC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lastRenderedPageBreak/>
        <w:t>ժ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ուսումնասիրում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դիմումներում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բողոքներում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բարձրացված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հարցերը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օրենսդրությամբ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կարգով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ժամկետներում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նախապատրաստում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պատասխան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213FD68E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պետի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հանձնարարությամբ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առջև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դրված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գործառույթներից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խնդիրներից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բխող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առաջարկությունների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եզրակացությունների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փաստաթղթերի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պահպանության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արխիվացման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աշխատանքները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. </w:t>
      </w:r>
    </w:p>
    <w:p w14:paraId="2916D8E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խ)</w:t>
      </w:r>
      <w:r w:rsidRPr="00600E00">
        <w:rPr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ծ)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իրականացնում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սույն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պաշտոնի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անձնագրով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6147F3D" w14:textId="77777777" w:rsidR="001F2712" w:rsidRPr="00600E00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կ)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Բաժնի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Առաջատար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մասնագետն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Օրենքով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իրավունքներ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կրում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այդ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ակտերով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նախատեսված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600E00">
        <w:rPr>
          <w:rFonts w:ascii="GHEA Grapalat" w:hAnsi="GHEA Grapalat" w:cs="Sylfaen"/>
          <w:sz w:val="24"/>
          <w:szCs w:val="24"/>
          <w:highlight w:val="yellow"/>
          <w:lang w:val="hy-AM"/>
        </w:rPr>
        <w:t>պարտականություններ</w:t>
      </w:r>
      <w:r w:rsidRPr="00600E00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2984E1EC" w14:textId="77777777" w:rsidR="003147DD" w:rsidRPr="00570B0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570B0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570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F2712" w:rsidRDefault="001F2712" w:rsidP="001F2712">
      <w:pPr>
        <w:spacing w:after="0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առնվազն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միջնակարգ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կրթություն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59233182" w14:textId="21510623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բ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Աշխատակազմի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կանոնադրության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բաժնի գործառույթներից բխող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համապատասխան ոլորտի իրավական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իմացություն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տարբեր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իրավիճակներում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կողմնորոշվելու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362F28F6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գ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տեղեկատվությանը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A432BF3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դ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համակարգչով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ժամանակակից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տեխնիկական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միջոցներով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աշխատելու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0DF9E72A" w14:textId="77777777" w:rsidR="001F2712" w:rsidRPr="001F271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ե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ռուսաց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լեզվին</w:t>
      </w:r>
      <w:r w:rsidRPr="001F2712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10276B30" w14:textId="3E72A5A6" w:rsidR="00F02D3D" w:rsidRPr="001F2712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0735D51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.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570B0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0B0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և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ՀՀ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ետ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չեն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570B0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570B0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570B0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>
        <w:rPr>
          <w:rFonts w:ascii="GHEA Grapalat" w:hAnsi="GHEA Grapalat"/>
          <w:sz w:val="24"/>
          <w:szCs w:val="24"/>
          <w:highlight w:val="yellow"/>
          <w:lang w:val="hy-AM"/>
        </w:rPr>
        <w:t>Ա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շխատանքային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ց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  «Նորմատիվ ի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>,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="001F2712" w:rsidRPr="001F2712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1F2712" w:rsidRPr="001F2712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="001F2712">
        <w:rPr>
          <w:rFonts w:ascii="GHEA Grapalat" w:hAnsi="GHEA Grapalat" w:cs="Sylfaen"/>
          <w:sz w:val="24"/>
          <w:szCs w:val="24"/>
          <w:lang w:val="hy-AM"/>
        </w:rPr>
        <w:t>ց</w:t>
      </w:r>
      <w:r w:rsidR="00456F0F" w:rsidRPr="00570B0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490D273" w:rsidR="003147DD" w:rsidRPr="00570B0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917D07" w:rsidRPr="00917D0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՝Մեծամորի համայնքապետարանի վարչական շենքում՝ ք</w:t>
      </w:r>
      <w:r w:rsidR="009A4C1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69C53DD" w:rsidR="003147DD" w:rsidRPr="00570B0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917D07">
        <w:rPr>
          <w:rFonts w:ascii="GHEA Grapalat" w:eastAsia="Times New Roman" w:hAnsi="GHEA Grapalat" w:cs="Sylfaen"/>
          <w:bCs/>
          <w:sz w:val="24"/>
          <w:szCs w:val="24"/>
        </w:rPr>
        <w:t>6</w:t>
      </w:r>
      <w:bookmarkStart w:id="1" w:name="_GoBack"/>
      <w:bookmarkEnd w:id="1"/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A4C1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570B0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570B0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>
        <w:rPr>
          <w:rFonts w:ascii="GHEA Grapalat" w:hAnsi="GHEA Grapalat"/>
          <w:sz w:val="24"/>
          <w:szCs w:val="24"/>
          <w:lang w:val="hy-AM"/>
        </w:rPr>
        <w:t>8</w:t>
      </w:r>
      <w:r w:rsidR="0061686F" w:rsidRPr="00570B06">
        <w:rPr>
          <w:rFonts w:ascii="GHEA Grapalat" w:hAnsi="GHEA Grapalat"/>
          <w:sz w:val="24"/>
          <w:szCs w:val="24"/>
          <w:lang w:val="hy-AM"/>
        </w:rPr>
        <w:t>:</w:t>
      </w:r>
      <w:r w:rsidRPr="00570B06">
        <w:rPr>
          <w:rFonts w:ascii="GHEA Grapalat" w:hAnsi="GHEA Grapalat"/>
          <w:sz w:val="24"/>
          <w:szCs w:val="24"/>
          <w:lang w:val="hy-AM"/>
        </w:rPr>
        <w:t>00-</w:t>
      </w:r>
      <w:r w:rsidRPr="00570B06">
        <w:rPr>
          <w:rFonts w:ascii="GHEA Grapalat" w:hAnsi="GHEA Grapalat" w:cs="Sylfaen"/>
          <w:sz w:val="24"/>
          <w:szCs w:val="24"/>
          <w:lang w:val="hy-AM"/>
        </w:rPr>
        <w:t>ն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570B0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570B0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570B0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D45059A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0B0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9A4C16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  <w:r w:rsidR="006D46CF" w:rsidRPr="009A4C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70B0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7D07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64A7-9038-4FD6-A391-08622FC8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136</cp:revision>
  <cp:lastPrinted>2022-07-16T06:21:00Z</cp:lastPrinted>
  <dcterms:created xsi:type="dcterms:W3CDTF">2022-07-07T12:29:00Z</dcterms:created>
  <dcterms:modified xsi:type="dcterms:W3CDTF">2022-07-28T03:02:00Z</dcterms:modified>
</cp:coreProperties>
</file>