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46B" w14:textId="77777777" w:rsidR="00F81981" w:rsidRPr="00FB57CF" w:rsidRDefault="00F81981" w:rsidP="00466DF8">
      <w:pPr>
        <w:pStyle w:val="Heading1"/>
      </w:pPr>
      <w:r w:rsidRPr="00FB57CF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9373CC7" wp14:editId="472376B5">
            <wp:simplePos x="0" y="0"/>
            <wp:positionH relativeFrom="column">
              <wp:posOffset>-21590</wp:posOffset>
            </wp:positionH>
            <wp:positionV relativeFrom="paragraph">
              <wp:posOffset>1486535</wp:posOffset>
            </wp:positionV>
            <wp:extent cx="1010323" cy="84052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0323" cy="84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72C6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68DE47B" wp14:editId="7C831DA5">
            <wp:simplePos x="3346450" y="1009650"/>
            <wp:positionH relativeFrom="margin">
              <wp:align>center</wp:align>
            </wp:positionH>
            <wp:positionV relativeFrom="margin">
              <wp:align>top</wp:align>
            </wp:positionV>
            <wp:extent cx="1239520" cy="1201420"/>
            <wp:effectExtent l="95250" t="95250" r="93980" b="9398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1420"/>
                    </a:xfrm>
                    <a:prstGeom prst="ellipse">
                      <a:avLst/>
                    </a:prstGeom>
                    <a:ln w="0" cap="rnd">
                      <a:noFill/>
                      <a:prstDash val="soli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5400000"/>
                      <a:lightRig rig="soft" dir="t"/>
                    </a:scene3d>
                    <a:sp3d extrusionH="25400" prstMaterial="matte"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572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53069" wp14:editId="40EF1485">
                <wp:simplePos x="0" y="0"/>
                <wp:positionH relativeFrom="column">
                  <wp:posOffset>-895350</wp:posOffset>
                </wp:positionH>
                <wp:positionV relativeFrom="paragraph">
                  <wp:posOffset>603250</wp:posOffset>
                </wp:positionV>
                <wp:extent cx="7524750" cy="40005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00050"/>
                        </a:xfrm>
                        <a:prstGeom prst="rect">
                          <a:avLst/>
                        </a:prstGeom>
                        <a:solidFill>
                          <a:srgbClr val="00B0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DB90F" id="Rectangle 6" o:spid="_x0000_s1026" style="position:absolute;margin-left:-70.5pt;margin-top:47.5pt;width:592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" fillcolor="#00b0eb" stroked="f" strokeweight="1pt"/>
            </w:pict>
          </mc:Fallback>
        </mc:AlternateContent>
      </w:r>
    </w:p>
    <w:p w14:paraId="02EE92BD" w14:textId="77777777" w:rsidR="00F81981" w:rsidRPr="00FB57CF" w:rsidRDefault="00F81981" w:rsidP="007859DB"/>
    <w:p w14:paraId="1580056D" w14:textId="77777777" w:rsidR="00F81981" w:rsidRPr="00FB57CF" w:rsidRDefault="00F81981" w:rsidP="007859DB"/>
    <w:p w14:paraId="6B5CD2E1" w14:textId="77777777" w:rsidR="00F81981" w:rsidRPr="00FB57CF" w:rsidRDefault="00F81981" w:rsidP="007859DB"/>
    <w:p w14:paraId="6312FFFE" w14:textId="77777777" w:rsidR="00F81981" w:rsidRPr="00FB57CF" w:rsidRDefault="00F81981" w:rsidP="007859DB"/>
    <w:p w14:paraId="6AF38FA8" w14:textId="77777777" w:rsidR="00F81981" w:rsidRPr="00FB57CF" w:rsidRDefault="00E85C77" w:rsidP="007859DB">
      <w:r w:rsidRPr="009572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F30D22" wp14:editId="3D4B8A86">
                <wp:simplePos x="0" y="0"/>
                <wp:positionH relativeFrom="column">
                  <wp:posOffset>1119505</wp:posOffset>
                </wp:positionH>
                <wp:positionV relativeFrom="paragraph">
                  <wp:posOffset>19050</wp:posOffset>
                </wp:positionV>
                <wp:extent cx="3473450" cy="8337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833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4DB4C" w14:textId="77777777" w:rsidR="00035A90" w:rsidRPr="005A201C" w:rsidRDefault="00035A90" w:rsidP="00B63B81">
                            <w:pPr>
                              <w:pStyle w:val="NormalWeb"/>
                              <w:spacing w:after="0" w:afterAutospacing="0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16"/>
                              </w:rPr>
                            </w:pPr>
                            <w:r w:rsidRPr="005A201C">
                              <w:rPr>
                                <w:rFonts w:ascii="GHEA Grapalat" w:hAnsi="GHEA Grapalat"/>
                                <w:b/>
                              </w:rPr>
                              <w:t>ՀԱՅԱՍՏԱՆԻ ՀԱՆՐԱՊԵՏՈՒԹՅԱՆ ՀԱՇՎԵՔՆՆԻՉ ՊԱԼԱՏ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0D2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88.15pt;margin-top:1.5pt;width:273.5pt;height:6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" filled="f" stroked="f">
                <v:textbox>
                  <w:txbxContent>
                    <w:p w14:paraId="7224DB4C" w14:textId="77777777" w:rsidR="00035A90" w:rsidRPr="005A201C" w:rsidRDefault="00035A90" w:rsidP="00B63B81">
                      <w:pPr>
                        <w:pStyle w:val="NormalWeb"/>
                        <w:spacing w:after="0" w:afterAutospacing="0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16"/>
                        </w:rPr>
                      </w:pPr>
                      <w:r w:rsidRPr="005A201C">
                        <w:rPr>
                          <w:rFonts w:ascii="GHEA Grapalat" w:hAnsi="GHEA Grapalat"/>
                          <w:b/>
                        </w:rPr>
                        <w:t>ՀԱՅԱՍՏԱՆԻ ՀԱՆՐԱՊԵՏՈՒԹՅԱՆ ՀԱՇՎԵՔՆՆԻՉ ՊԱԼԱՏ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DB1ED0" w14:textId="77777777" w:rsidR="00F81981" w:rsidRPr="00FB57CF" w:rsidRDefault="00F81981" w:rsidP="007859DB"/>
    <w:p w14:paraId="1D39D1EE" w14:textId="77777777" w:rsidR="00F81981" w:rsidRPr="00FB57CF" w:rsidRDefault="00F81981" w:rsidP="007859DB"/>
    <w:p w14:paraId="4E374C0F" w14:textId="77777777" w:rsidR="00F81981" w:rsidRPr="00FB57CF" w:rsidRDefault="00F81981" w:rsidP="007859DB"/>
    <w:p w14:paraId="3A6DC8EC" w14:textId="77777777" w:rsidR="00F81981" w:rsidRPr="00FB57CF" w:rsidRDefault="00F81981" w:rsidP="007859DB"/>
    <w:p w14:paraId="20C1C7AC" w14:textId="77777777" w:rsidR="00F81981" w:rsidRPr="00FB57CF" w:rsidRDefault="00F81981" w:rsidP="007859DB"/>
    <w:p w14:paraId="4515E554" w14:textId="77777777" w:rsidR="00F81981" w:rsidRPr="00FB57CF" w:rsidRDefault="00F81981" w:rsidP="007859DB"/>
    <w:p w14:paraId="740BAB2B" w14:textId="77777777" w:rsidR="00F81981" w:rsidRPr="00FB57CF" w:rsidRDefault="005A201C" w:rsidP="007859DB">
      <w:r w:rsidRPr="009572C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0E00DD" wp14:editId="3243CB05">
                <wp:simplePos x="0" y="0"/>
                <wp:positionH relativeFrom="margin">
                  <wp:posOffset>-133350</wp:posOffset>
                </wp:positionH>
                <wp:positionV relativeFrom="paragraph">
                  <wp:posOffset>369027</wp:posOffset>
                </wp:positionV>
                <wp:extent cx="6000750" cy="2076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5D59" w14:textId="77777777" w:rsidR="00035A90" w:rsidRPr="00E85C77" w:rsidRDefault="00035A90" w:rsidP="00E85C77">
                            <w:pPr>
                              <w:pStyle w:val="Title"/>
                              <w:ind w:firstLine="0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E85C77">
                              <w:rPr>
                                <w:rFonts w:ascii="GHEA Grapalat" w:hAnsi="GHEA Grapalat"/>
                                <w:b/>
                              </w:rPr>
                              <w:t>ՀԱՅԵՑԱԿԱՐԳ</w:t>
                            </w:r>
                          </w:p>
                          <w:p w14:paraId="03A306E3" w14:textId="77777777" w:rsidR="00035A90" w:rsidRPr="00E85C77" w:rsidRDefault="00035A90" w:rsidP="007859DB"/>
                          <w:p w14:paraId="204BE6FE" w14:textId="1F58F15C" w:rsidR="00035A90" w:rsidRPr="00E85C77" w:rsidRDefault="00035A90" w:rsidP="00E85C77">
                            <w:pPr>
                              <w:ind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E85C77">
                              <w:t xml:space="preserve">ՀԱՅԱՍՏԱՆԻ ՀԱՆՐԱՊԵՏՈՒԹՅԱՆ ԱՐՏԱՔԻՆ ՊԵՏԱԿԱՆ ՀԱՇՎԵՔՆՆՈՒԹՅԱՆ ՈԼՈՐՏԻ ԻՐԱՎԱԿԱՆ ԲԱՐԵԼԱՎՈՒՄՆԵՐԻ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00DD" id="Text Box 2" o:spid="_x0000_s1027" type="#_x0000_t202" style="position:absolute;left:0;text-align:left;margin-left:-10.5pt;margin-top:29.05pt;width:472.5pt;height:1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" stroked="f">
                <v:textbox>
                  <w:txbxContent>
                    <w:p w14:paraId="496D5D59" w14:textId="77777777" w:rsidR="00035A90" w:rsidRPr="00E85C77" w:rsidRDefault="00035A90" w:rsidP="00E85C77">
                      <w:pPr>
                        <w:pStyle w:val="Title"/>
                        <w:ind w:firstLine="0"/>
                        <w:rPr>
                          <w:rFonts w:ascii="GHEA Grapalat" w:hAnsi="GHEA Grapalat"/>
                          <w:b/>
                        </w:rPr>
                      </w:pPr>
                      <w:r w:rsidRPr="00E85C77">
                        <w:rPr>
                          <w:rFonts w:ascii="GHEA Grapalat" w:hAnsi="GHEA Grapalat"/>
                          <w:b/>
                        </w:rPr>
                        <w:t>ՀԱՅԵՑԱԿԱՐԳ</w:t>
                      </w:r>
                    </w:p>
                    <w:p w14:paraId="03A306E3" w14:textId="77777777" w:rsidR="00035A90" w:rsidRPr="00E85C77" w:rsidRDefault="00035A90" w:rsidP="007859DB"/>
                    <w:p w14:paraId="204BE6FE" w14:textId="1F58F15C" w:rsidR="00035A90" w:rsidRPr="00E85C77" w:rsidRDefault="00035A90" w:rsidP="00E85C77">
                      <w:pPr>
                        <w:ind w:firstLine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E85C77">
                        <w:t xml:space="preserve">ՀԱՅԱՍՏԱՆԻ ՀԱՆՐԱՊԵՏՈՒԹՅԱՆ ԱՐՏԱՔԻՆ ՊԵՏԱԿԱՆ ՀԱՇՎԵՔՆՆՈՒԹՅԱՆ ՈԼՈՐՏԻ ԻՐԱՎԱԿԱՆ ԲԱՐԵԼԱՎՈՒՄՆԵՐԻ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B280C9" w14:textId="77777777" w:rsidR="00F81981" w:rsidRPr="00FB57CF" w:rsidRDefault="00F81981" w:rsidP="007859DB"/>
    <w:p w14:paraId="21039C14" w14:textId="77777777" w:rsidR="00F81981" w:rsidRPr="00FB57CF" w:rsidRDefault="00F81981" w:rsidP="007859DB"/>
    <w:p w14:paraId="228764E3" w14:textId="77777777" w:rsidR="00F81981" w:rsidRPr="00FB57CF" w:rsidRDefault="00F81981" w:rsidP="007859DB"/>
    <w:p w14:paraId="3F362617" w14:textId="77777777" w:rsidR="00F81981" w:rsidRPr="00FB57CF" w:rsidRDefault="00F81981" w:rsidP="007859DB"/>
    <w:p w14:paraId="1B602117" w14:textId="77777777" w:rsidR="00E36EC3" w:rsidRPr="00FB57CF" w:rsidRDefault="00931E75" w:rsidP="007859DB">
      <w:r w:rsidRPr="009572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D04326" wp14:editId="17519429">
                <wp:simplePos x="0" y="0"/>
                <wp:positionH relativeFrom="column">
                  <wp:posOffset>1226820</wp:posOffset>
                </wp:positionH>
                <wp:positionV relativeFrom="paragraph">
                  <wp:posOffset>1004570</wp:posOffset>
                </wp:positionV>
                <wp:extent cx="3473450" cy="6750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675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D7CE92" w14:textId="77777777" w:rsidR="00931E75" w:rsidRPr="00931E75" w:rsidRDefault="00931E75" w:rsidP="00931E75">
                            <w:pPr>
                              <w:pStyle w:val="NormalWeb"/>
                              <w:spacing w:after="240" w:afterAutospacing="0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931E75">
                              <w:rPr>
                                <w:rFonts w:ascii="GHEA Grapalat" w:hAnsi="GHEA Grapalat"/>
                                <w:b/>
                              </w:rPr>
                              <w:t>ԵՐԵՎԱՆ</w:t>
                            </w:r>
                          </w:p>
                          <w:p w14:paraId="431C6425" w14:textId="626752AB" w:rsidR="00931E75" w:rsidRPr="009572C6" w:rsidRDefault="009572C6" w:rsidP="00931E75">
                            <w:pPr>
                              <w:pStyle w:val="NormalWeb"/>
                              <w:spacing w:before="0" w:beforeAutospacing="0" w:after="240" w:afterAutospacing="0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16"/>
                                <w:lang w:val="en-US"/>
                              </w:rPr>
                            </w:pPr>
                            <w:r w:rsidRPr="009572C6">
                              <w:rPr>
                                <w:rFonts w:ascii="GHEA Grapalat" w:hAnsi="GHEA Grapalat"/>
                                <w:b/>
                                <w:lang w:val="en-US"/>
                              </w:rPr>
                              <w:t>14</w:t>
                            </w:r>
                            <w:r w:rsidR="00293E14" w:rsidRPr="009572C6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9572C6">
                              <w:rPr>
                                <w:rFonts w:ascii="GHEA Grapalat" w:hAnsi="GHEA Grapalat"/>
                                <w:b/>
                                <w:lang w:val="en-US"/>
                              </w:rPr>
                              <w:t>սեպտեմբեր</w:t>
                            </w:r>
                            <w:r w:rsidR="00951FE3" w:rsidRPr="009572C6">
                              <w:rPr>
                                <w:rFonts w:ascii="GHEA Grapalat" w:hAnsi="GHEA Grapalat"/>
                                <w:b/>
                                <w:lang w:val="en-US"/>
                              </w:rPr>
                              <w:t>ի</w:t>
                            </w:r>
                            <w:r w:rsidR="00931E75" w:rsidRPr="009572C6">
                              <w:rPr>
                                <w:rFonts w:ascii="GHEA Grapalat" w:hAnsi="GHEA Grapalat"/>
                                <w:b/>
                              </w:rPr>
                              <w:t>, 2022</w:t>
                            </w:r>
                            <w:r w:rsidR="00951FE3" w:rsidRPr="009572C6">
                              <w:rPr>
                                <w:rFonts w:ascii="GHEA Grapalat" w:hAnsi="GHEA Grapalat"/>
                                <w:b/>
                                <w:lang w:val="en-US"/>
                              </w:rPr>
                              <w:t>թ.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4326" id="_x0000_s1028" type="#_x0000_t202" style="position:absolute;left:0;text-align:left;margin-left:96.6pt;margin-top:79.1pt;width:273.5pt;height:5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" filled="f" stroked="f">
                <v:textbox>
                  <w:txbxContent>
                    <w:p w14:paraId="05D7CE92" w14:textId="77777777" w:rsidR="00931E75" w:rsidRPr="00931E75" w:rsidRDefault="00931E75" w:rsidP="00931E75">
                      <w:pPr>
                        <w:pStyle w:val="NormalWeb"/>
                        <w:spacing w:after="240" w:afterAutospacing="0"/>
                        <w:ind w:firstLine="0"/>
                        <w:jc w:val="center"/>
                        <w:rPr>
                          <w:rFonts w:ascii="GHEA Grapalat" w:hAnsi="GHEA Grapalat"/>
                          <w:b/>
                        </w:rPr>
                      </w:pPr>
                      <w:r w:rsidRPr="00931E75">
                        <w:rPr>
                          <w:rFonts w:ascii="GHEA Grapalat" w:hAnsi="GHEA Grapalat"/>
                          <w:b/>
                        </w:rPr>
                        <w:t>ԵՐԵՎԱՆ</w:t>
                      </w:r>
                    </w:p>
                    <w:p w14:paraId="431C6425" w14:textId="626752AB" w:rsidR="00931E75" w:rsidRPr="009572C6" w:rsidRDefault="009572C6" w:rsidP="00931E75">
                      <w:pPr>
                        <w:pStyle w:val="NormalWeb"/>
                        <w:spacing w:before="0" w:beforeAutospacing="0" w:after="240" w:afterAutospacing="0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16"/>
                          <w:lang w:val="en-US"/>
                        </w:rPr>
                      </w:pPr>
                      <w:r w:rsidRPr="009572C6">
                        <w:rPr>
                          <w:rFonts w:ascii="GHEA Grapalat" w:hAnsi="GHEA Grapalat"/>
                          <w:b/>
                          <w:lang w:val="en-US"/>
                        </w:rPr>
                        <w:t>14</w:t>
                      </w:r>
                      <w:r w:rsidR="00293E14" w:rsidRPr="009572C6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9572C6">
                        <w:rPr>
                          <w:rFonts w:ascii="GHEA Grapalat" w:hAnsi="GHEA Grapalat"/>
                          <w:b/>
                          <w:lang w:val="en-US"/>
                        </w:rPr>
                        <w:t>սեպտեմբեր</w:t>
                      </w:r>
                      <w:r w:rsidR="00951FE3" w:rsidRPr="009572C6">
                        <w:rPr>
                          <w:rFonts w:ascii="GHEA Grapalat" w:hAnsi="GHEA Grapalat"/>
                          <w:b/>
                          <w:lang w:val="en-US"/>
                        </w:rPr>
                        <w:t>ի</w:t>
                      </w:r>
                      <w:r w:rsidR="00931E75" w:rsidRPr="009572C6">
                        <w:rPr>
                          <w:rFonts w:ascii="GHEA Grapalat" w:hAnsi="GHEA Grapalat"/>
                          <w:b/>
                        </w:rPr>
                        <w:t>, 2022</w:t>
                      </w:r>
                      <w:r w:rsidR="00951FE3" w:rsidRPr="009572C6">
                        <w:rPr>
                          <w:rFonts w:ascii="GHEA Grapalat" w:hAnsi="GHEA Grapalat"/>
                          <w:b/>
                          <w:lang w:val="en-US"/>
                        </w:rPr>
                        <w:t>թ.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E235F0" w14:textId="77777777" w:rsidR="00E85C77" w:rsidRPr="00FB57CF" w:rsidRDefault="00E85C77" w:rsidP="00E85C77">
      <w:pPr>
        <w:ind w:firstLine="0"/>
        <w:rPr>
          <w:b/>
          <w:sz w:val="32"/>
          <w:szCs w:val="32"/>
        </w:rPr>
        <w:sectPr w:rsidR="00E85C77" w:rsidRPr="00FB57CF" w:rsidSect="00FA2771">
          <w:headerReference w:type="default" r:id="rId10"/>
          <w:footerReference w:type="default" r:id="rId11"/>
          <w:pgSz w:w="11906" w:h="16838" w:code="9"/>
          <w:pgMar w:top="1440" w:right="1440" w:bottom="1440" w:left="1440" w:header="540" w:footer="720" w:gutter="0"/>
          <w:cols w:space="720"/>
          <w:docGrid w:linePitch="360"/>
        </w:sectPr>
      </w:pPr>
    </w:p>
    <w:p w14:paraId="6E3C1612" w14:textId="77777777" w:rsidR="00E36EC3" w:rsidRPr="00FB57CF" w:rsidRDefault="00E36EC3" w:rsidP="007859DB"/>
    <w:p w14:paraId="1227A13C" w14:textId="77777777" w:rsidR="00356079" w:rsidRPr="00FB57CF" w:rsidRDefault="00356079" w:rsidP="007859DB">
      <w:pPr>
        <w:pStyle w:val="Heading1"/>
      </w:pPr>
      <w:bookmarkStart w:id="0" w:name="_Toc109309587"/>
      <w:r w:rsidRPr="00FB57CF">
        <w:t>ԲՈՎԱՆԴԱԿՈՒԹՅՈՒՆ</w:t>
      </w:r>
      <w:bookmarkEnd w:id="0"/>
    </w:p>
    <w:p w14:paraId="15613578" w14:textId="77777777" w:rsidR="00356079" w:rsidRPr="00FB57CF" w:rsidRDefault="00356079" w:rsidP="007859DB"/>
    <w:sdt>
      <w:sdtPr>
        <w:rPr>
          <w:rFonts w:eastAsiaTheme="minorHAnsi"/>
        </w:rPr>
        <w:id w:val="-6020348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251328" w14:textId="075D57B8" w:rsidR="008453EF" w:rsidRPr="009572C6" w:rsidRDefault="0035607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r w:rsidRPr="009572C6">
            <w:fldChar w:fldCharType="begin"/>
          </w:r>
          <w:r w:rsidRPr="00FB57CF">
            <w:instrText xml:space="preserve"> TOC \o "1-3" \h \z \u </w:instrText>
          </w:r>
          <w:r w:rsidRPr="009572C6">
            <w:fldChar w:fldCharType="separate"/>
          </w:r>
          <w:hyperlink w:anchor="_Toc109309587" w:history="1">
            <w:r w:rsidR="008453EF" w:rsidRPr="00FB57CF">
              <w:rPr>
                <w:rStyle w:val="Hyperlink"/>
              </w:rPr>
              <w:t>ԲՈՎԱՆ</w:t>
            </w:r>
            <w:bookmarkStart w:id="1" w:name="_GoBack"/>
            <w:bookmarkEnd w:id="1"/>
            <w:r w:rsidR="008453EF" w:rsidRPr="00FB57CF">
              <w:rPr>
                <w:rStyle w:val="Hyperlink"/>
              </w:rPr>
              <w:t>ԴԱԿՈՒԹՅՈՒՆ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_Toc109309587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2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525CAE23" w14:textId="6AAFF949" w:rsidR="008453EF" w:rsidRPr="009572C6" w:rsidRDefault="007D1631">
          <w:pPr>
            <w:pStyle w:val="TOC2"/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88" w:history="1">
            <w:r w:rsidR="008453EF" w:rsidRPr="00FB57CF">
              <w:rPr>
                <w:rStyle w:val="Hyperlink"/>
              </w:rPr>
              <w:t>1.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Ընդհանուր դրույթներ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_Toc109309588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3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48914EEE" w14:textId="7272C04B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89" w:history="1">
            <w:r w:rsidR="008453EF" w:rsidRPr="00FB57CF">
              <w:rPr>
                <w:rStyle w:val="Hyperlink"/>
              </w:rPr>
              <w:t>1.1.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Պետական ֆինանսների կառավարման (ՊՖԿ) համակարգի 2019-2023 թվականների բարեփոխումների ռազմավարություն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_Toc109309589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4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098DCE9D" w14:textId="7055F842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0" w:history="1">
            <w:r w:rsidR="008453EF" w:rsidRPr="00FB57CF">
              <w:rPr>
                <w:rStyle w:val="Hyperlink"/>
              </w:rPr>
              <w:t>1.2.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ՀՀ և ԵՄ «Համապարփակ և ընդլայնված գործընկերության համաձայնագիր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_Toc109309590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5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203C21D2" w14:textId="6FB3F7E8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1" w:history="1">
            <w:r w:rsidR="008453EF" w:rsidRPr="00FB57CF">
              <w:rPr>
                <w:rStyle w:val="Hyperlink"/>
              </w:rPr>
              <w:t>1.3.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 xml:space="preserve">ՄԱԿ-ի </w:t>
            </w:r>
            <w:r w:rsidR="008453EF" w:rsidRPr="00FB57CF">
              <w:rPr>
                <w:rStyle w:val="Hyperlink"/>
                <w:lang w:val="af-ZA"/>
              </w:rPr>
              <w:t>2011</w:t>
            </w:r>
            <w:r w:rsidR="008453EF" w:rsidRPr="00FB57CF">
              <w:rPr>
                <w:rStyle w:val="Hyperlink"/>
              </w:rPr>
              <w:t xml:space="preserve"> թվականի 66-րդ Գլխավոր վեհաժողովի թիվ A/66/209 որոշում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_Toc109309591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5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3DEA4563" w14:textId="32583D61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2" w:history="1">
            <w:r w:rsidR="008453EF" w:rsidRPr="00FB57CF">
              <w:rPr>
                <w:rStyle w:val="Hyperlink"/>
                <w:lang w:val="af-ZA"/>
              </w:rPr>
              <w:t>1.4.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ՀՀ</w:t>
            </w:r>
            <w:r w:rsidR="008453EF" w:rsidRPr="00FB57CF">
              <w:rPr>
                <w:rStyle w:val="Hyperlink"/>
                <w:lang w:val="af-ZA"/>
              </w:rPr>
              <w:t xml:space="preserve"> </w:t>
            </w:r>
            <w:r w:rsidR="008453EF" w:rsidRPr="00FB57CF">
              <w:rPr>
                <w:rStyle w:val="Hyperlink"/>
              </w:rPr>
              <w:t>հաշվեքննիչ</w:t>
            </w:r>
            <w:r w:rsidR="008453EF" w:rsidRPr="00FB57CF">
              <w:rPr>
                <w:rStyle w:val="Hyperlink"/>
                <w:lang w:val="af-ZA"/>
              </w:rPr>
              <w:t xml:space="preserve"> </w:t>
            </w:r>
            <w:r w:rsidR="008453EF" w:rsidRPr="00FB57CF">
              <w:rPr>
                <w:rStyle w:val="Hyperlink"/>
              </w:rPr>
              <w:t>պալատի</w:t>
            </w:r>
            <w:r w:rsidR="008453EF" w:rsidRPr="00FB57CF">
              <w:rPr>
                <w:rStyle w:val="Hyperlink"/>
                <w:lang w:val="af-ZA"/>
              </w:rPr>
              <w:t xml:space="preserve"> 2020-2023 </w:t>
            </w:r>
            <w:r w:rsidR="008453EF" w:rsidRPr="00FB57CF">
              <w:rPr>
                <w:rStyle w:val="Hyperlink"/>
              </w:rPr>
              <w:t>թվականների</w:t>
            </w:r>
            <w:r w:rsidR="008453EF" w:rsidRPr="00FB57CF">
              <w:rPr>
                <w:rStyle w:val="Hyperlink"/>
                <w:lang w:val="af-ZA"/>
              </w:rPr>
              <w:t xml:space="preserve"> </w:t>
            </w:r>
            <w:r w:rsidR="008453EF" w:rsidRPr="00FB57CF">
              <w:rPr>
                <w:rStyle w:val="Hyperlink"/>
              </w:rPr>
              <w:t>ռազմավարական</w:t>
            </w:r>
            <w:r w:rsidR="008453EF" w:rsidRPr="00FB57CF">
              <w:rPr>
                <w:rStyle w:val="Hyperlink"/>
                <w:lang w:val="af-ZA"/>
              </w:rPr>
              <w:t xml:space="preserve"> </w:t>
            </w:r>
            <w:r w:rsidR="008453EF" w:rsidRPr="00FB57CF">
              <w:rPr>
                <w:rStyle w:val="Hyperlink"/>
              </w:rPr>
              <w:t>զարգացման</w:t>
            </w:r>
            <w:r w:rsidR="008453EF" w:rsidRPr="00FB57CF">
              <w:rPr>
                <w:rStyle w:val="Hyperlink"/>
                <w:lang w:val="af-ZA"/>
              </w:rPr>
              <w:t xml:space="preserve"> </w:t>
            </w:r>
            <w:r w:rsidR="008453EF" w:rsidRPr="00FB57CF">
              <w:rPr>
                <w:rStyle w:val="Hyperlink"/>
              </w:rPr>
              <w:t>ծրագիր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_Toc109309592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6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5F74C779" w14:textId="575DDD17" w:rsidR="008453EF" w:rsidRPr="009572C6" w:rsidRDefault="007D1631">
          <w:pPr>
            <w:pStyle w:val="TOC2"/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3" w:history="1">
            <w:r w:rsidR="008453EF" w:rsidRPr="00FB57CF">
              <w:rPr>
                <w:rStyle w:val="Hyperlink"/>
              </w:rPr>
              <w:t>2.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INTOSAI հիմնարար սկզբունքներ, ստանդարտներ ու միջազգային լավագույն փորձ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_Toc109309593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6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1E154500" w14:textId="1B9A979F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4" w:history="1">
            <w:r w:rsidR="008453EF" w:rsidRPr="00FB57CF">
              <w:rPr>
                <w:rStyle w:val="Hyperlink"/>
              </w:rPr>
              <w:t>2.1.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Ֆինանսական, կազմակերպչական և գործառնական անկախություն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_Toc109309594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6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3104D4E3" w14:textId="16DE8928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5" w:history="1">
            <w:r w:rsidR="008453EF" w:rsidRPr="00FB57CF">
              <w:rPr>
                <w:rStyle w:val="Hyperlink"/>
              </w:rPr>
              <w:t>2.2.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Հաշվեքննության</w:t>
            </w:r>
            <w:r w:rsidR="008453EF" w:rsidRPr="00FB57CF">
              <w:rPr>
                <w:rStyle w:val="Hyperlink"/>
                <w:rFonts w:eastAsia="Calibri"/>
              </w:rPr>
              <w:t xml:space="preserve"> մանդատ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_Toc109309595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6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2167D1AC" w14:textId="2995E15B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6" w:history="1">
            <w:r w:rsidR="008453EF" w:rsidRPr="00FB57CF">
              <w:rPr>
                <w:rStyle w:val="Hyperlink"/>
                <w:rFonts w:eastAsia="Calibri"/>
              </w:rPr>
              <w:t>2.3.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  <w:rFonts w:eastAsia="Calibri"/>
              </w:rPr>
              <w:t>Մարդկային ռեսուրսների զարգացում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_Toc109309596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7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26E378B8" w14:textId="635FAC75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7" w:history="1">
            <w:r w:rsidR="008453EF" w:rsidRPr="00FB57CF">
              <w:rPr>
                <w:rStyle w:val="Hyperlink"/>
              </w:rPr>
              <w:t>2.4.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  <w:rFonts w:eastAsia="Calibri"/>
              </w:rPr>
              <w:t>Գործունեության արդյունավետության բարձրացման հարցեր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_Toc109309597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7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7F9AFE63" w14:textId="5144BE5C" w:rsidR="008453EF" w:rsidRPr="009572C6" w:rsidRDefault="007D1631">
          <w:pPr>
            <w:pStyle w:val="TOC2"/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8" w:history="1">
            <w:r w:rsidR="008453EF" w:rsidRPr="00FB57CF">
              <w:rPr>
                <w:rStyle w:val="Hyperlink"/>
              </w:rPr>
              <w:t>3.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Առաջարկություններ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_Toc109309598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8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781E0A1B" w14:textId="7658E02A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599" w:history="1">
            <w:r w:rsidR="008453EF" w:rsidRPr="00FB57CF">
              <w:rPr>
                <w:rStyle w:val="Hyperlink"/>
              </w:rPr>
              <w:t>3.1.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Կազմակերպչական (գործառութային), գործառնական և ֆինանսական անկախություն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_Toc109309599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8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3376AE76" w14:textId="6455FEE8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600" w:history="1">
            <w:r w:rsidR="008453EF" w:rsidRPr="00FB57CF">
              <w:rPr>
                <w:rStyle w:val="Hyperlink"/>
              </w:rPr>
              <w:t>3.2.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Հաշվեքննության մանդատ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_Toc109309600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11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6B0FBA0F" w14:textId="7D1F58EA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601" w:history="1">
            <w:r w:rsidR="008453EF" w:rsidRPr="00FB57CF">
              <w:rPr>
                <w:rStyle w:val="Hyperlink"/>
              </w:rPr>
              <w:t>3.3.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Մարդկային ռեսուրսների համարժեքություն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_Toc109309601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16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5561BF71" w14:textId="779768A7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602" w:history="1">
            <w:r w:rsidR="008453EF" w:rsidRPr="00FB57CF">
              <w:rPr>
                <w:rStyle w:val="Hyperlink"/>
              </w:rPr>
              <w:t>3.4.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</w:rPr>
              <w:t>ՀՊ գործունեության ընթացակարգերի հստակեցում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_Toc109309602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18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21FA44C5" w14:textId="14B1BBBC" w:rsidR="008453EF" w:rsidRPr="009572C6" w:rsidRDefault="007D1631">
          <w:pPr>
            <w:pStyle w:val="TOC3"/>
            <w:tabs>
              <w:tab w:val="left" w:pos="1760"/>
              <w:tab w:val="right" w:leader="dot" w:pos="9016"/>
            </w:tabs>
            <w:rPr>
              <w:rFonts w:eastAsiaTheme="minorEastAsia" w:cstheme="minorBidi"/>
              <w:noProof/>
              <w:sz w:val="22"/>
              <w:lang w:val="ru-RU" w:eastAsia="ru-RU"/>
            </w:rPr>
          </w:pPr>
          <w:hyperlink w:anchor="_Toc109309603" w:history="1">
            <w:r w:rsidR="008453EF" w:rsidRPr="00FB57CF">
              <w:rPr>
                <w:rStyle w:val="Hyperlink"/>
              </w:rPr>
              <w:t>3.5.</w:t>
            </w:r>
            <w:r w:rsidR="008453EF" w:rsidRPr="009572C6">
              <w:rPr>
                <w:rFonts w:eastAsiaTheme="minorEastAsia" w:cstheme="minorBidi"/>
                <w:noProof/>
                <w:sz w:val="22"/>
                <w:lang w:val="ru-RU" w:eastAsia="ru-RU"/>
              </w:rPr>
              <w:tab/>
            </w:r>
            <w:r w:rsidR="008453EF" w:rsidRPr="00FB57CF">
              <w:rPr>
                <w:rStyle w:val="Hyperlink"/>
                <w:iCs/>
              </w:rPr>
              <w:t>Իրավական հակասությունների (կոլիզիաներ) և բացերի ու տեխնիկական մանրամասների շտկում</w:t>
            </w:r>
            <w:r w:rsidR="008453EF" w:rsidRPr="00FB57CF">
              <w:rPr>
                <w:noProof/>
                <w:webHidden/>
              </w:rPr>
              <w:tab/>
            </w:r>
            <w:r w:rsidR="008453EF" w:rsidRPr="009572C6">
              <w:rPr>
                <w:noProof/>
                <w:webHidden/>
              </w:rPr>
              <w:fldChar w:fldCharType="begin"/>
            </w:r>
            <w:r w:rsidR="008453EF" w:rsidRPr="00FB57CF">
              <w:rPr>
                <w:noProof/>
                <w:webHidden/>
              </w:rPr>
              <w:instrText xml:space="preserve"> PAGEREF _Toc109309603 \h </w:instrText>
            </w:r>
            <w:r w:rsidR="008453EF" w:rsidRPr="009572C6">
              <w:rPr>
                <w:noProof/>
                <w:webHidden/>
              </w:rPr>
            </w:r>
            <w:r w:rsidR="008453EF" w:rsidRPr="009572C6">
              <w:rPr>
                <w:noProof/>
                <w:webHidden/>
              </w:rPr>
              <w:fldChar w:fldCharType="separate"/>
            </w:r>
            <w:r w:rsidR="00B82957">
              <w:rPr>
                <w:noProof/>
                <w:webHidden/>
              </w:rPr>
              <w:t>19</w:t>
            </w:r>
            <w:r w:rsidR="008453EF" w:rsidRPr="009572C6">
              <w:rPr>
                <w:noProof/>
                <w:webHidden/>
              </w:rPr>
              <w:fldChar w:fldCharType="end"/>
            </w:r>
          </w:hyperlink>
        </w:p>
        <w:p w14:paraId="606D8098" w14:textId="5BDA91D7" w:rsidR="00356079" w:rsidRPr="00FB57CF" w:rsidRDefault="00356079" w:rsidP="007859DB">
          <w:pPr>
            <w:sectPr w:rsidR="00356079" w:rsidRPr="00FB57CF" w:rsidSect="00E36EC3">
              <w:headerReference w:type="default" r:id="rId12"/>
              <w:footerReference w:type="default" r:id="rId13"/>
              <w:pgSz w:w="11906" w:h="16838" w:code="9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9572C6">
            <w:rPr>
              <w:noProof/>
            </w:rPr>
            <w:fldChar w:fldCharType="end"/>
          </w:r>
        </w:p>
      </w:sdtContent>
    </w:sdt>
    <w:p w14:paraId="63EB22A1" w14:textId="77777777" w:rsidR="00E36EC3" w:rsidRPr="00FB57CF" w:rsidRDefault="00E36EC3" w:rsidP="007859DB"/>
    <w:p w14:paraId="4E9C6B68" w14:textId="77777777" w:rsidR="00356079" w:rsidRPr="00FB57CF" w:rsidRDefault="00356079" w:rsidP="00E120ED">
      <w:pPr>
        <w:pStyle w:val="Heading2"/>
      </w:pPr>
      <w:bookmarkStart w:id="2" w:name="_Toc109309588"/>
      <w:r w:rsidRPr="00FB57CF">
        <w:t>Ընդհանուր դրույթներ</w:t>
      </w:r>
      <w:bookmarkEnd w:id="2"/>
    </w:p>
    <w:p w14:paraId="61D1445A" w14:textId="44106364" w:rsidR="00382960" w:rsidRPr="00FB57CF" w:rsidRDefault="00382960" w:rsidP="00FD3BBA">
      <w:r w:rsidRPr="00FB57CF">
        <w:t>Ժողովրդավարության սկզբունքների վրա խարսխված կառավարման համակարգով պետությունների պարագայում անխուսափելիորեն առկա է հանրային հարստության (ունեցվածքի) կառավարման և արդյունքների վերաբերյալ տեղեկատվության նկատմամբ հանրային մեծ պահանջարկը։ Բարձրագույն հաշվեքննիչ մարմինները</w:t>
      </w:r>
      <w:r w:rsidR="0050046C" w:rsidRPr="00FB57CF">
        <w:t xml:space="preserve"> (ԲՀՄ)</w:t>
      </w:r>
      <w:r w:rsidRPr="00FB57CF">
        <w:t xml:space="preserve"> ձևավորվել են</w:t>
      </w:r>
      <w:r w:rsidR="009A589F" w:rsidRPr="00FB57CF">
        <w:t>՝</w:t>
      </w:r>
      <w:r w:rsidRPr="00FB57CF">
        <w:t xml:space="preserve"> </w:t>
      </w:r>
      <w:r w:rsidR="009A589F" w:rsidRPr="00FB57CF">
        <w:t xml:space="preserve">արտաքին պետական հաշվեքննության միջոցով </w:t>
      </w:r>
      <w:r w:rsidRPr="00FB57CF">
        <w:t>նշյալ պահանջարկը</w:t>
      </w:r>
      <w:r w:rsidR="00AA2DB1" w:rsidRPr="00FB57CF">
        <w:t xml:space="preserve"> </w:t>
      </w:r>
      <w:r w:rsidRPr="00FB57CF">
        <w:t xml:space="preserve">բավարարելու </w:t>
      </w:r>
      <w:r w:rsidR="009A589F" w:rsidRPr="00FB57CF">
        <w:t>համար</w:t>
      </w:r>
      <w:r w:rsidRPr="00FB57CF">
        <w:t xml:space="preserve">։ Ամբողջ պետական համակարգի նման, այս ինստիտուտները նույնպես գործում են հանրային պատվիրատվությամբ և դրանց գործունեության շահառուն հանրությունն է։ </w:t>
      </w:r>
      <w:r w:rsidR="00435229" w:rsidRPr="00FB57CF">
        <w:t>Այդուհանդերձ, ա</w:t>
      </w:r>
      <w:r w:rsidR="009A589F" w:rsidRPr="00FB57CF">
        <w:t>րտաքին պետական հաշվեքննությ</w:t>
      </w:r>
      <w:r w:rsidR="008D1382" w:rsidRPr="00FB57CF">
        <w:t>ուն</w:t>
      </w:r>
      <w:r w:rsidR="00435229" w:rsidRPr="00FB57CF">
        <w:t>ն առանձնահատկություն ունի այլ պետական գործառույթների համեմատությամբ, որովհետև, լինելով պետական կառավարման գործառույթ՝</w:t>
      </w:r>
      <w:r w:rsidR="008D1382" w:rsidRPr="00FB57CF">
        <w:t xml:space="preserve"> </w:t>
      </w:r>
      <w:r w:rsidR="00435229" w:rsidRPr="00FB57CF">
        <w:t>այն միայն անուղղակիորեն է մասնակցում հանրային հարստության</w:t>
      </w:r>
      <w:r w:rsidR="009A589F" w:rsidRPr="00FB57CF">
        <w:t xml:space="preserve"> </w:t>
      </w:r>
      <w:r w:rsidR="00435229" w:rsidRPr="00FB57CF">
        <w:t xml:space="preserve">կառավարմանը, որովհետև վերջինիս առաքելությունն է, </w:t>
      </w:r>
      <w:r w:rsidRPr="00FB57CF">
        <w:t xml:space="preserve">հանրության կողմից իշխանությանը վստահված հանրային հարստության կառավարման վերաբերյալ </w:t>
      </w:r>
      <w:r w:rsidR="009A589F" w:rsidRPr="00FB57CF">
        <w:t xml:space="preserve">հանրությանը՝ </w:t>
      </w:r>
      <w:r w:rsidRPr="00FB57CF">
        <w:t>ժամանակին, մասնագիտական և անկողմնակալ տեղեկատվությ</w:t>
      </w:r>
      <w:r w:rsidR="00435229" w:rsidRPr="00FB57CF">
        <w:t>ա</w:t>
      </w:r>
      <w:r w:rsidRPr="00FB57CF">
        <w:t>ն ներկայաց</w:t>
      </w:r>
      <w:r w:rsidR="00435229" w:rsidRPr="00FB57CF">
        <w:t>ումը</w:t>
      </w:r>
      <w:r w:rsidRPr="00FB57CF">
        <w:t>։</w:t>
      </w:r>
    </w:p>
    <w:p w14:paraId="34382D27" w14:textId="2527AA9D" w:rsidR="009A589F" w:rsidRPr="00FB57CF" w:rsidRDefault="009A589F" w:rsidP="009A589F">
      <w:r w:rsidRPr="00FB57CF">
        <w:t xml:space="preserve">Հարկ է նկատել, որ ներկայում, </w:t>
      </w:r>
      <w:r w:rsidR="0050046C" w:rsidRPr="00FB57CF">
        <w:t>ԲՀՄ-</w:t>
      </w:r>
      <w:r w:rsidRPr="00FB57CF">
        <w:t xml:space="preserve">ների գործունեությունը բավականին ստանդարտացված է և գործնականում, առկա են գործունեության համար անհրաժեշտ բոլոր լուծումները, որոնք կարգավորումների մակարդակում ապահովում են իրավասությունների և պարտականությունների հավասարակշռությունը։ Ըստ էության, </w:t>
      </w:r>
      <w:r w:rsidR="00FD3BBA" w:rsidRPr="00FB57CF">
        <w:t xml:space="preserve">հիմնարար փաստաթղթերով </w:t>
      </w:r>
      <w:r w:rsidRPr="00FB57CF">
        <w:t xml:space="preserve">բանաձևված են </w:t>
      </w:r>
      <w:r w:rsidR="0050046C" w:rsidRPr="00FB57CF">
        <w:t>ԲՀՄ-ներ</w:t>
      </w:r>
      <w:r w:rsidRPr="00FB57CF">
        <w:t>ի անկախությանը, հաշվետվողակա</w:t>
      </w:r>
      <w:r w:rsidR="0023298C" w:rsidRPr="00FB57CF">
        <w:softHyphen/>
      </w:r>
      <w:r w:rsidRPr="00FB57CF">
        <w:t xml:space="preserve">նությանը, թափանցիկությանը, </w:t>
      </w:r>
      <w:r w:rsidR="00FD3BBA" w:rsidRPr="00FB57CF">
        <w:t xml:space="preserve">աշխատակազմերի </w:t>
      </w:r>
      <w:r w:rsidRPr="00FB57CF">
        <w:t>պրոֆեսիոնալիզմին ներկա</w:t>
      </w:r>
      <w:r w:rsidR="0023298C" w:rsidRPr="00FB57CF">
        <w:softHyphen/>
      </w:r>
      <w:r w:rsidRPr="00FB57CF">
        <w:t>յաց</w:t>
      </w:r>
      <w:r w:rsidR="0023298C" w:rsidRPr="00FB57CF">
        <w:softHyphen/>
      </w:r>
      <w:r w:rsidRPr="00FB57CF">
        <w:t xml:space="preserve">վող պահանջները և դրանց ապահովման եղանակները, որոշակիացված են հաշվեքննության մեթոդաբանությունները և </w:t>
      </w:r>
      <w:r w:rsidR="00FD3BBA" w:rsidRPr="00FB57CF">
        <w:t>կիրառման ուղեցույցերը</w:t>
      </w:r>
      <w:r w:rsidRPr="00FB57CF">
        <w:t>։</w:t>
      </w:r>
    </w:p>
    <w:p w14:paraId="6A28FFB1" w14:textId="66ED21F8" w:rsidR="009A589F" w:rsidRPr="00FB57CF" w:rsidRDefault="009A589F" w:rsidP="00FD3BBA">
      <w:r w:rsidRPr="00FB57CF">
        <w:t>Հ</w:t>
      </w:r>
      <w:r w:rsidR="00FD3BBA" w:rsidRPr="00FB57CF">
        <w:t xml:space="preserve">Հ արտաքին պետական հաշվեքննության ոլորտի կարգավորումները համեմատաբար «երիտասարդ» են, թեպետ՝ ՀՀ </w:t>
      </w:r>
      <w:r w:rsidRPr="00FB57CF">
        <w:t>հաշվեքննիչ պալատը</w:t>
      </w:r>
      <w:r w:rsidR="00FD3BBA" w:rsidRPr="00FB57CF">
        <w:t xml:space="preserve"> (վերջինիս իրավանախորդները)</w:t>
      </w:r>
      <w:r w:rsidRPr="00FB57CF">
        <w:t xml:space="preserve"> 1998 թվականից անդամակցում է դեռևս անցյալ դարի կեսերին ձևավորված</w:t>
      </w:r>
      <w:r w:rsidR="00F72F7D" w:rsidRPr="00FB57CF">
        <w:t>`</w:t>
      </w:r>
      <w:r w:rsidRPr="00FB57CF">
        <w:t xml:space="preserve"> </w:t>
      </w:r>
      <w:r w:rsidR="0050046C" w:rsidRPr="00FB57CF">
        <w:t>ԲՀՄ-ներ</w:t>
      </w:r>
      <w:r w:rsidRPr="00FB57CF">
        <w:t xml:space="preserve">ին միավորող </w:t>
      </w:r>
      <w:r w:rsidR="00CD5525" w:rsidRPr="00FB57CF">
        <w:t xml:space="preserve">բարձրագույն հաշվեքննիչ մարմինների </w:t>
      </w:r>
      <w:r w:rsidRPr="00FB57CF">
        <w:t xml:space="preserve">միջազգային կազմակերպությանը՝ INTOSAI-ին, որին անդամակցում են </w:t>
      </w:r>
      <w:r w:rsidR="00A04A68" w:rsidRPr="00FB57CF">
        <w:t xml:space="preserve">196 երկրներ, որոնցից 190-ը </w:t>
      </w:r>
      <w:r w:rsidR="00EB7511" w:rsidRPr="00FB57CF">
        <w:t>Միավորված</w:t>
      </w:r>
      <w:r w:rsidR="00C6577F" w:rsidRPr="00FB57CF">
        <w:t xml:space="preserve"> ազգերի կազմակերպության (</w:t>
      </w:r>
      <w:r w:rsidRPr="00FB57CF">
        <w:t>ՄԱԿ</w:t>
      </w:r>
      <w:r w:rsidR="00C6577F" w:rsidRPr="00FB57CF">
        <w:t>)</w:t>
      </w:r>
      <w:r w:rsidRPr="00FB57CF">
        <w:t xml:space="preserve"> անդամ երկրներ</w:t>
      </w:r>
      <w:r w:rsidR="00A04A68" w:rsidRPr="00FB57CF">
        <w:t xml:space="preserve"> են</w:t>
      </w:r>
      <w:r w:rsidRPr="00FB57CF">
        <w:t xml:space="preserve">։ </w:t>
      </w:r>
      <w:r w:rsidR="00FD3BBA" w:rsidRPr="00FB57CF">
        <w:t>Նշյալ մ</w:t>
      </w:r>
      <w:r w:rsidRPr="00FB57CF">
        <w:t xml:space="preserve">իջազգային </w:t>
      </w:r>
      <w:r w:rsidR="00F72F7D" w:rsidRPr="00FB57CF">
        <w:t xml:space="preserve">կազմակերպությունն </w:t>
      </w:r>
      <w:r w:rsidRPr="00FB57CF">
        <w:t xml:space="preserve">առաջարկում է </w:t>
      </w:r>
      <w:r w:rsidRPr="00FB57CF">
        <w:lastRenderedPageBreak/>
        <w:t>ժամանակակից աշխարհի պայմաններին համահունչ գործիքակազմ՝ իրավակարգավորումների տրամաբանությունից մինչև հաշվեքննության միասնական ստանդարտներ։ INTOSAI-</w:t>
      </w:r>
      <w:r w:rsidR="00E120ED" w:rsidRPr="00FB57CF">
        <w:t>ն</w:t>
      </w:r>
      <w:r w:rsidR="00FD3BBA" w:rsidRPr="00FB57CF">
        <w:t xml:space="preserve"> </w:t>
      </w:r>
      <w:r w:rsidR="0050046C" w:rsidRPr="00FB57CF">
        <w:t>ԲՀՄ-ներ</w:t>
      </w:r>
      <w:r w:rsidRPr="00FB57CF">
        <w:t>ի մասնագիտական զարգացման, գիտելիքի և փորձի փոխանակման անփոխարինելի հարթակ է։</w:t>
      </w:r>
    </w:p>
    <w:p w14:paraId="41E610ED" w14:textId="77777777" w:rsidR="009A589F" w:rsidRPr="00FB57CF" w:rsidRDefault="009A589F" w:rsidP="009A589F">
      <w:r w:rsidRPr="00FB57CF">
        <w:t>INTOSAI-ի կողմից առաջարկվող իրավակարգավորումների և ստանդարտների փաթեթը լիարժեք կիրառելու պարագայում մեծ կլինի հավանականությունը, որ հանրային հատվածի հաշվեքննությունը կտա սպասված արդյունքները։</w:t>
      </w:r>
    </w:p>
    <w:p w14:paraId="322435F5" w14:textId="09EE4011" w:rsidR="003507CA" w:rsidRPr="00FB57CF" w:rsidRDefault="003507CA" w:rsidP="003507CA">
      <w:r w:rsidRPr="00FB57CF">
        <w:t xml:space="preserve">Հարկ է նկատել, որ ՀՀ </w:t>
      </w:r>
      <w:r w:rsidR="00D200E5" w:rsidRPr="00FB57CF">
        <w:t>հ</w:t>
      </w:r>
      <w:r w:rsidR="00D200E5" w:rsidRPr="00FB57CF">
        <w:rPr>
          <w:lang w:val="af-ZA"/>
        </w:rPr>
        <w:t xml:space="preserve">աշվեքննիչ </w:t>
      </w:r>
      <w:r w:rsidRPr="00FB57CF">
        <w:rPr>
          <w:lang w:val="af-ZA"/>
        </w:rPr>
        <w:t>պալատի 2020</w:t>
      </w:r>
      <w:r w:rsidRPr="00FB57CF">
        <w:rPr>
          <w:lang w:val="af-ZA"/>
        </w:rPr>
        <w:noBreakHyphen/>
        <w:t xml:space="preserve">2023 թվականների ռազմավարական զարգացման </w:t>
      </w:r>
      <w:r w:rsidRPr="00FB57CF">
        <w:t>ծրագրի</w:t>
      </w:r>
      <w:r w:rsidRPr="00FB57CF">
        <w:rPr>
          <w:lang w:val="af-ZA"/>
        </w:rPr>
        <w:t xml:space="preserve"> </w:t>
      </w:r>
      <w:r w:rsidRPr="00FB57CF">
        <w:t>իրականացման</w:t>
      </w:r>
      <w:r w:rsidRPr="00FB57CF">
        <w:rPr>
          <w:lang w:val="af-ZA"/>
        </w:rPr>
        <w:t xml:space="preserve"> </w:t>
      </w:r>
      <w:r w:rsidRPr="00FB57CF">
        <w:t>շրջանակներում</w:t>
      </w:r>
      <w:r w:rsidRPr="00FB57CF">
        <w:rPr>
          <w:lang w:val="af-ZA"/>
        </w:rPr>
        <w:t xml:space="preserve"> </w:t>
      </w:r>
      <w:r w:rsidR="00915B89" w:rsidRPr="00FB57CF">
        <w:t xml:space="preserve">Եվրոպական միության և </w:t>
      </w:r>
      <w:r w:rsidR="009C6C88" w:rsidRPr="00FB57CF">
        <w:t>Տ</w:t>
      </w:r>
      <w:r w:rsidR="00915B89" w:rsidRPr="00FB57CF">
        <w:t>նտեսական համագործակցության և զարգացման կազմակերպության (ԵՄ</w:t>
      </w:r>
      <w:r w:rsidRPr="00FB57CF">
        <w:rPr>
          <w:lang w:val="af-ZA"/>
        </w:rPr>
        <w:t>/</w:t>
      </w:r>
      <w:r w:rsidRPr="00FB57CF">
        <w:t>ՏՀԶԿ</w:t>
      </w:r>
      <w:r w:rsidR="00915B89" w:rsidRPr="00FB57CF">
        <w:t>)</w:t>
      </w:r>
      <w:r w:rsidRPr="00FB57CF">
        <w:rPr>
          <w:lang w:val="af-ZA"/>
        </w:rPr>
        <w:t xml:space="preserve"> </w:t>
      </w:r>
      <w:r w:rsidRPr="00FB57CF">
        <w:t>համատեղ</w:t>
      </w:r>
      <w:r w:rsidRPr="00FB57CF">
        <w:rPr>
          <w:lang w:val="af-ZA"/>
        </w:rPr>
        <w:t xml:space="preserve"> </w:t>
      </w:r>
      <w:r w:rsidRPr="00FB57CF">
        <w:t>ՍԻԳՄԱ</w:t>
      </w:r>
      <w:r w:rsidRPr="00FB57CF">
        <w:rPr>
          <w:lang w:val="af-ZA"/>
        </w:rPr>
        <w:t xml:space="preserve"> </w:t>
      </w:r>
      <w:r w:rsidRPr="00FB57CF">
        <w:t>ծրագրի</w:t>
      </w:r>
      <w:r w:rsidRPr="00FB57CF">
        <w:rPr>
          <w:lang w:val="af-ZA"/>
        </w:rPr>
        <w:t xml:space="preserve"> </w:t>
      </w:r>
      <w:r w:rsidRPr="00FB57CF">
        <w:t>աջակցությամբ</w:t>
      </w:r>
      <w:r w:rsidRPr="00FB57CF">
        <w:rPr>
          <w:lang w:val="af-ZA"/>
        </w:rPr>
        <w:t xml:space="preserve"> </w:t>
      </w:r>
      <w:r w:rsidRPr="00FB57CF">
        <w:t>մշակվել</w:t>
      </w:r>
      <w:r w:rsidRPr="00FB57CF">
        <w:rPr>
          <w:lang w:val="af-ZA"/>
        </w:rPr>
        <w:t xml:space="preserve"> </w:t>
      </w:r>
      <w:r w:rsidRPr="00FB57CF">
        <w:t>է</w:t>
      </w:r>
      <w:r w:rsidRPr="00FB57CF">
        <w:rPr>
          <w:lang w:val="af-ZA"/>
        </w:rPr>
        <w:t xml:space="preserve"> «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</w:t>
      </w:r>
      <w:r w:rsidRPr="00FB57CF">
        <w:rPr>
          <w:lang w:val="af-ZA"/>
        </w:rPr>
        <w:t xml:space="preserve"> </w:t>
      </w:r>
      <w:r w:rsidRPr="00FB57CF">
        <w:t>մասին</w:t>
      </w:r>
      <w:r w:rsidRPr="00FB57CF">
        <w:rPr>
          <w:lang w:val="af-ZA"/>
        </w:rPr>
        <w:t xml:space="preserve">»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օրենքի</w:t>
      </w:r>
      <w:r w:rsidRPr="00FB57CF">
        <w:rPr>
          <w:lang w:val="af-ZA"/>
        </w:rPr>
        <w:t xml:space="preserve"> (</w:t>
      </w:r>
      <w:r w:rsidRPr="00FB57CF">
        <w:t>ինչպես</w:t>
      </w:r>
      <w:r w:rsidRPr="00FB57CF">
        <w:rPr>
          <w:lang w:val="af-ZA"/>
        </w:rPr>
        <w:t xml:space="preserve"> </w:t>
      </w:r>
      <w:r w:rsidRPr="00FB57CF">
        <w:t>նաև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="00E120ED" w:rsidRPr="00FB57CF">
        <w:t>Ս</w:t>
      </w:r>
      <w:r w:rsidRPr="00FB57CF">
        <w:t>ահմանադրության</w:t>
      </w:r>
      <w:r w:rsidRPr="00FB57CF">
        <w:rPr>
          <w:lang w:val="af-ZA"/>
        </w:rPr>
        <w:t xml:space="preserve"> </w:t>
      </w:r>
      <w:r w:rsidRPr="00FB57CF">
        <w:t>մեջ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պալատին</w:t>
      </w:r>
      <w:r w:rsidRPr="00FB57CF">
        <w:rPr>
          <w:lang w:val="af-ZA"/>
        </w:rPr>
        <w:t xml:space="preserve"> </w:t>
      </w:r>
      <w:r w:rsidRPr="00FB57CF">
        <w:t>առնչվող</w:t>
      </w:r>
      <w:r w:rsidRPr="00FB57CF">
        <w:rPr>
          <w:lang w:val="af-ZA"/>
        </w:rPr>
        <w:t xml:space="preserve"> </w:t>
      </w:r>
      <w:r w:rsidRPr="00FB57CF">
        <w:t>հոդվածների</w:t>
      </w:r>
      <w:r w:rsidRPr="00FB57CF">
        <w:rPr>
          <w:lang w:val="af-ZA"/>
        </w:rPr>
        <w:t xml:space="preserve">) </w:t>
      </w:r>
      <w:r w:rsidRPr="00FB57CF">
        <w:t>բարելավումների</w:t>
      </w:r>
      <w:r w:rsidRPr="00FB57CF">
        <w:rPr>
          <w:lang w:val="af-ZA"/>
        </w:rPr>
        <w:t xml:space="preserve"> </w:t>
      </w:r>
      <w:r w:rsidRPr="00FB57CF">
        <w:t>վերաբերյալ</w:t>
      </w:r>
      <w:r w:rsidRPr="00FB57CF">
        <w:rPr>
          <w:lang w:val="af-ZA"/>
        </w:rPr>
        <w:t xml:space="preserve"> </w:t>
      </w:r>
      <w:r w:rsidRPr="00FB57CF">
        <w:t>առաջարկությունների</w:t>
      </w:r>
      <w:r w:rsidRPr="00FB57CF">
        <w:rPr>
          <w:lang w:val="af-ZA"/>
        </w:rPr>
        <w:t xml:space="preserve"> </w:t>
      </w:r>
      <w:r w:rsidRPr="00FB57CF">
        <w:t>փաթեթ</w:t>
      </w:r>
      <w:r w:rsidRPr="00FB57CF">
        <w:rPr>
          <w:lang w:val="af-ZA"/>
        </w:rPr>
        <w:t xml:space="preserve">, </w:t>
      </w:r>
      <w:r w:rsidRPr="00FB57CF">
        <w:t>որը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պալատը</w:t>
      </w:r>
      <w:r w:rsidRPr="00FB57CF">
        <w:rPr>
          <w:lang w:val="af-ZA"/>
        </w:rPr>
        <w:t xml:space="preserve"> 2021</w:t>
      </w:r>
      <w:r w:rsidRPr="00FB57CF">
        <w:t>թ</w:t>
      </w:r>
      <w:r w:rsidRPr="00FB57CF">
        <w:rPr>
          <w:lang w:val="af-ZA"/>
        </w:rPr>
        <w:t xml:space="preserve">. </w:t>
      </w:r>
      <w:r w:rsidRPr="00FB57CF">
        <w:t>հոկտեմբերի</w:t>
      </w:r>
      <w:r w:rsidRPr="00FB57CF">
        <w:rPr>
          <w:lang w:val="af-ZA"/>
        </w:rPr>
        <w:t xml:space="preserve"> 7-</w:t>
      </w:r>
      <w:r w:rsidRPr="00FB57CF">
        <w:t>ին</w:t>
      </w:r>
      <w:r w:rsidRPr="00FB57CF">
        <w:rPr>
          <w:lang w:val="af-ZA"/>
        </w:rPr>
        <w:t xml:space="preserve"> </w:t>
      </w:r>
      <w:r w:rsidRPr="00FB57CF">
        <w:t>պաշտոնապես</w:t>
      </w:r>
      <w:r w:rsidRPr="00FB57CF">
        <w:rPr>
          <w:lang w:val="af-ZA"/>
        </w:rPr>
        <w:t xml:space="preserve"> </w:t>
      </w:r>
      <w:r w:rsidRPr="00FB57CF">
        <w:t>ուղարկել</w:t>
      </w:r>
      <w:r w:rsidRPr="00FB57CF">
        <w:rPr>
          <w:lang w:val="af-ZA"/>
        </w:rPr>
        <w:t xml:space="preserve"> </w:t>
      </w:r>
      <w:r w:rsidRPr="00FB57CF">
        <w:t>է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Ազգային</w:t>
      </w:r>
      <w:r w:rsidRPr="00FB57CF">
        <w:rPr>
          <w:lang w:val="af-ZA"/>
        </w:rPr>
        <w:t xml:space="preserve"> </w:t>
      </w:r>
      <w:r w:rsidRPr="00FB57CF">
        <w:t>ժողով</w:t>
      </w:r>
      <w:r w:rsidRPr="00FB57CF">
        <w:rPr>
          <w:lang w:val="af-ZA"/>
        </w:rPr>
        <w:t xml:space="preserve"> </w:t>
      </w:r>
      <w:r w:rsidRPr="00FB57CF">
        <w:t>և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կառավարություն</w:t>
      </w:r>
      <w:r w:rsidRPr="00FB57CF">
        <w:rPr>
          <w:lang w:val="af-ZA"/>
        </w:rPr>
        <w:t>:</w:t>
      </w:r>
      <w:r w:rsidRPr="00FB57CF">
        <w:t xml:space="preserve"> </w:t>
      </w:r>
    </w:p>
    <w:p w14:paraId="3236B406" w14:textId="77777777" w:rsidR="003507CA" w:rsidRPr="00FB57CF" w:rsidRDefault="003507CA" w:rsidP="003507CA">
      <w:r w:rsidRPr="00FB57CF">
        <w:t xml:space="preserve">Վերոնշյալը </w:t>
      </w:r>
      <w:r w:rsidR="00842DA0" w:rsidRPr="00FB57CF">
        <w:t xml:space="preserve">և ՀՀ հաշվեքննիչ պալատի գործունեության անցած փուլի արդյունքները </w:t>
      </w:r>
      <w:r w:rsidRPr="00FB57CF">
        <w:t>հաշվի առնելով</w:t>
      </w:r>
      <w:r w:rsidR="00842DA0" w:rsidRPr="00FB57CF">
        <w:t>, ինչպես նա</w:t>
      </w:r>
      <w:r w:rsidRPr="00FB57CF">
        <w:t>և նպատակ ունենալով բարձրացնել ՀՀ արտաքին պետական հաշվեքննության իրավակարգավորումների համապատասխանության աստիճանը ոլորտին վերաբերելի հիմնարար փաստաթղթերով առաջարկվող</w:t>
      </w:r>
      <w:r w:rsidR="00842DA0" w:rsidRPr="00FB57CF">
        <w:t>՝</w:t>
      </w:r>
      <w:r w:rsidRPr="00FB57CF">
        <w:t xml:space="preserve"> ժամանակի և տարածության մեջ փորձարկված լուծումներին, մշակվել է սույն հայեցակարգը։</w:t>
      </w:r>
    </w:p>
    <w:p w14:paraId="77A5109C" w14:textId="77777777" w:rsidR="003507CA" w:rsidRPr="00FB57CF" w:rsidRDefault="003507CA" w:rsidP="003507CA">
      <w:r w:rsidRPr="00FB57CF">
        <w:t xml:space="preserve"> </w:t>
      </w:r>
      <w:r w:rsidR="00842DA0" w:rsidRPr="00FB57CF">
        <w:t>Հ</w:t>
      </w:r>
      <w:r w:rsidRPr="00FB57CF">
        <w:t xml:space="preserve">այեցակարգը նպատակ է հետապնդում </w:t>
      </w:r>
      <w:r w:rsidR="00842DA0" w:rsidRPr="00FB57CF">
        <w:t>առաջարկել</w:t>
      </w:r>
      <w:r w:rsidRPr="00FB57CF">
        <w:t xml:space="preserve"> ՀՀ արտաքին պետական հաշվեքննության ոլորտի իրավական դաշտի վերանայման </w:t>
      </w:r>
      <w:r w:rsidR="00842DA0" w:rsidRPr="00FB57CF">
        <w:t xml:space="preserve">հիմնական </w:t>
      </w:r>
      <w:r w:rsidRPr="00FB57CF">
        <w:t>ուղղությունները</w:t>
      </w:r>
      <w:r w:rsidR="00842DA0" w:rsidRPr="00FB57CF">
        <w:t>, որոնց շուրջ փոխհամաձայնության ձևավորմամբ հնարավոր կլինի մշակել օրենսդրական վերանայումների փաթեթը</w:t>
      </w:r>
      <w:r w:rsidRPr="00FB57CF">
        <w:t xml:space="preserve">։ </w:t>
      </w:r>
    </w:p>
    <w:p w14:paraId="127B26FD" w14:textId="77777777" w:rsidR="001401D9" w:rsidRPr="00FB57CF" w:rsidRDefault="001401D9" w:rsidP="003507CA">
      <w:pPr>
        <w:rPr>
          <w:lang w:val="af-ZA"/>
        </w:rPr>
      </w:pPr>
      <w:r w:rsidRPr="00FB57CF">
        <w:t xml:space="preserve">Ստորև ներկայացվում են օրենսդրական վերանայումների պահանջը ձևավորած հիմնարար փաստաթղթերը և դրանց՝ առաջարկվող վերանայումներին վերաբերելի մանրամասները։ </w:t>
      </w:r>
    </w:p>
    <w:p w14:paraId="19936432" w14:textId="77777777" w:rsidR="007859DB" w:rsidRPr="00FB57CF" w:rsidRDefault="007859DB" w:rsidP="00634E9B">
      <w:pPr>
        <w:pStyle w:val="Heading3"/>
      </w:pPr>
      <w:bookmarkStart w:id="3" w:name="_Toc109309589"/>
      <w:r w:rsidRPr="00FB57CF">
        <w:t>Պետական ֆինանսների կառավարման (ՊՖԿ) համակարգի 2019-2023 թվականների բարեփոխումների ռազմավարություն</w:t>
      </w:r>
      <w:bookmarkEnd w:id="3"/>
    </w:p>
    <w:p w14:paraId="4677930D" w14:textId="295F1615" w:rsidR="00356079" w:rsidRPr="00FB57CF" w:rsidRDefault="00356079" w:rsidP="007859DB">
      <w:r w:rsidRPr="00FB57CF">
        <w:t>ՀՀ կառավարության 2019թ. նոյեմբերի 28-ի թիվ 1716-Լ որոշմամբ հաստատվ</w:t>
      </w:r>
      <w:r w:rsidR="007859DB" w:rsidRPr="00FB57CF">
        <w:t>ել է</w:t>
      </w:r>
      <w:r w:rsidRPr="00FB57CF">
        <w:t xml:space="preserve"> </w:t>
      </w:r>
      <w:r w:rsidR="000C2248" w:rsidRPr="00FB57CF">
        <w:t>ՊՖԿ</w:t>
      </w:r>
      <w:r w:rsidRPr="00FB57CF">
        <w:t xml:space="preserve"> համակարգի 2019</w:t>
      </w:r>
      <w:r w:rsidR="007859DB" w:rsidRPr="00FB57CF">
        <w:noBreakHyphen/>
      </w:r>
      <w:r w:rsidRPr="00FB57CF">
        <w:t xml:space="preserve">2023 թվականների բարեփոխումների </w:t>
      </w:r>
      <w:r w:rsidRPr="00FB57CF">
        <w:lastRenderedPageBreak/>
        <w:t>ռազմավարությ</w:t>
      </w:r>
      <w:r w:rsidR="007859DB" w:rsidRPr="00FB57CF">
        <w:t xml:space="preserve">ունը։ Վերջինիս իրականացման </w:t>
      </w:r>
      <w:r w:rsidRPr="00FB57CF">
        <w:t>գործողությունների ծրագրի</w:t>
      </w:r>
      <w:r w:rsidR="007859DB" w:rsidRPr="00FB57CF">
        <w:t>՝</w:t>
      </w:r>
      <w:r w:rsidRPr="00FB57CF">
        <w:t xml:space="preserve"> ՊՖԿ 13-րդ ոլորտ, 26-րդ բաղադրիչ, 53.2, 54</w:t>
      </w:r>
      <w:r w:rsidRPr="009572C6">
        <w:rPr>
          <w:rFonts w:ascii="MS Mincho" w:eastAsia="MS Mincho" w:hAnsi="MS Mincho" w:cs="MS Mincho"/>
        </w:rPr>
        <w:t>․</w:t>
      </w:r>
      <w:r w:rsidRPr="00FB57CF">
        <w:t>1 և 54</w:t>
      </w:r>
      <w:r w:rsidRPr="009572C6">
        <w:rPr>
          <w:rFonts w:ascii="MS Mincho" w:eastAsia="MS Mincho" w:hAnsi="MS Mincho" w:cs="MS Mincho"/>
        </w:rPr>
        <w:t>․</w:t>
      </w:r>
      <w:r w:rsidRPr="00FB57CF">
        <w:t>2 միջոցառումներ</w:t>
      </w:r>
      <w:r w:rsidR="007859DB" w:rsidRPr="00FB57CF">
        <w:t>ի շրջանակում</w:t>
      </w:r>
      <w:r w:rsidRPr="00FB57CF">
        <w:t xml:space="preserve"> նախատեսված է «Հաշվեքննիչ պալատի մասին</w:t>
      </w:r>
      <w:r w:rsidR="00F72F7D" w:rsidRPr="00FB57CF">
        <w:t></w:t>
      </w:r>
      <w:r w:rsidRPr="00FB57CF">
        <w:t xml:space="preserve"> ՀՀ օրենքի վերանայումը, ինչպես նաև Հաշվեքննիչ պալատի ռազմավարական զարգացման ծրագրի իրագործման ներքո Հաշվեքննիչ պալատի անձնակազմի կարողությունների զարգացումը և մասնագիտական հմտությունների կատարելագործումը:</w:t>
      </w:r>
    </w:p>
    <w:p w14:paraId="74513F19" w14:textId="0CD22B36" w:rsidR="007859DB" w:rsidRPr="00FB57CF" w:rsidRDefault="007859DB" w:rsidP="00634E9B">
      <w:pPr>
        <w:pStyle w:val="Heading3"/>
      </w:pPr>
      <w:bookmarkStart w:id="4" w:name="_Toc109309590"/>
      <w:r w:rsidRPr="00FB57CF">
        <w:t>ՀՀ և ԵՄ «Համապարփակ և ընդլայնված գործընկերության համաձայնագիր</w:t>
      </w:r>
      <w:bookmarkEnd w:id="4"/>
      <w:r w:rsidR="00F72F7D" w:rsidRPr="00FB57CF">
        <w:t></w:t>
      </w:r>
    </w:p>
    <w:p w14:paraId="6BEE9911" w14:textId="23E44865" w:rsidR="00356079" w:rsidRPr="00FB57CF" w:rsidRDefault="00356079" w:rsidP="00F014B8">
      <w:pPr>
        <w:rPr>
          <w:lang w:val="af-ZA" w:eastAsia="ru-RU"/>
        </w:rPr>
      </w:pPr>
      <w:r w:rsidRPr="00FB57CF">
        <w:rPr>
          <w:lang w:val="af-ZA" w:eastAsia="ru-RU"/>
        </w:rPr>
        <w:t>Իրավական բարելավումների</w:t>
      </w:r>
      <w:r w:rsidR="00F014B8" w:rsidRPr="00FB57CF">
        <w:rPr>
          <w:lang w:eastAsia="ru-RU"/>
        </w:rPr>
        <w:t xml:space="preserve"> սույն հայեցակարգի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նպատակադրումը</w:t>
      </w:r>
      <w:r w:rsidRPr="00FB57CF">
        <w:rPr>
          <w:lang w:val="af-ZA" w:eastAsia="ru-RU"/>
        </w:rPr>
        <w:t xml:space="preserve"> համահունչ է </w:t>
      </w:r>
      <w:r w:rsidRPr="00FB57CF">
        <w:rPr>
          <w:lang w:eastAsia="ru-RU"/>
        </w:rPr>
        <w:t>ՀՀ</w:t>
      </w:r>
      <w:r w:rsidRPr="00FB57CF">
        <w:rPr>
          <w:lang w:val="af-ZA" w:eastAsia="ru-RU"/>
        </w:rPr>
        <w:t>-</w:t>
      </w:r>
      <w:r w:rsidRPr="00FB57CF">
        <w:rPr>
          <w:lang w:eastAsia="ru-RU"/>
        </w:rPr>
        <w:t>ի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և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ԵՄ</w:t>
      </w:r>
      <w:r w:rsidRPr="00FB57CF">
        <w:rPr>
          <w:lang w:val="af-ZA" w:eastAsia="ru-RU"/>
        </w:rPr>
        <w:t>-</w:t>
      </w:r>
      <w:r w:rsidRPr="00FB57CF">
        <w:rPr>
          <w:lang w:eastAsia="ru-RU"/>
        </w:rPr>
        <w:t>ի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միջև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կնքված</w:t>
      </w:r>
      <w:r w:rsidRPr="00FB57CF">
        <w:rPr>
          <w:lang w:val="af-ZA" w:eastAsia="ru-RU"/>
        </w:rPr>
        <w:t xml:space="preserve"> «</w:t>
      </w:r>
      <w:r w:rsidRPr="00FB57CF">
        <w:rPr>
          <w:lang w:eastAsia="ru-RU"/>
        </w:rPr>
        <w:t>Համապարփակ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և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ընդլայնված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գործընկերության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համաձայնագրի</w:t>
      </w:r>
      <w:r w:rsidR="00F72F7D" w:rsidRPr="00FB57CF">
        <w:rPr>
          <w:lang w:eastAsia="ru-RU"/>
        </w:rPr>
        <w:t></w:t>
      </w:r>
      <w:r w:rsidRPr="00FB57CF">
        <w:rPr>
          <w:lang w:val="af-ZA" w:eastAsia="ru-RU"/>
        </w:rPr>
        <w:t xml:space="preserve"> 24-</w:t>
      </w:r>
      <w:r w:rsidRPr="00FB57CF">
        <w:rPr>
          <w:lang w:eastAsia="ru-RU"/>
        </w:rPr>
        <w:t>րդ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հոդվածի</w:t>
      </w:r>
      <w:r w:rsidRPr="00FB57CF">
        <w:rPr>
          <w:lang w:val="af-ZA" w:eastAsia="ru-RU"/>
        </w:rPr>
        <w:t xml:space="preserve"> «</w:t>
      </w:r>
      <w:r w:rsidRPr="00FB57CF">
        <w:rPr>
          <w:lang w:eastAsia="ru-RU"/>
        </w:rPr>
        <w:t>դ</w:t>
      </w:r>
      <w:r w:rsidRPr="00FB57CF">
        <w:rPr>
          <w:lang w:val="af-ZA" w:eastAsia="ru-RU"/>
        </w:rPr>
        <w:t xml:space="preserve">» </w:t>
      </w:r>
      <w:r w:rsidRPr="00FB57CF">
        <w:rPr>
          <w:lang w:eastAsia="ru-RU"/>
        </w:rPr>
        <w:t>կետի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դրույթներին</w:t>
      </w:r>
      <w:r w:rsidRPr="00FB57CF">
        <w:rPr>
          <w:lang w:val="af-ZA" w:eastAsia="ru-RU"/>
        </w:rPr>
        <w:t>. «</w:t>
      </w:r>
      <w:r w:rsidRPr="00FB57CF">
        <w:rPr>
          <w:lang w:eastAsia="ru-RU"/>
        </w:rPr>
        <w:t>Հաշվեքննիչ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պալատի</w:t>
      </w:r>
      <w:r w:rsidRPr="00FB57CF">
        <w:rPr>
          <w:lang w:val="af-ZA" w:eastAsia="ru-RU"/>
        </w:rPr>
        <w:t xml:space="preserve">, </w:t>
      </w:r>
      <w:r w:rsidRPr="00FB57CF">
        <w:rPr>
          <w:lang w:eastAsia="ru-RU"/>
        </w:rPr>
        <w:t>որպես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ՀՀ</w:t>
      </w:r>
      <w:r w:rsidRPr="00FB57CF">
        <w:rPr>
          <w:lang w:val="af-ZA" w:eastAsia="ru-RU"/>
        </w:rPr>
        <w:t>-</w:t>
      </w:r>
      <w:r w:rsidRPr="00FB57CF">
        <w:rPr>
          <w:lang w:eastAsia="ru-RU"/>
        </w:rPr>
        <w:t>ում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բարձրագույն հաշվեքննիչ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մարմնի</w:t>
      </w:r>
      <w:r w:rsidRPr="00FB57CF">
        <w:rPr>
          <w:lang w:val="af-ZA" w:eastAsia="ru-RU"/>
        </w:rPr>
        <w:t xml:space="preserve"> (ԲՀՄ) </w:t>
      </w:r>
      <w:r w:rsidRPr="00FB57CF">
        <w:rPr>
          <w:lang w:eastAsia="ru-RU"/>
        </w:rPr>
        <w:t>դերի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հետագա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ամրապնդում,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մասնավորապես՝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դրա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ֆինանսական</w:t>
      </w:r>
      <w:r w:rsidRPr="00FB57CF">
        <w:rPr>
          <w:lang w:val="af-ZA" w:eastAsia="ru-RU"/>
        </w:rPr>
        <w:t xml:space="preserve">, </w:t>
      </w:r>
      <w:r w:rsidRPr="00FB57CF">
        <w:rPr>
          <w:lang w:eastAsia="ru-RU"/>
        </w:rPr>
        <w:t>կազմակերպչական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և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գործառնական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անկախության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տեսանկյունից՝</w:t>
      </w:r>
      <w:r w:rsidRPr="00FB57CF">
        <w:rPr>
          <w:lang w:val="af-ZA" w:eastAsia="ru-RU"/>
        </w:rPr>
        <w:t xml:space="preserve"> </w:t>
      </w:r>
      <w:r w:rsidRPr="00FB57CF">
        <w:rPr>
          <w:lang w:eastAsia="ru-RU"/>
        </w:rPr>
        <w:t>արտաքին</w:t>
      </w:r>
      <w:r w:rsidRPr="00FB57CF">
        <w:rPr>
          <w:lang w:val="af-ZA" w:eastAsia="ru-RU"/>
        </w:rPr>
        <w:t xml:space="preserve"> պետական </w:t>
      </w:r>
      <w:r w:rsidRPr="00FB57CF">
        <w:rPr>
          <w:lang w:eastAsia="ru-RU"/>
        </w:rPr>
        <w:t>հաշվեքննության</w:t>
      </w:r>
      <w:r w:rsidRPr="00FB57CF">
        <w:rPr>
          <w:lang w:val="af-ZA" w:eastAsia="ru-RU"/>
        </w:rPr>
        <w:t xml:space="preserve"> INTOSAI </w:t>
      </w:r>
      <w:r w:rsidRPr="00FB57CF">
        <w:rPr>
          <w:lang w:eastAsia="ru-RU"/>
        </w:rPr>
        <w:t>միջազգայնորեն</w:t>
      </w:r>
      <w:r w:rsidRPr="00FB57CF">
        <w:rPr>
          <w:lang w:val="af-ZA" w:eastAsia="ru-RU"/>
        </w:rPr>
        <w:t xml:space="preserve"> ընդունված ստանդարտներին համապատասխան»:</w:t>
      </w:r>
    </w:p>
    <w:p w14:paraId="3B730C19" w14:textId="77777777" w:rsidR="004911F9" w:rsidRPr="00FB57CF" w:rsidRDefault="004911F9" w:rsidP="00634E9B">
      <w:pPr>
        <w:pStyle w:val="Heading3"/>
      </w:pPr>
      <w:bookmarkStart w:id="5" w:name="_Toc109309591"/>
      <w:r w:rsidRPr="00FB57CF">
        <w:t xml:space="preserve">ՄԱԿ-ի </w:t>
      </w:r>
      <w:r w:rsidRPr="00FB57CF">
        <w:rPr>
          <w:lang w:val="af-ZA"/>
        </w:rPr>
        <w:t>2011</w:t>
      </w:r>
      <w:r w:rsidRPr="00FB57CF">
        <w:t xml:space="preserve"> թվականի 66-րդ Գլխավոր վեհաժողովի թիվ A/66/209 </w:t>
      </w:r>
      <w:r w:rsidR="004B3E85" w:rsidRPr="00FB57CF">
        <w:t>որոշում</w:t>
      </w:r>
      <w:bookmarkEnd w:id="5"/>
    </w:p>
    <w:p w14:paraId="47A3FCB7" w14:textId="4E1DCA4B" w:rsidR="00356079" w:rsidRPr="00FB57CF" w:rsidRDefault="00356079" w:rsidP="004B3E85">
      <w:pPr>
        <w:rPr>
          <w:lang w:val="af-ZA" w:eastAsia="ru-RU"/>
        </w:rPr>
      </w:pPr>
      <w:r w:rsidRPr="00FB57CF">
        <w:rPr>
          <w:lang w:val="af-ZA" w:eastAsia="ru-RU"/>
        </w:rPr>
        <w:t xml:space="preserve">Իրավական բարելավումների </w:t>
      </w:r>
      <w:r w:rsidRPr="00FB57CF">
        <w:rPr>
          <w:lang w:eastAsia="ru-RU"/>
        </w:rPr>
        <w:t>նպատակադրումը</w:t>
      </w:r>
      <w:r w:rsidRPr="00FB57CF">
        <w:rPr>
          <w:lang w:val="af-ZA" w:eastAsia="ru-RU"/>
        </w:rPr>
        <w:t xml:space="preserve"> համահունչ է նաև ՄԱԿ</w:t>
      </w:r>
      <w:r w:rsidR="000F5983" w:rsidRPr="00FB57CF">
        <w:rPr>
          <w:lang w:val="af-ZA" w:eastAsia="ru-RU"/>
        </w:rPr>
        <w:t>-</w:t>
      </w:r>
      <w:r w:rsidR="000F5983" w:rsidRPr="00FB57CF">
        <w:rPr>
          <w:lang w:eastAsia="ru-RU"/>
        </w:rPr>
        <w:t>ի</w:t>
      </w:r>
      <w:r w:rsidRPr="00FB57CF">
        <w:rPr>
          <w:lang w:val="af-ZA" w:eastAsia="ru-RU"/>
        </w:rPr>
        <w:t xml:space="preserve"> 66</w:t>
      </w:r>
      <w:r w:rsidR="00E120ED" w:rsidRPr="00FB57CF">
        <w:rPr>
          <w:lang w:val="af-ZA" w:eastAsia="ru-RU"/>
        </w:rPr>
        <w:noBreakHyphen/>
      </w:r>
      <w:r w:rsidRPr="00FB57CF">
        <w:rPr>
          <w:lang w:val="af-ZA" w:eastAsia="ru-RU"/>
        </w:rPr>
        <w:t xml:space="preserve">րդ Գլխավոր վեհաժողովի 22.12.2011թ.-ին </w:t>
      </w:r>
      <w:r w:rsidR="004B3E85" w:rsidRPr="00FB57CF">
        <w:rPr>
          <w:lang w:val="af-ZA" w:eastAsia="ru-RU"/>
        </w:rPr>
        <w:t>ընդուն</w:t>
      </w:r>
      <w:r w:rsidRPr="00FB57CF">
        <w:rPr>
          <w:lang w:val="af-ZA" w:eastAsia="ru-RU"/>
        </w:rPr>
        <w:t>ած «</w:t>
      </w:r>
      <w:r w:rsidR="0050046C" w:rsidRPr="00FB57CF">
        <w:rPr>
          <w:lang w:eastAsia="ru-RU"/>
        </w:rPr>
        <w:t>ԲՀՄ-</w:t>
      </w:r>
      <w:r w:rsidRPr="00FB57CF">
        <w:rPr>
          <w:lang w:val="af-ZA" w:eastAsia="ru-RU"/>
        </w:rPr>
        <w:t>ների ուժեղացման միջ</w:t>
      </w:r>
      <w:r w:rsidR="00713C1F" w:rsidRPr="00FB57CF">
        <w:rPr>
          <w:lang w:eastAsia="ru-RU"/>
        </w:rPr>
        <w:t>ո</w:t>
      </w:r>
      <w:r w:rsidRPr="00FB57CF">
        <w:rPr>
          <w:lang w:val="af-ZA" w:eastAsia="ru-RU"/>
        </w:rPr>
        <w:t xml:space="preserve">ցով պետական կառավարման արդյունավետության, օգտավետության, հաշվետվողականության և թափանցիկության բարձրացման վերաբերյալ» թիվ A/66/209 որոշմանը. «ԲՀՄ-ը կարող է արդյունավետ գործել միայն այն դեպքում, եթե վերջինս անկախ է բոլոր պետական մարմիններից և պաշտպանված է ցանկացած արտաքին ազդեցությունից»: </w:t>
      </w:r>
      <w:r w:rsidR="003507CA" w:rsidRPr="00FB57CF">
        <w:rPr>
          <w:lang w:eastAsia="ru-RU"/>
        </w:rPr>
        <w:t>Նշյալ</w:t>
      </w:r>
      <w:r w:rsidRPr="00FB57CF">
        <w:rPr>
          <w:lang w:val="af-ZA" w:eastAsia="ru-RU"/>
        </w:rPr>
        <w:t xml:space="preserve"> որոշմամբ</w:t>
      </w:r>
      <w:r w:rsidRPr="00FB57CF">
        <w:rPr>
          <w:lang w:eastAsia="ru-RU"/>
        </w:rPr>
        <w:t>, հանրային ծառա</w:t>
      </w:r>
      <w:r w:rsidR="003507CA" w:rsidRPr="00FB57CF">
        <w:rPr>
          <w:lang w:eastAsia="ru-RU"/>
        </w:rPr>
        <w:softHyphen/>
      </w:r>
      <w:r w:rsidRPr="00FB57CF">
        <w:rPr>
          <w:lang w:eastAsia="ru-RU"/>
        </w:rPr>
        <w:t>յություն</w:t>
      </w:r>
      <w:r w:rsidR="003507CA" w:rsidRPr="00FB57CF">
        <w:rPr>
          <w:lang w:eastAsia="ru-RU"/>
        </w:rPr>
        <w:softHyphen/>
      </w:r>
      <w:r w:rsidRPr="00FB57CF">
        <w:rPr>
          <w:lang w:eastAsia="ru-RU"/>
        </w:rPr>
        <w:t>ների որակը բարելավելու նկատառումով,</w:t>
      </w:r>
      <w:r w:rsidRPr="00FB57CF">
        <w:rPr>
          <w:lang w:val="af-ZA" w:eastAsia="ru-RU"/>
        </w:rPr>
        <w:t xml:space="preserve"> ՄԱԿ-ի գլխավոր վեհաժողովը բոլոր անդամ պետություններին պաշտոնապես հորդորում է ամբողջությամբ կիրառել INTOSAI-ի կողմից ընդունված Լիմայի և Մեխիկոյի հռչակագրերում տեղ գտած սկզբունքներն ու դրույթները:</w:t>
      </w:r>
    </w:p>
    <w:p w14:paraId="7922C5F4" w14:textId="77777777" w:rsidR="003507CA" w:rsidRPr="00FB57CF" w:rsidRDefault="003507CA" w:rsidP="00634E9B">
      <w:pPr>
        <w:pStyle w:val="Heading3"/>
        <w:rPr>
          <w:lang w:val="af-ZA"/>
        </w:rPr>
      </w:pPr>
      <w:bookmarkStart w:id="6" w:name="_Toc109309592"/>
      <w:r w:rsidRPr="00FB57CF">
        <w:lastRenderedPageBreak/>
        <w:t>ՀՀ</w:t>
      </w:r>
      <w:r w:rsidRPr="00FB57CF">
        <w:rPr>
          <w:lang w:val="af-ZA"/>
        </w:rPr>
        <w:t xml:space="preserve"> 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</w:t>
      </w:r>
      <w:r w:rsidRPr="00FB57CF">
        <w:rPr>
          <w:lang w:val="af-ZA"/>
        </w:rPr>
        <w:t xml:space="preserve"> 2020-2023 </w:t>
      </w:r>
      <w:r w:rsidRPr="00FB57CF">
        <w:t>թվականների</w:t>
      </w:r>
      <w:r w:rsidRPr="00FB57CF">
        <w:rPr>
          <w:lang w:val="af-ZA"/>
        </w:rPr>
        <w:t xml:space="preserve"> </w:t>
      </w:r>
      <w:r w:rsidRPr="00FB57CF">
        <w:t>ռազմավարական</w:t>
      </w:r>
      <w:r w:rsidRPr="00FB57CF">
        <w:rPr>
          <w:lang w:val="af-ZA"/>
        </w:rPr>
        <w:t xml:space="preserve"> </w:t>
      </w:r>
      <w:r w:rsidRPr="00FB57CF">
        <w:t>զարգացման</w:t>
      </w:r>
      <w:r w:rsidRPr="00FB57CF">
        <w:rPr>
          <w:lang w:val="af-ZA"/>
        </w:rPr>
        <w:t xml:space="preserve"> </w:t>
      </w:r>
      <w:r w:rsidRPr="00FB57CF">
        <w:t>ծրագիր</w:t>
      </w:r>
      <w:bookmarkEnd w:id="6"/>
    </w:p>
    <w:p w14:paraId="46111ACD" w14:textId="435D98A1" w:rsidR="00356079" w:rsidRPr="00FB57CF" w:rsidRDefault="00356079" w:rsidP="003507CA">
      <w:pPr>
        <w:rPr>
          <w:lang w:val="af-ZA"/>
        </w:rPr>
      </w:pPr>
      <w:r w:rsidRPr="00FB57CF">
        <w:t>ՀՀ</w:t>
      </w:r>
      <w:r w:rsidRPr="00FB57CF">
        <w:rPr>
          <w:lang w:val="af-ZA"/>
        </w:rPr>
        <w:t xml:space="preserve"> </w:t>
      </w:r>
      <w:r w:rsidRPr="00FB57CF">
        <w:t>արտաքին</w:t>
      </w:r>
      <w:r w:rsidRPr="00FB57CF">
        <w:rPr>
          <w:lang w:val="af-ZA"/>
        </w:rPr>
        <w:t xml:space="preserve"> </w:t>
      </w:r>
      <w:r w:rsidRPr="00FB57CF">
        <w:t>պետական</w:t>
      </w:r>
      <w:r w:rsidRPr="00FB57CF">
        <w:rPr>
          <w:lang w:val="af-ZA"/>
        </w:rPr>
        <w:t xml:space="preserve"> </w:t>
      </w:r>
      <w:r w:rsidRPr="00FB57CF">
        <w:t>հաշվեքննության</w:t>
      </w:r>
      <w:r w:rsidRPr="00FB57CF">
        <w:rPr>
          <w:lang w:val="af-ZA"/>
        </w:rPr>
        <w:t xml:space="preserve"> </w:t>
      </w:r>
      <w:r w:rsidRPr="00FB57CF">
        <w:t>ոլորտում</w:t>
      </w:r>
      <w:r w:rsidRPr="00FB57CF">
        <w:rPr>
          <w:lang w:val="af-ZA"/>
        </w:rPr>
        <w:t xml:space="preserve"> </w:t>
      </w:r>
      <w:r w:rsidRPr="00FB57CF">
        <w:t>իրավական</w:t>
      </w:r>
      <w:r w:rsidRPr="00FB57CF">
        <w:rPr>
          <w:lang w:val="af-ZA"/>
        </w:rPr>
        <w:t xml:space="preserve"> </w:t>
      </w:r>
      <w:r w:rsidRPr="00FB57CF">
        <w:t>բարելավումների</w:t>
      </w:r>
      <w:r w:rsidRPr="00FB57CF">
        <w:rPr>
          <w:lang w:val="af-ZA"/>
        </w:rPr>
        <w:t xml:space="preserve"> </w:t>
      </w:r>
      <w:r w:rsidRPr="00FB57CF">
        <w:t>նպատակը</w:t>
      </w:r>
      <w:r w:rsidRPr="00FB57CF">
        <w:rPr>
          <w:lang w:val="af-ZA"/>
        </w:rPr>
        <w:t xml:space="preserve"> </w:t>
      </w:r>
      <w:r w:rsidRPr="00FB57CF">
        <w:t>և</w:t>
      </w:r>
      <w:r w:rsidRPr="00FB57CF">
        <w:rPr>
          <w:lang w:val="af-ZA"/>
        </w:rPr>
        <w:t xml:space="preserve"> «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</w:t>
      </w:r>
      <w:r w:rsidRPr="00FB57CF">
        <w:rPr>
          <w:lang w:val="af-ZA"/>
        </w:rPr>
        <w:t xml:space="preserve"> </w:t>
      </w:r>
      <w:r w:rsidRPr="00FB57CF">
        <w:t>մասին</w:t>
      </w:r>
      <w:r w:rsidRPr="00FB57CF">
        <w:rPr>
          <w:lang w:val="af-ZA"/>
        </w:rPr>
        <w:t xml:space="preserve">»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օրենքի</w:t>
      </w:r>
      <w:r w:rsidRPr="00FB57CF">
        <w:rPr>
          <w:lang w:val="af-ZA"/>
        </w:rPr>
        <w:t xml:space="preserve"> </w:t>
      </w:r>
      <w:r w:rsidR="003507CA" w:rsidRPr="00FB57CF">
        <w:t xml:space="preserve">վերանայման </w:t>
      </w:r>
      <w:r w:rsidRPr="00FB57CF">
        <w:t>միջոցառումները</w:t>
      </w:r>
      <w:r w:rsidRPr="00FB57CF">
        <w:rPr>
          <w:lang w:val="af-ZA"/>
        </w:rPr>
        <w:t xml:space="preserve"> </w:t>
      </w:r>
      <w:r w:rsidRPr="00FB57CF">
        <w:t>սահմանված</w:t>
      </w:r>
      <w:r w:rsidRPr="00FB57CF">
        <w:rPr>
          <w:lang w:val="af-ZA"/>
        </w:rPr>
        <w:t xml:space="preserve"> </w:t>
      </w:r>
      <w:r w:rsidRPr="00FB57CF">
        <w:t>են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</w:t>
      </w:r>
      <w:r w:rsidRPr="00FB57CF">
        <w:rPr>
          <w:lang w:val="af-ZA"/>
        </w:rPr>
        <w:t xml:space="preserve"> 2020</w:t>
      </w:r>
      <w:r w:rsidRPr="00FB57CF">
        <w:t>թ</w:t>
      </w:r>
      <w:r w:rsidRPr="00FB57CF">
        <w:rPr>
          <w:lang w:val="af-ZA"/>
        </w:rPr>
        <w:t xml:space="preserve">. </w:t>
      </w:r>
      <w:r w:rsidRPr="00FB57CF">
        <w:t>օգոստոսի</w:t>
      </w:r>
      <w:r w:rsidRPr="00FB57CF">
        <w:rPr>
          <w:lang w:val="af-ZA"/>
        </w:rPr>
        <w:t xml:space="preserve"> 7-</w:t>
      </w:r>
      <w:r w:rsidRPr="00FB57CF">
        <w:t>ի</w:t>
      </w:r>
      <w:r w:rsidRPr="00FB57CF">
        <w:rPr>
          <w:lang w:val="af-ZA"/>
        </w:rPr>
        <w:t xml:space="preserve"> </w:t>
      </w:r>
      <w:r w:rsidRPr="00FB57CF">
        <w:t>թիվ</w:t>
      </w:r>
      <w:r w:rsidRPr="00FB57CF">
        <w:rPr>
          <w:lang w:val="af-ZA"/>
        </w:rPr>
        <w:t xml:space="preserve"> 150</w:t>
      </w:r>
      <w:r w:rsidRPr="00FB57CF">
        <w:rPr>
          <w:lang w:val="af-ZA"/>
        </w:rPr>
        <w:noBreakHyphen/>
      </w:r>
      <w:r w:rsidRPr="00FB57CF">
        <w:t>Լ</w:t>
      </w:r>
      <w:r w:rsidRPr="00FB57CF">
        <w:rPr>
          <w:lang w:val="af-ZA"/>
        </w:rPr>
        <w:t xml:space="preserve"> </w:t>
      </w:r>
      <w:r w:rsidRPr="00FB57CF">
        <w:t>որոշմամբ</w:t>
      </w:r>
      <w:r w:rsidRPr="00FB57CF">
        <w:rPr>
          <w:lang w:val="af-ZA"/>
        </w:rPr>
        <w:t xml:space="preserve"> </w:t>
      </w:r>
      <w:r w:rsidRPr="00FB57CF">
        <w:t>հաստատված</w:t>
      </w:r>
      <w:r w:rsidRPr="00FB57CF">
        <w:rPr>
          <w:lang w:val="af-ZA"/>
        </w:rPr>
        <w:t xml:space="preserve">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</w:t>
      </w:r>
      <w:r w:rsidRPr="00FB57CF">
        <w:rPr>
          <w:lang w:val="af-ZA"/>
        </w:rPr>
        <w:t xml:space="preserve"> 2020</w:t>
      </w:r>
      <w:r w:rsidR="003507CA" w:rsidRPr="00FB57CF">
        <w:rPr>
          <w:lang w:val="af-ZA"/>
        </w:rPr>
        <w:noBreakHyphen/>
      </w:r>
      <w:r w:rsidRPr="00FB57CF">
        <w:rPr>
          <w:lang w:val="af-ZA"/>
        </w:rPr>
        <w:t xml:space="preserve">2023 </w:t>
      </w:r>
      <w:r w:rsidRPr="00FB57CF">
        <w:t>թվականների</w:t>
      </w:r>
      <w:r w:rsidRPr="00FB57CF">
        <w:rPr>
          <w:lang w:val="af-ZA"/>
        </w:rPr>
        <w:t xml:space="preserve"> </w:t>
      </w:r>
      <w:r w:rsidRPr="00FB57CF">
        <w:t>ռազմավարական</w:t>
      </w:r>
      <w:r w:rsidRPr="00FB57CF">
        <w:rPr>
          <w:lang w:val="af-ZA"/>
        </w:rPr>
        <w:t xml:space="preserve"> </w:t>
      </w:r>
      <w:r w:rsidRPr="00FB57CF">
        <w:t>զարգացման</w:t>
      </w:r>
      <w:r w:rsidRPr="00FB57CF">
        <w:rPr>
          <w:lang w:val="af-ZA"/>
        </w:rPr>
        <w:t xml:space="preserve"> </w:t>
      </w:r>
      <w:r w:rsidRPr="00FB57CF">
        <w:t>ծրագրում</w:t>
      </w:r>
      <w:r w:rsidRPr="00FB57CF">
        <w:rPr>
          <w:lang w:val="af-ZA"/>
        </w:rPr>
        <w:t xml:space="preserve"> </w:t>
      </w:r>
      <w:r w:rsidRPr="00FB57CF">
        <w:t>և</w:t>
      </w:r>
      <w:r w:rsidRPr="00FB57CF">
        <w:rPr>
          <w:lang w:val="af-ZA"/>
        </w:rPr>
        <w:t xml:space="preserve"> </w:t>
      </w:r>
      <w:r w:rsidRPr="00FB57CF">
        <w:t>դրա</w:t>
      </w:r>
      <w:r w:rsidRPr="00FB57CF">
        <w:rPr>
          <w:lang w:val="af-ZA"/>
        </w:rPr>
        <w:t xml:space="preserve"> </w:t>
      </w:r>
      <w:r w:rsidRPr="00FB57CF">
        <w:t>իրականացման</w:t>
      </w:r>
      <w:r w:rsidRPr="00FB57CF">
        <w:rPr>
          <w:lang w:val="af-ZA"/>
        </w:rPr>
        <w:t xml:space="preserve"> </w:t>
      </w:r>
      <w:r w:rsidRPr="00FB57CF">
        <w:t>միջոցառումների</w:t>
      </w:r>
      <w:r w:rsidRPr="00FB57CF">
        <w:rPr>
          <w:lang w:val="af-ZA"/>
        </w:rPr>
        <w:t xml:space="preserve"> </w:t>
      </w:r>
      <w:r w:rsidRPr="00FB57CF">
        <w:t>պլանում</w:t>
      </w:r>
      <w:r w:rsidRPr="00FB57CF">
        <w:rPr>
          <w:lang w:val="af-ZA"/>
        </w:rPr>
        <w:t xml:space="preserve"> (1-</w:t>
      </w:r>
      <w:r w:rsidRPr="00FB57CF">
        <w:t>ին</w:t>
      </w:r>
      <w:r w:rsidRPr="00FB57CF">
        <w:rPr>
          <w:lang w:val="af-ZA"/>
        </w:rPr>
        <w:t xml:space="preserve"> </w:t>
      </w:r>
      <w:r w:rsidRPr="00FB57CF">
        <w:t>նպատակ՝</w:t>
      </w:r>
      <w:r w:rsidRPr="00FB57CF">
        <w:rPr>
          <w:lang w:val="af-ZA"/>
        </w:rPr>
        <w:t xml:space="preserve"> </w:t>
      </w:r>
      <w:r w:rsidRPr="00FB57CF">
        <w:t>իրավական</w:t>
      </w:r>
      <w:r w:rsidRPr="00FB57CF">
        <w:rPr>
          <w:lang w:val="af-ZA"/>
        </w:rPr>
        <w:t xml:space="preserve"> </w:t>
      </w:r>
      <w:r w:rsidRPr="00FB57CF">
        <w:t>բարելավումներ</w:t>
      </w:r>
      <w:r w:rsidRPr="00FB57CF">
        <w:rPr>
          <w:lang w:val="af-ZA"/>
        </w:rPr>
        <w:t xml:space="preserve">, 1.1 </w:t>
      </w:r>
      <w:r w:rsidRPr="00FB57CF">
        <w:t>միջոցառում՝</w:t>
      </w:r>
      <w:r w:rsidRPr="00FB57CF">
        <w:rPr>
          <w:lang w:val="af-ZA"/>
        </w:rPr>
        <w:t xml:space="preserve"> </w:t>
      </w:r>
      <w:r w:rsidR="00F72F7D" w:rsidRPr="00FB57CF">
        <w:rPr>
          <w:lang w:val="af-ZA"/>
        </w:rPr>
        <w:t xml:space="preserve">Սահմանադրությամբ </w:t>
      </w:r>
      <w:r w:rsidRPr="00FB57CF">
        <w:rPr>
          <w:lang w:val="af-ZA"/>
        </w:rPr>
        <w:t xml:space="preserve">և օրենքով Հաշվեքննիչ պալատի անկախության և մանդատի </w:t>
      </w:r>
      <w:r w:rsidRPr="00FB57CF">
        <w:t>ամրապնդում</w:t>
      </w:r>
      <w:r w:rsidRPr="00FB57CF">
        <w:rPr>
          <w:lang w:val="af-ZA"/>
        </w:rPr>
        <w:t>, 1.1.2 ենթամիջոցառում՝ «</w:t>
      </w:r>
      <w:r w:rsidRPr="00FB57CF">
        <w:t>Հաշվեքննիչ</w:t>
      </w:r>
      <w:r w:rsidRPr="00FB57CF">
        <w:rPr>
          <w:lang w:val="af-ZA"/>
        </w:rPr>
        <w:t xml:space="preserve"> </w:t>
      </w:r>
      <w:r w:rsidRPr="00FB57CF">
        <w:t>պալատի</w:t>
      </w:r>
      <w:r w:rsidRPr="00FB57CF">
        <w:rPr>
          <w:lang w:val="af-ZA"/>
        </w:rPr>
        <w:t xml:space="preserve"> </w:t>
      </w:r>
      <w:r w:rsidRPr="00FB57CF">
        <w:t>մասին</w:t>
      </w:r>
      <w:r w:rsidRPr="00FB57CF">
        <w:rPr>
          <w:lang w:val="af-ZA"/>
        </w:rPr>
        <w:t xml:space="preserve">» </w:t>
      </w:r>
      <w:r w:rsidRPr="00FB57CF">
        <w:t>ՀՀ</w:t>
      </w:r>
      <w:r w:rsidRPr="00FB57CF">
        <w:rPr>
          <w:lang w:val="af-ZA"/>
        </w:rPr>
        <w:t xml:space="preserve"> </w:t>
      </w:r>
      <w:r w:rsidRPr="00FB57CF">
        <w:t>օրենքի</w:t>
      </w:r>
      <w:r w:rsidRPr="00FB57CF">
        <w:rPr>
          <w:lang w:val="af-ZA"/>
        </w:rPr>
        <w:t xml:space="preserve"> </w:t>
      </w:r>
      <w:r w:rsidRPr="00FB57CF">
        <w:t xml:space="preserve">բարելավումների </w:t>
      </w:r>
      <w:r w:rsidRPr="00FB57CF">
        <w:rPr>
          <w:lang w:val="af-ZA"/>
        </w:rPr>
        <w:t>(</w:t>
      </w:r>
      <w:r w:rsidRPr="00FB57CF">
        <w:t>փոփոխությունների և լրացումների</w:t>
      </w:r>
      <w:r w:rsidRPr="00FB57CF">
        <w:rPr>
          <w:lang w:val="af-ZA"/>
        </w:rPr>
        <w:t>) նախագծի մշակում):</w:t>
      </w:r>
    </w:p>
    <w:p w14:paraId="193DF960" w14:textId="77777777" w:rsidR="00356079" w:rsidRPr="00FB57CF" w:rsidRDefault="00356079" w:rsidP="00E120ED">
      <w:pPr>
        <w:pStyle w:val="Heading2"/>
      </w:pPr>
      <w:bookmarkStart w:id="7" w:name="_Toc109309593"/>
      <w:r w:rsidRPr="00FB57CF">
        <w:t>INTOSAI հիմնարար սկզբունքներ, ստանդարտներ ու միջազգային լավագույն փորձ</w:t>
      </w:r>
      <w:bookmarkEnd w:id="7"/>
    </w:p>
    <w:p w14:paraId="7994959D" w14:textId="77777777" w:rsidR="00356079" w:rsidRPr="00FB57CF" w:rsidRDefault="00356079" w:rsidP="00634E9B">
      <w:pPr>
        <w:pStyle w:val="Heading3"/>
      </w:pPr>
      <w:r w:rsidRPr="00FB57CF">
        <w:t xml:space="preserve">  </w:t>
      </w:r>
      <w:bookmarkStart w:id="8" w:name="_Toc109309594"/>
      <w:r w:rsidRPr="00FB57CF">
        <w:t>Ֆինանսական, կազմակերպչական և գործառնական անկախություն</w:t>
      </w:r>
      <w:bookmarkEnd w:id="8"/>
    </w:p>
    <w:p w14:paraId="543C9BA6" w14:textId="77777777" w:rsidR="00356079" w:rsidRPr="00FB57CF" w:rsidRDefault="00356079" w:rsidP="00E120ED">
      <w:pPr>
        <w:pStyle w:val="Heading4"/>
      </w:pPr>
      <w:r w:rsidRPr="00FB57CF">
        <w:t>ԲՀՄ-ները կարող են օբյեկտիվ և արդյունավետ կերպով կատարել իրենց առաջադրանքները միայն այն դեպքում, եթե նրանք անկախ են հաշվեքննության ենթարկվող կառույցից և պաշտպանված են արտաքին ազդեցությունից:</w:t>
      </w:r>
    </w:p>
    <w:p w14:paraId="342C13A2" w14:textId="77777777" w:rsidR="00356079" w:rsidRPr="00FB57CF" w:rsidRDefault="00356079" w:rsidP="00E120ED">
      <w:pPr>
        <w:pStyle w:val="Heading4"/>
        <w:rPr>
          <w:rFonts w:cs="Sylfaen"/>
          <w:b/>
          <w:u w:val="single"/>
        </w:rPr>
      </w:pPr>
      <w:r w:rsidRPr="00FB57CF">
        <w:t>ԲՀՄ-ները պետք է ապահովված լինեն իրենց պատվիրակված գործառույթի իրականացման համար անհրաժեշտ պատշաճ ֆինանսական ռեսուրսներով և պետք է իրավասու լինեն իրենց գործունեության համար անհրաժեշտ ֆինանսական միջոցների կարիքը բավարարելու համար անմիջականորեն դիմել խորհրդարանին:</w:t>
      </w:r>
    </w:p>
    <w:p w14:paraId="19FA1003" w14:textId="77777777" w:rsidR="00356079" w:rsidRPr="00FB57CF" w:rsidRDefault="00356079" w:rsidP="00634E9B">
      <w:pPr>
        <w:pStyle w:val="Heading3"/>
      </w:pPr>
      <w:bookmarkStart w:id="9" w:name="_Toc109309595"/>
      <w:r w:rsidRPr="00FB57CF">
        <w:t>Հաշվեքննության</w:t>
      </w:r>
      <w:r w:rsidRPr="00FB57CF">
        <w:rPr>
          <w:rFonts w:eastAsia="Calibri"/>
        </w:rPr>
        <w:t xml:space="preserve"> մանդատ</w:t>
      </w:r>
      <w:bookmarkEnd w:id="9"/>
      <w:r w:rsidRPr="00FB57CF">
        <w:rPr>
          <w:rFonts w:eastAsia="Calibri"/>
        </w:rPr>
        <w:t xml:space="preserve"> </w:t>
      </w:r>
    </w:p>
    <w:p w14:paraId="2944F49F" w14:textId="77777777" w:rsidR="00356079" w:rsidRPr="00FB57CF" w:rsidRDefault="00356079" w:rsidP="00E120ED">
      <w:pPr>
        <w:pStyle w:val="Heading4"/>
      </w:pPr>
      <w:r w:rsidRPr="00FB57CF">
        <w:t xml:space="preserve">ԲՀՄ-ներն իրենց առջև դրված խնդիրները լուծելու համար պետք է լիազորություն </w:t>
      </w:r>
      <w:r w:rsidRPr="00FB57CF">
        <w:rPr>
          <w:rStyle w:val="Heading4Char"/>
          <w:rFonts w:cs="Arial"/>
        </w:rPr>
        <w:t>ունենան</w:t>
      </w:r>
      <w:r w:rsidRPr="00FB57CF">
        <w:t xml:space="preserve"> հաշվեքննելու հանրային ֆինանսները՝ ներառյալ եկամուտները (մուտքերը) և ծախսերը (ելքերը), ինչպես նաև հանրային սեփականության օգտագործումը: </w:t>
      </w:r>
    </w:p>
    <w:p w14:paraId="55692DB6" w14:textId="77777777" w:rsidR="00356079" w:rsidRPr="00FB57CF" w:rsidRDefault="00356079" w:rsidP="00E120ED">
      <w:pPr>
        <w:pStyle w:val="Heading4"/>
      </w:pPr>
      <w:r w:rsidRPr="00FB57CF">
        <w:t xml:space="preserve">Իրավաբանական անձինք, որոնցում կառավարությունն էական  ներգրավվածություն ունի, մասնավորապես՝ գերիշխող մասնաբաժին </w:t>
      </w:r>
      <w:r w:rsidRPr="00FB57CF">
        <w:lastRenderedPageBreak/>
        <w:t xml:space="preserve">կամ գերակշիռ ազդեցություն, նույնպես պետք է ենթակա լինեն հաշվեքննության: </w:t>
      </w:r>
    </w:p>
    <w:p w14:paraId="3F0B7091" w14:textId="2C23BB0A" w:rsidR="00356079" w:rsidRPr="00FB57CF" w:rsidRDefault="00356079" w:rsidP="00E120ED">
      <w:pPr>
        <w:pStyle w:val="Heading4"/>
      </w:pPr>
      <w:r w:rsidRPr="00FB57CF">
        <w:t xml:space="preserve">Հանրային ֆինանսներին առնչվող բոլոր գործառնությունները ենթակա են հաշվեքննության՝ անկախ պետական և/կամ </w:t>
      </w:r>
      <w:r w:rsidR="00F72F7D" w:rsidRPr="00FB57CF">
        <w:t xml:space="preserve">համայնքային </w:t>
      </w:r>
      <w:r w:rsidRPr="00FB57CF">
        <w:t xml:space="preserve">բյուջեներում դրանց արտացոլված լինելու հանգամանքից կամ պետական և/կամ </w:t>
      </w:r>
      <w:r w:rsidR="00F72F7D" w:rsidRPr="00FB57CF">
        <w:t xml:space="preserve">համայնքային </w:t>
      </w:r>
      <w:r w:rsidRPr="00FB57CF">
        <w:t>բյուջեների վրա ազդեցություն ունենալու եղանակից:</w:t>
      </w:r>
    </w:p>
    <w:p w14:paraId="34EA2F29" w14:textId="77777777" w:rsidR="00356079" w:rsidRPr="00FB57CF" w:rsidRDefault="00356079" w:rsidP="00E120ED">
      <w:pPr>
        <w:pStyle w:val="Heading4"/>
      </w:pPr>
      <w:r w:rsidRPr="00FB57CF">
        <w:t>ԲՀՄ-ներին պետք է հասանելի լինեն հանրային ֆինանսների կառավարման հետ կապված բոլոր գրանցումները և փաստաթղթերը, նրանք պետք է լիազորված լինեն բանավոր կամ գրավոր կերպով հայցելու հաշվեքննության համար անհրաժեշտ համարվող ցանկացած տեղեկատվություն: ԲՀՄ-ները պետք է իրավասու լինեն որոշել, թե որտեղ իրականացնել հաշվեքննությունը՝ հաշվեքննության ենթարկվող մարմնի, թե իրենց աշխատավայրերում:</w:t>
      </w:r>
    </w:p>
    <w:p w14:paraId="1720127C" w14:textId="77777777" w:rsidR="00356079" w:rsidRPr="00FB57CF" w:rsidRDefault="00356079" w:rsidP="00E120ED">
      <w:pPr>
        <w:pStyle w:val="Heading4"/>
      </w:pPr>
      <w:r w:rsidRPr="00FB57CF">
        <w:t>ԲՀՄ-ներին պետք է հնարավորություն ընձեռնվի արդյունավետ հետհսկողության մեխանիզմների կիրառել իրենց առաջարկություն</w:t>
      </w:r>
      <w:r w:rsidR="003B6B6A" w:rsidRPr="00FB57CF">
        <w:softHyphen/>
      </w:r>
      <w:r w:rsidRPr="00FB57CF">
        <w:t xml:space="preserve">ների իրացման ընթացքի նկատմամբ: </w:t>
      </w:r>
    </w:p>
    <w:p w14:paraId="4471E9AD" w14:textId="77777777" w:rsidR="00356079" w:rsidRPr="00FB57CF" w:rsidRDefault="00356079" w:rsidP="00634E9B">
      <w:pPr>
        <w:pStyle w:val="Heading3"/>
        <w:rPr>
          <w:rFonts w:eastAsia="Calibri"/>
        </w:rPr>
      </w:pPr>
      <w:bookmarkStart w:id="10" w:name="_Toc109309596"/>
      <w:r w:rsidRPr="00FB57CF">
        <w:rPr>
          <w:rFonts w:eastAsia="Calibri"/>
        </w:rPr>
        <w:t>Մարդկային ռեսուրսների զարգացում</w:t>
      </w:r>
      <w:bookmarkEnd w:id="10"/>
      <w:r w:rsidRPr="00FB57CF">
        <w:rPr>
          <w:rFonts w:eastAsia="Calibri"/>
        </w:rPr>
        <w:t xml:space="preserve"> </w:t>
      </w:r>
    </w:p>
    <w:p w14:paraId="611E6863" w14:textId="77777777" w:rsidR="00356079" w:rsidRPr="00FB57CF" w:rsidRDefault="00356079" w:rsidP="00E120ED">
      <w:pPr>
        <w:pStyle w:val="Heading4"/>
      </w:pPr>
      <w:r w:rsidRPr="00FB57CF">
        <w:t>ԲՀՄ-ներն իրենց լիազորությունները լիարժեք իրականացնելու համար պետք է համալրված լինեն անհրաժեշտ որակներ ունեցող և էթիկայի կանոններին համապատասխան մարդկային ռեսուրսներով։</w:t>
      </w:r>
    </w:p>
    <w:p w14:paraId="6697964C" w14:textId="77777777" w:rsidR="00356079" w:rsidRPr="00FB57CF" w:rsidRDefault="00356079" w:rsidP="00E120ED">
      <w:pPr>
        <w:pStyle w:val="Heading4"/>
      </w:pPr>
      <w:r w:rsidRPr="00FB57CF">
        <w:t>Արտաքին պետական հաշվեքննության ոլորտի աշխատակիցների (հիմնականում՝ հաշվեքննողների) տեսական ու գործնական մասնագիտական կատարելագործումը տեղական և միջազգային ակադեմիական ծրագրերի միջոցով պետք է մշտապես հատուկ ուշադրության արժանանա:</w:t>
      </w:r>
    </w:p>
    <w:p w14:paraId="606DD6DF" w14:textId="77777777" w:rsidR="00356079" w:rsidRPr="00FB57CF" w:rsidRDefault="00356079" w:rsidP="00634E9B">
      <w:pPr>
        <w:pStyle w:val="Heading3"/>
      </w:pPr>
      <w:bookmarkStart w:id="11" w:name="_Toc109309597"/>
      <w:r w:rsidRPr="00FB57CF">
        <w:rPr>
          <w:rFonts w:eastAsia="Calibri"/>
        </w:rPr>
        <w:t>Գործունեության արդյունավետության բարձրացման հարցեր</w:t>
      </w:r>
      <w:bookmarkEnd w:id="11"/>
    </w:p>
    <w:p w14:paraId="70D90D1D" w14:textId="061DE7FA" w:rsidR="00356079" w:rsidRPr="00FB57CF" w:rsidRDefault="00356079" w:rsidP="00901F03">
      <w:r w:rsidRPr="00FB57CF">
        <w:t>«Հաշվեքննիչ պալատի մասին</w:t>
      </w:r>
      <w:r w:rsidRPr="00FB57CF">
        <w:rPr>
          <w:rFonts w:cs="Arial Armenian"/>
        </w:rPr>
        <w:t>»</w:t>
      </w:r>
      <w:r w:rsidRPr="00FB57CF">
        <w:t xml:space="preserve"> ՀՀ օրենքի կիրարկման ընթացքում (2018թ.</w:t>
      </w:r>
      <w:r w:rsidRPr="00FB57CF">
        <w:noBreakHyphen/>
        <w:t>ի ապրիլի 9</w:t>
      </w:r>
      <w:r w:rsidRPr="00FB57CF">
        <w:noBreakHyphen/>
        <w:t>ից սկսած)՝ բավականաչափ տեղեկատվություն է կուտակվել INTOSAI</w:t>
      </w:r>
      <w:r w:rsidR="00616259" w:rsidRPr="00FB57CF">
        <w:t>-ի</w:t>
      </w:r>
      <w:r w:rsidRPr="00FB57CF">
        <w:t xml:space="preserve"> ընդունած միջազգային ստանդարտներից ՀՀ</w:t>
      </w:r>
      <w:r w:rsidRPr="00FB57CF">
        <w:noBreakHyphen/>
        <w:t>ում գործող իրավակարգավորում</w:t>
      </w:r>
      <w:r w:rsidR="00901F03" w:rsidRPr="00FB57CF">
        <w:softHyphen/>
      </w:r>
      <w:r w:rsidRPr="00FB57CF">
        <w:t xml:space="preserve">ների ու դրանց գործնական կիրառման շեղումների վերաբերյալ, ինչը թույլ է տալիս եզրակացնել, որ իրավական դաշտի ներկա փուլում տեսանելի ուղղություններով բարելավումը նախադրյալներ կձևավորի </w:t>
      </w:r>
      <w:r w:rsidRPr="00FB57CF">
        <w:lastRenderedPageBreak/>
        <w:t>արտաքին պետական հաշվեքննության գործառույթի գործունեության արդյունավետության բարձրացման համար:</w:t>
      </w:r>
    </w:p>
    <w:p w14:paraId="51D90526" w14:textId="77777777" w:rsidR="00356079" w:rsidRPr="00FB57CF" w:rsidRDefault="00356079" w:rsidP="00E120ED">
      <w:pPr>
        <w:pStyle w:val="Heading2"/>
      </w:pPr>
      <w:bookmarkStart w:id="12" w:name="_Toc109309598"/>
      <w:r w:rsidRPr="00FB57CF">
        <w:t>Առաջարկություններ</w:t>
      </w:r>
      <w:bookmarkEnd w:id="12"/>
    </w:p>
    <w:p w14:paraId="0DA76723" w14:textId="7B8E2C6E" w:rsidR="00356079" w:rsidRPr="00FB57CF" w:rsidRDefault="00356079" w:rsidP="007859DB">
      <w:pPr>
        <w:rPr>
          <w:lang w:eastAsia="ru-RU"/>
        </w:rPr>
      </w:pPr>
      <w:r w:rsidRPr="00FB57CF">
        <w:t xml:space="preserve">ՀՀ գործող իրավակարգավորումները </w:t>
      </w:r>
      <w:r w:rsidRPr="00FB57CF">
        <w:rPr>
          <w:lang w:eastAsia="ru-RU"/>
        </w:rPr>
        <w:t>INTOSAI</w:t>
      </w:r>
      <w:r w:rsidR="00616259" w:rsidRPr="00FB57CF">
        <w:rPr>
          <w:lang w:eastAsia="ru-RU"/>
        </w:rPr>
        <w:t>-ի</w:t>
      </w:r>
      <w:r w:rsidRPr="00FB57CF">
        <w:rPr>
          <w:lang w:eastAsia="ru-RU"/>
        </w:rPr>
        <w:t xml:space="preserve"> հիմնարար սկզբունքներին, միջազգային ստանդարտներին (խնդրահարույցները հիմնականում ներկայացված են սույն հայեցակարգի </w:t>
      </w:r>
      <w:r w:rsidR="00E120ED" w:rsidRPr="00FB57CF">
        <w:rPr>
          <w:lang w:eastAsia="ru-RU"/>
        </w:rPr>
        <w:t>2-րդ բաժնում</w:t>
      </w:r>
      <w:r w:rsidRPr="00FB57CF">
        <w:rPr>
          <w:lang w:eastAsia="ru-RU"/>
        </w:rPr>
        <w:t xml:space="preserve">) և դրանց կիրառման տեսակետից հաջողված համարվող փորձին համադրելով՝ </w:t>
      </w:r>
      <w:r w:rsidR="00F2303F" w:rsidRPr="00FB57CF">
        <w:rPr>
          <w:lang w:eastAsia="ru-RU"/>
        </w:rPr>
        <w:t xml:space="preserve">ստորև ներկայացվում են </w:t>
      </w:r>
      <w:r w:rsidRPr="00FB57CF">
        <w:rPr>
          <w:lang w:eastAsia="ru-RU"/>
        </w:rPr>
        <w:t xml:space="preserve">ՀՀ օրենսդրությամբ սահմանված դրույթները վերանայելու </w:t>
      </w:r>
      <w:r w:rsidR="00F2303F" w:rsidRPr="00FB57CF">
        <w:rPr>
          <w:lang w:eastAsia="ru-RU"/>
        </w:rPr>
        <w:t>հիմնական ուղղությունները</w:t>
      </w:r>
      <w:r w:rsidRPr="00FB57CF">
        <w:rPr>
          <w:lang w:eastAsia="ru-RU"/>
        </w:rPr>
        <w:t>։</w:t>
      </w:r>
    </w:p>
    <w:p w14:paraId="6A2C6581" w14:textId="77777777" w:rsidR="008D16F9" w:rsidRPr="00FB57CF" w:rsidRDefault="001873DE" w:rsidP="00634E9B">
      <w:pPr>
        <w:pStyle w:val="Heading3"/>
      </w:pPr>
      <w:bookmarkStart w:id="13" w:name="_Toc109309599"/>
      <w:r w:rsidRPr="00FB57CF">
        <w:t>Կ</w:t>
      </w:r>
      <w:r w:rsidR="00356079" w:rsidRPr="00FB57CF">
        <w:t>ազմակերպչական</w:t>
      </w:r>
      <w:r w:rsidRPr="00FB57CF">
        <w:t xml:space="preserve"> (գործառութային)</w:t>
      </w:r>
      <w:r w:rsidR="00356079" w:rsidRPr="00FB57CF">
        <w:t xml:space="preserve">, գործառնական և ֆինանսական </w:t>
      </w:r>
      <w:r w:rsidR="008D16F9" w:rsidRPr="00FB57CF">
        <w:t>անկախություն</w:t>
      </w:r>
      <w:bookmarkEnd w:id="13"/>
    </w:p>
    <w:p w14:paraId="443F041E" w14:textId="1CCB72AF" w:rsidR="00356079" w:rsidRPr="00FB57CF" w:rsidRDefault="008D16F9" w:rsidP="008D16F9">
      <w:r w:rsidRPr="00FB57CF">
        <w:t>ՀՊ օրենքում՝ վերջինիս անկախությունը կանխորոշող կարգավորումներ</w:t>
      </w:r>
      <w:r w:rsidR="00067CEA" w:rsidRPr="00FB57CF">
        <w:t>ում</w:t>
      </w:r>
      <w:r w:rsidR="00356079" w:rsidRPr="00FB57CF">
        <w:t xml:space="preserve"> </w:t>
      </w:r>
      <w:r w:rsidRPr="00FB57CF">
        <w:t xml:space="preserve">առկա են որոշ </w:t>
      </w:r>
      <w:r w:rsidR="00356079" w:rsidRPr="00FB57CF">
        <w:t>խնդիրներ, որ</w:t>
      </w:r>
      <w:r w:rsidR="00071ECE" w:rsidRPr="00FB57CF">
        <w:t>ոնց</w:t>
      </w:r>
      <w:r w:rsidR="00356079" w:rsidRPr="00FB57CF">
        <w:t xml:space="preserve"> լուծման ուղղությամբ, առաջարկվում է.</w:t>
      </w:r>
    </w:p>
    <w:p w14:paraId="408DCF36" w14:textId="1BEF9D82" w:rsidR="001873DE" w:rsidRPr="00FB57CF" w:rsidRDefault="001873DE" w:rsidP="00E120ED">
      <w:pPr>
        <w:pStyle w:val="Heading4"/>
      </w:pPr>
      <w:r w:rsidRPr="00FB57CF">
        <w:t>Վերանայել ՀՊ գործունեության հրապարակայնության և թափանցիկության համար սահմանված այն պահանջները, որոնք կիրառության ընթացքում չեն հիմնավորել իրենց կարիքը։</w:t>
      </w:r>
    </w:p>
    <w:p w14:paraId="1B531C11" w14:textId="606BDE42" w:rsidR="00356079" w:rsidRPr="009572C6" w:rsidRDefault="001873DE" w:rsidP="009F2F14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 xml:space="preserve">։ </w:t>
      </w:r>
      <w:r w:rsidR="00356079" w:rsidRPr="00FB57CF">
        <w:rPr>
          <w:rStyle w:val="Emphasis"/>
        </w:rPr>
        <w:t>ՀՊ</w:t>
      </w:r>
      <w:r w:rsidR="000F2F9F" w:rsidRPr="00FB57CF">
        <w:rPr>
          <w:rStyle w:val="Emphasis"/>
        </w:rPr>
        <w:t>-ը</w:t>
      </w:r>
      <w:r w:rsidRPr="00FB57CF">
        <w:rPr>
          <w:rStyle w:val="Emphasis"/>
        </w:rPr>
        <w:t>, ինչպես բոլոր</w:t>
      </w:r>
      <w:r w:rsidR="00356079" w:rsidRPr="00FB57CF">
        <w:rPr>
          <w:rStyle w:val="Emphasis"/>
        </w:rPr>
        <w:t xml:space="preserve"> պետական մարմիններ</w:t>
      </w:r>
      <w:r w:rsidRPr="00FB57CF">
        <w:rPr>
          <w:rStyle w:val="Emphasis"/>
        </w:rPr>
        <w:t>ը պետք է մշտապես ձգտեն</w:t>
      </w:r>
      <w:r w:rsidR="00356079" w:rsidRPr="00FB57CF">
        <w:rPr>
          <w:rStyle w:val="Emphasis"/>
        </w:rPr>
        <w:t xml:space="preserve"> </w:t>
      </w:r>
      <w:r w:rsidRPr="00FB57CF">
        <w:rPr>
          <w:rStyle w:val="Emphasis"/>
        </w:rPr>
        <w:t xml:space="preserve">բարձրացնել իրենց </w:t>
      </w:r>
      <w:r w:rsidR="00356079" w:rsidRPr="00FB57CF">
        <w:rPr>
          <w:rStyle w:val="Emphasis"/>
        </w:rPr>
        <w:t xml:space="preserve">գործունեության </w:t>
      </w:r>
      <w:r w:rsidRPr="00FB57CF">
        <w:rPr>
          <w:rStyle w:val="Emphasis"/>
        </w:rPr>
        <w:t>արդյունավետությունը՝</w:t>
      </w:r>
      <w:r w:rsidR="00356079" w:rsidRPr="00FB57CF">
        <w:rPr>
          <w:rStyle w:val="Emphasis"/>
        </w:rPr>
        <w:t xml:space="preserve"> հավատարիմ մնալով </w:t>
      </w:r>
      <w:r w:rsidRPr="00FB57CF">
        <w:rPr>
          <w:rStyle w:val="Emphasis"/>
        </w:rPr>
        <w:t xml:space="preserve">հիմնարար սկզբունքներին, </w:t>
      </w:r>
      <w:r w:rsidR="000F2F9F" w:rsidRPr="00FB57CF">
        <w:rPr>
          <w:rStyle w:val="Emphasis"/>
        </w:rPr>
        <w:t xml:space="preserve">հատկապես, որ </w:t>
      </w:r>
      <w:r w:rsidRPr="00FB57CF">
        <w:rPr>
          <w:rStyle w:val="Emphasis"/>
        </w:rPr>
        <w:t>տվյալ դեպքում խոսքն անկախ պետական մարմնի</w:t>
      </w:r>
      <w:r w:rsidR="000F2F9F" w:rsidRPr="00FB57CF">
        <w:rPr>
          <w:rStyle w:val="Emphasis"/>
        </w:rPr>
        <w:t xml:space="preserve"> գործունեության</w:t>
      </w:r>
      <w:r w:rsidRPr="00FB57CF">
        <w:rPr>
          <w:rStyle w:val="Emphasis"/>
        </w:rPr>
        <w:t xml:space="preserve"> հրապարակայնության և թափանցիկության մասին է</w:t>
      </w:r>
      <w:r w:rsidR="005C190A" w:rsidRPr="00FB57CF">
        <w:rPr>
          <w:rStyle w:val="Emphasis"/>
        </w:rPr>
        <w:t>, որի միակ գործառույթի՝ հաշվեքննության (ստուգման) գծով բոլոր վերջնարդյունքները՝ հաշվեքննության հաշվետվությունները (ընթացիկ եզրակացություններ, պետբյուջեի կատարման վերաբերյալ եզրակացություն) եղել և մնալու են հրապարակային փաստաթղթեր (բացառությամբ օրենքով սահմանված գաղտնիք պարունակող փաստաթղթերի)</w:t>
      </w:r>
      <w:r w:rsidRPr="00FB57CF">
        <w:rPr>
          <w:rStyle w:val="Emphasis"/>
        </w:rPr>
        <w:t xml:space="preserve">։ </w:t>
      </w:r>
      <w:r w:rsidR="000F2F9F" w:rsidRPr="00FB57CF">
        <w:rPr>
          <w:rStyle w:val="Emphasis"/>
        </w:rPr>
        <w:t xml:space="preserve">Այդ առումով, բնականաբար, առաջարկը որևէ «նահանջ» չի պարունակում, այլ ընդամենը նպատակ է հետապնդում </w:t>
      </w:r>
      <w:r w:rsidR="00356079" w:rsidRPr="00FB57CF">
        <w:rPr>
          <w:rStyle w:val="Emphasis"/>
        </w:rPr>
        <w:t>վերանայել ՀՊ նիստերի օրակարգերի, քննարկված հարցերի և ընդունած որոշումների հրապարակայնության պահանջները (</w:t>
      </w:r>
      <w:r w:rsidR="00652FB2" w:rsidRPr="00FB57CF">
        <w:rPr>
          <w:rStyle w:val="Emphasis"/>
        </w:rPr>
        <w:t xml:space="preserve">ա. </w:t>
      </w:r>
      <w:r w:rsidR="00356079" w:rsidRPr="00FB57CF">
        <w:rPr>
          <w:rStyle w:val="Emphasis"/>
        </w:rPr>
        <w:t xml:space="preserve">նիստի օրակարգի ԱԺ և կառավարություն ուղարկելու պահանջը, </w:t>
      </w:r>
      <w:r w:rsidR="00652FB2" w:rsidRPr="00FB57CF">
        <w:rPr>
          <w:rStyle w:val="Emphasis"/>
        </w:rPr>
        <w:t xml:space="preserve">բ. </w:t>
      </w:r>
      <w:r w:rsidR="00356079" w:rsidRPr="00FB57CF">
        <w:rPr>
          <w:rStyle w:val="Emphasis"/>
        </w:rPr>
        <w:t>նիստում քննարկված հարցերի և ընդունված որոշումների վերաբերյալ տեղեկատվության տրամադրումը</w:t>
      </w:r>
      <w:r w:rsidR="0016209A" w:rsidRPr="00FB57CF">
        <w:rPr>
          <w:rStyle w:val="Emphasis"/>
        </w:rPr>
        <w:t xml:space="preserve">, </w:t>
      </w:r>
      <w:r w:rsidR="00652FB2" w:rsidRPr="00FB57CF">
        <w:rPr>
          <w:rStyle w:val="Emphasis"/>
        </w:rPr>
        <w:t>գ.</w:t>
      </w:r>
      <w:r w:rsidR="009F2F14" w:rsidRPr="00FB57CF">
        <w:rPr>
          <w:rStyle w:val="Emphasis"/>
        </w:rPr>
        <w:t xml:space="preserve"> հաշվեքննություն </w:t>
      </w:r>
      <w:r w:rsidR="009F2F14" w:rsidRPr="00FB57CF">
        <w:rPr>
          <w:rStyle w:val="Emphasis"/>
        </w:rPr>
        <w:lastRenderedPageBreak/>
        <w:t>իրականացնող կառուցվածքային ստորաբաժանումների</w:t>
      </w:r>
      <w:r w:rsidR="00F611F7" w:rsidRPr="00FB57CF">
        <w:rPr>
          <w:rStyle w:val="Emphasis"/>
        </w:rPr>
        <w:t>,</w:t>
      </w:r>
      <w:r w:rsidR="009F2F14" w:rsidRPr="00FB57CF">
        <w:rPr>
          <w:rStyle w:val="Emphasis"/>
        </w:rPr>
        <w:t xml:space="preserve"> ՀՊ անդամների միջև աշխատանքների պարբերական վերաբաշխումը, </w:t>
      </w:r>
      <w:r w:rsidR="00652FB2" w:rsidRPr="00FB57CF">
        <w:rPr>
          <w:rStyle w:val="Emphasis"/>
        </w:rPr>
        <w:t xml:space="preserve">դ. </w:t>
      </w:r>
      <w:r w:rsidR="009F2F14" w:rsidRPr="00FB57CF">
        <w:rPr>
          <w:rStyle w:val="Emphasis"/>
        </w:rPr>
        <w:t xml:space="preserve">Հաշվեքննիչ պալատի ներքին իրավական ակտերը </w:t>
      </w:r>
      <w:r w:rsidR="00A4007E" w:rsidRPr="00FB57CF">
        <w:rPr>
          <w:rStyle w:val="Emphasis"/>
        </w:rPr>
        <w:t xml:space="preserve">(ՀՊ օրենքի </w:t>
      </w:r>
      <w:r w:rsidR="00A4007E" w:rsidRPr="00FB57CF">
        <w:rPr>
          <w:rStyle w:val="IntenseEmphasis"/>
        </w:rPr>
        <w:t>1</w:t>
      </w:r>
      <w:r w:rsidR="00652FB2" w:rsidRPr="00FB57CF">
        <w:rPr>
          <w:rStyle w:val="IntenseEmphasis"/>
        </w:rPr>
        <w:t>6</w:t>
      </w:r>
      <w:r w:rsidR="00A4007E" w:rsidRPr="00FB57CF">
        <w:rPr>
          <w:rStyle w:val="IntenseEmphasis"/>
        </w:rPr>
        <w:t xml:space="preserve">-րդ </w:t>
      </w:r>
      <w:r w:rsidR="00652FB2" w:rsidRPr="00FB57CF">
        <w:rPr>
          <w:rStyle w:val="IntenseEmphasis"/>
        </w:rPr>
        <w:t>9</w:t>
      </w:r>
      <w:r w:rsidR="00A4007E" w:rsidRPr="00FB57CF">
        <w:rPr>
          <w:rStyle w:val="IntenseEmphasis"/>
        </w:rPr>
        <w:t>-</w:t>
      </w:r>
      <w:r w:rsidR="00652FB2" w:rsidRPr="00FB57CF">
        <w:rPr>
          <w:rStyle w:val="IntenseEmphasis"/>
        </w:rPr>
        <w:t>րդ</w:t>
      </w:r>
      <w:r w:rsidR="00A4007E" w:rsidRPr="00FB57CF">
        <w:rPr>
          <w:rStyle w:val="IntenseEmphasis"/>
        </w:rPr>
        <w:t xml:space="preserve"> մաս</w:t>
      </w:r>
      <w:r w:rsidR="00652FB2" w:rsidRPr="00FB57CF">
        <w:rPr>
          <w:rStyle w:val="IntenseEmphasis"/>
        </w:rPr>
        <w:t xml:space="preserve">ի 1-7-րդ և </w:t>
      </w:r>
      <w:r w:rsidR="005C190A" w:rsidRPr="00FB57CF">
        <w:rPr>
          <w:rStyle w:val="IntenseEmphasis"/>
        </w:rPr>
        <w:t>10-11-րդ կետերում</w:t>
      </w:r>
      <w:r w:rsidR="00A4007E" w:rsidRPr="00FB57CF">
        <w:rPr>
          <w:rStyle w:val="IntenseEmphasis"/>
        </w:rPr>
        <w:t xml:space="preserve"> ներկայացված ներքին իրավական ակտերից բացի</w:t>
      </w:r>
      <w:r w:rsidR="00A4007E" w:rsidRPr="00FB57CF">
        <w:rPr>
          <w:rStyle w:val="Emphasis"/>
        </w:rPr>
        <w:t xml:space="preserve">) </w:t>
      </w:r>
      <w:r w:rsidR="009F2F14" w:rsidRPr="00FB57CF">
        <w:rPr>
          <w:rStyle w:val="Emphasis"/>
        </w:rPr>
        <w:t>և դրանցում փոփոխությունները և լրացումները</w:t>
      </w:r>
      <w:r w:rsidR="005C190A" w:rsidRPr="00FB57CF">
        <w:rPr>
          <w:rStyle w:val="Emphasis"/>
        </w:rPr>
        <w:t xml:space="preserve">, ե. ՀՊ համապատասխան որոշումները </w:t>
      </w:r>
      <w:r w:rsidR="00F611F7" w:rsidRPr="00FB57CF">
        <w:rPr>
          <w:rStyle w:val="Emphasis"/>
        </w:rPr>
        <w:t xml:space="preserve">երեք աշխատանքային օրվա ընթացքում </w:t>
      </w:r>
      <w:r w:rsidR="005C190A" w:rsidRPr="00FB57CF">
        <w:rPr>
          <w:rStyle w:val="Emphasis"/>
        </w:rPr>
        <w:t>հրապարակելու պահանջը</w:t>
      </w:r>
      <w:r w:rsidR="00356079" w:rsidRPr="00FB57CF">
        <w:rPr>
          <w:rStyle w:val="Emphasis"/>
        </w:rPr>
        <w:t>)՝ սահմանելով սույն հարցերի կարգավորումը ՀՊ կանոնակարգի շրջանակներում։</w:t>
      </w:r>
      <w:r w:rsidR="00A04A68" w:rsidRPr="00FB57CF">
        <w:t xml:space="preserve"> </w:t>
      </w:r>
      <w:r w:rsidR="00A04A68" w:rsidRPr="00FB57CF">
        <w:rPr>
          <w:rStyle w:val="Emphasis"/>
        </w:rPr>
        <w:t>Առաջարկվող մոտեցումը թույլ կտա ՀՊ-ին՝ շահառուների թափանցիկության և հաշվետվողականության կարիքներին արձագանքել ավելի մեծ ճկունությամբ:</w:t>
      </w:r>
    </w:p>
    <w:p w14:paraId="5E687CA9" w14:textId="3FB7A4B3" w:rsidR="00356079" w:rsidRPr="009572C6" w:rsidRDefault="00356079" w:rsidP="000F2F9F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՝ ՀՊ օրենքի</w:t>
      </w:r>
      <w:r w:rsidRPr="00FB57CF">
        <w:rPr>
          <w:rStyle w:val="IntenseEmphasis"/>
          <w:vertAlign w:val="superscript"/>
        </w:rPr>
        <w:footnoteReference w:id="1"/>
      </w:r>
      <w:r w:rsidRPr="00FB57CF">
        <w:rPr>
          <w:rStyle w:val="IntenseEmphasis"/>
        </w:rPr>
        <w:t xml:space="preserve">  14-րդ հոդվածի 1-ին մաս, 16-րդ հոդվածի 2-րդ և 8</w:t>
      </w:r>
      <w:r w:rsidR="00C03C6C" w:rsidRPr="00FB57CF">
        <w:rPr>
          <w:rStyle w:val="IntenseEmphasis"/>
        </w:rPr>
        <w:noBreakHyphen/>
      </w:r>
      <w:r w:rsidRPr="00FB57CF">
        <w:rPr>
          <w:rStyle w:val="IntenseEmphasis"/>
        </w:rPr>
        <w:t>րդ մասեր)</w:t>
      </w:r>
    </w:p>
    <w:p w14:paraId="698339FB" w14:textId="77777777" w:rsidR="002B2FD4" w:rsidRPr="00FB57CF" w:rsidRDefault="00356079" w:rsidP="00E120ED">
      <w:pPr>
        <w:pStyle w:val="Heading4"/>
      </w:pPr>
      <w:r w:rsidRPr="00FB57CF">
        <w:t>Վերանայել ՀՊ անդամների, կառուցվածքային ստորաբաժանումների միջև աշխատանքի պարբերական վերաբաշխման պահանջը (ռոտացիա)` սահմանելով այն ՀՊ կանոնակարգի շրջանակում որպես ոչ իմպերատիվ կարգավորման առարկա։</w:t>
      </w:r>
    </w:p>
    <w:p w14:paraId="6A54432C" w14:textId="07BD252B" w:rsidR="00AA2287" w:rsidRPr="009572C6" w:rsidRDefault="002B2FD4" w:rsidP="002B2FD4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</w:t>
      </w:r>
      <w:r w:rsidR="00C03C6C" w:rsidRPr="00FB57CF">
        <w:rPr>
          <w:rStyle w:val="Emphasis"/>
        </w:rPr>
        <w:t xml:space="preserve"> ՀՊ օրենքով սահմանված է ինչպես ՀՊ անդամների, այնպես էլ՝ կառուցվածքային ստորաբաժանումների միջև աշխատանքի պարբերական վերաբաշխման</w:t>
      </w:r>
      <w:r w:rsidR="00AA2287" w:rsidRPr="00FB57CF">
        <w:rPr>
          <w:rStyle w:val="Emphasis"/>
        </w:rPr>
        <w:t xml:space="preserve"> (ռոտացիայի)</w:t>
      </w:r>
      <w:r w:rsidR="00C03C6C" w:rsidRPr="00FB57CF">
        <w:rPr>
          <w:rStyle w:val="Emphasis"/>
        </w:rPr>
        <w:t xml:space="preserve"> կարգը, ինչի արդյունքում ստացվում է, որ օրենքով սահմանափակված է հաշվեքննությունների տեսակների մեջ մասնագիտանալու</w:t>
      </w:r>
      <w:r w:rsidR="00291782" w:rsidRPr="00FB57CF">
        <w:rPr>
          <w:rStyle w:val="Emphasis"/>
        </w:rPr>
        <w:t xml:space="preserve"> ինստիտուցիոնալացման</w:t>
      </w:r>
      <w:r w:rsidR="00C03C6C" w:rsidRPr="00FB57CF">
        <w:rPr>
          <w:rStyle w:val="Emphasis"/>
        </w:rPr>
        <w:t xml:space="preserve"> հնարավորությունը</w:t>
      </w:r>
      <w:r w:rsidR="00291782" w:rsidRPr="00FB57CF">
        <w:rPr>
          <w:rStyle w:val="Emphasis"/>
        </w:rPr>
        <w:t>, ինչպես նա</w:t>
      </w:r>
      <w:r w:rsidR="00C03C6C" w:rsidRPr="00FB57CF">
        <w:rPr>
          <w:rStyle w:val="Emphasis"/>
        </w:rPr>
        <w:t xml:space="preserve">և նշյալ հարցերը ներքին կարգավորումներով սահմանելու գործառնական անկախությունը։ Մինչդեռ, վերջինիս առկայությունը, ի հաշիվ հաշվեքննության խմբի կազմի ընտրության ճկունության, ՀՊ-ին թույլ կտա համարժեքորեն արձագանքել հաշվեքննությունների ծրագրերի պահանջներին։ </w:t>
      </w:r>
      <w:r w:rsidR="00AA2287" w:rsidRPr="00FB57CF">
        <w:rPr>
          <w:rStyle w:val="Emphasis"/>
        </w:rPr>
        <w:t>Բացի այդ, առկա կարգավորումները սահմանափակում են նաև ՀՊ-ի կառուցվածքի օպտիմալացման հնարավորությունը</w:t>
      </w:r>
      <w:r w:rsidR="00AD0AD7" w:rsidRPr="00FB57CF">
        <w:rPr>
          <w:rStyle w:val="Emphasis"/>
        </w:rPr>
        <w:t xml:space="preserve">, մասնավորապես՝ այն հաշվեքննությունների տեսակների տրամաբանության վրա խարսխելու և ՀՊ-ում գործող 10 գործառութային ստորաբաժանումների (վարչությունների) փոխարեն հաստիքների նույն թվաքանակի պայմաններում, ըստ հաշվեքննությունների </w:t>
      </w:r>
      <w:r w:rsidR="00AD0AD7" w:rsidRPr="00FB57CF">
        <w:rPr>
          <w:rStyle w:val="Emphasis"/>
        </w:rPr>
        <w:lastRenderedPageBreak/>
        <w:t xml:space="preserve">տեսակների բաշխված գործառույթներով՝ 3-4 ստորաբաժանումների միջոցով ՀՊ-ի գործունեությունը կազմակերպելու առումով։ </w:t>
      </w:r>
    </w:p>
    <w:p w14:paraId="3DA1EBE4" w14:textId="77777777" w:rsidR="002B2FD4" w:rsidRPr="00FB57CF" w:rsidRDefault="00C03C6C" w:rsidP="002B2FD4">
      <w:pPr>
        <w:pStyle w:val="Subtitle"/>
        <w:rPr>
          <w:rStyle w:val="Emphasis"/>
        </w:rPr>
      </w:pPr>
      <w:r w:rsidRPr="00FB57CF">
        <w:rPr>
          <w:rStyle w:val="Emphasis"/>
        </w:rPr>
        <w:t xml:space="preserve">Միևնույն ժամանակ, ռիսկերի տեղի ունենալու հավանականությունը, որոնց </w:t>
      </w:r>
      <w:r w:rsidR="00AD0AD7" w:rsidRPr="00FB57CF">
        <w:rPr>
          <w:rStyle w:val="Emphasis"/>
        </w:rPr>
        <w:t xml:space="preserve">ենթադրյալ </w:t>
      </w:r>
      <w:r w:rsidRPr="00FB57CF">
        <w:rPr>
          <w:rStyle w:val="Emphasis"/>
        </w:rPr>
        <w:t>կառավարման նպատակ են հետապնդում հիշատակված կարգավորումները՝ հաշվեքննության ոլորտում բարեվարքության և էթիկայի սկզբունքների սահմանմամբ ու կիրառությամբ էապես նվազում է։</w:t>
      </w:r>
    </w:p>
    <w:p w14:paraId="07E35BCE" w14:textId="77777777" w:rsidR="00356079" w:rsidRPr="009572C6" w:rsidRDefault="00356079" w:rsidP="00AD0AD7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(հղում` ՀՊ օրենքի 24-րդ հոդվածի 1-ին մաս)</w:t>
      </w:r>
    </w:p>
    <w:p w14:paraId="3845965F" w14:textId="77777777" w:rsidR="00356079" w:rsidRPr="00FB57CF" w:rsidRDefault="00356079" w:rsidP="00E120ED">
      <w:pPr>
        <w:pStyle w:val="Heading4"/>
      </w:pPr>
      <w:r w:rsidRPr="00FB57CF">
        <w:t>Վերանայել ՀՊ բյուջետային հայտի վրա կառավարության ներգործության կարգավորումները, սահմանելով, որ կառավարությունը ՀՊ` բյուջետային օրենսդրությանը համապատաս</w:t>
      </w:r>
      <w:r w:rsidR="008B08DA" w:rsidRPr="00FB57CF">
        <w:softHyphen/>
      </w:r>
      <w:r w:rsidRPr="00FB57CF">
        <w:t>խան կազմված և ներկայացված բյուջետային հայտը պետական բյուջեի նախագծի հետ միասին անփոփոխ ներկայացնում է Ազգային ժողով:</w:t>
      </w:r>
      <w:r w:rsidRPr="00FB57CF">
        <w:rPr>
          <w:rStyle w:val="CommentReference"/>
          <w:color w:val="0070C0"/>
        </w:rPr>
        <w:t xml:space="preserve"> </w:t>
      </w:r>
      <w:r w:rsidRPr="00FB57CF">
        <w:t>Բացի այդ, սահմանել, որ ֆինանսական միջոցների անհրաժեշտության դեպքում՝ ՀՊ-ը պետք է խորհրդարանին անմիջականորեն դիմելու իրավունք ունենա:</w:t>
      </w:r>
    </w:p>
    <w:p w14:paraId="60A69E9D" w14:textId="40F4FD58" w:rsidR="003A747C" w:rsidRPr="009572C6" w:rsidRDefault="006115EB" w:rsidP="000D4485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SubtleEmphasis"/>
          <w:iCs/>
        </w:rPr>
        <w:t xml:space="preserve">։ </w:t>
      </w:r>
      <w:r w:rsidR="005342B5" w:rsidRPr="00FB57CF">
        <w:rPr>
          <w:rStyle w:val="Emphasis"/>
        </w:rPr>
        <w:t>ՀՊ</w:t>
      </w:r>
      <w:r w:rsidR="008B08DA" w:rsidRPr="00FB57CF">
        <w:rPr>
          <w:rStyle w:val="Emphasis"/>
        </w:rPr>
        <w:t>-ի մասին</w:t>
      </w:r>
      <w:r w:rsidR="005342B5" w:rsidRPr="00FB57CF">
        <w:rPr>
          <w:rStyle w:val="Emphasis"/>
        </w:rPr>
        <w:t xml:space="preserve"> օրենքում ՀՊ</w:t>
      </w:r>
      <w:r w:rsidR="008B08DA" w:rsidRPr="00FB57CF">
        <w:rPr>
          <w:rStyle w:val="Emphasis"/>
        </w:rPr>
        <w:t>-ի</w:t>
      </w:r>
      <w:r w:rsidR="005342B5" w:rsidRPr="00FB57CF">
        <w:rPr>
          <w:rStyle w:val="Emphasis"/>
        </w:rPr>
        <w:t xml:space="preserve"> բյուջե</w:t>
      </w:r>
      <w:r w:rsidR="008B08DA" w:rsidRPr="00FB57CF">
        <w:rPr>
          <w:rStyle w:val="Emphasis"/>
        </w:rPr>
        <w:t>ի</w:t>
      </w:r>
      <w:r w:rsidR="005342B5" w:rsidRPr="00FB57CF">
        <w:rPr>
          <w:rStyle w:val="Emphasis"/>
        </w:rPr>
        <w:t xml:space="preserve"> </w:t>
      </w:r>
      <w:r w:rsidR="008B08DA" w:rsidRPr="00FB57CF">
        <w:rPr>
          <w:rStyle w:val="Emphasis"/>
        </w:rPr>
        <w:t>հետ կապված կարգավորումը նախատեսում է կառավարության կողմից բյուջեի նախագծի հետ միասին նաև ՀՊ-ի բյուջետային հայտի ներկայացում ԱԺ, սակայն ՀՊ բյուջետային հայտի վրա</w:t>
      </w:r>
      <w:r w:rsidR="005342B5" w:rsidRPr="00FB57CF">
        <w:rPr>
          <w:rStyle w:val="Emphasis"/>
        </w:rPr>
        <w:t xml:space="preserve"> կառավարության ներգործության </w:t>
      </w:r>
      <w:r w:rsidR="008B08DA" w:rsidRPr="00FB57CF">
        <w:rPr>
          <w:rStyle w:val="Emphasis"/>
        </w:rPr>
        <w:t>ռիսկը</w:t>
      </w:r>
      <w:r w:rsidR="005342B5" w:rsidRPr="00FB57CF">
        <w:rPr>
          <w:rStyle w:val="Emphasis"/>
        </w:rPr>
        <w:t xml:space="preserve"> բազմիցս վկայակոչվել է հեղինակավոր միջազգային կազմակերպությունների զեկույցներում</w:t>
      </w:r>
      <w:r w:rsidR="008B08DA" w:rsidRPr="00FB57CF">
        <w:rPr>
          <w:rStyle w:val="Emphasis"/>
        </w:rPr>
        <w:t>՝</w:t>
      </w:r>
      <w:r w:rsidR="005342B5" w:rsidRPr="00FB57CF">
        <w:rPr>
          <w:rStyle w:val="Emphasis"/>
        </w:rPr>
        <w:t xml:space="preserve"> </w:t>
      </w:r>
      <w:r w:rsidR="008B08DA" w:rsidRPr="00FB57CF">
        <w:rPr>
          <w:rStyle w:val="Emphasis"/>
        </w:rPr>
        <w:t>ո</w:t>
      </w:r>
      <w:r w:rsidR="005342B5" w:rsidRPr="00FB57CF">
        <w:rPr>
          <w:rStyle w:val="Emphasis"/>
        </w:rPr>
        <w:t>րպես չափանիշ նշ</w:t>
      </w:r>
      <w:r w:rsidR="008B08DA" w:rsidRPr="00FB57CF">
        <w:rPr>
          <w:rStyle w:val="Emphasis"/>
        </w:rPr>
        <w:t>ելով</w:t>
      </w:r>
      <w:r w:rsidR="005342B5" w:rsidRPr="00FB57CF">
        <w:rPr>
          <w:rStyle w:val="Emphasis"/>
        </w:rPr>
        <w:t xml:space="preserve"> INTOSAI-ի որդեգրած անկախության հիմնարար սկզբունքները։</w:t>
      </w:r>
      <w:r w:rsidR="008B08DA" w:rsidRPr="00FB57CF">
        <w:rPr>
          <w:rStyle w:val="Emphasis"/>
        </w:rPr>
        <w:t xml:space="preserve"> Գործող կարգավորման ռիսկ է </w:t>
      </w:r>
      <w:r w:rsidR="003A747C" w:rsidRPr="00FB57CF">
        <w:rPr>
          <w:rStyle w:val="Emphasis"/>
        </w:rPr>
        <w:t>գնահատվում</w:t>
      </w:r>
      <w:r w:rsidR="008B08DA" w:rsidRPr="00FB57CF">
        <w:rPr>
          <w:rStyle w:val="Emphasis"/>
        </w:rPr>
        <w:t xml:space="preserve"> </w:t>
      </w:r>
      <w:r w:rsidR="003A747C" w:rsidRPr="00FB57CF">
        <w:rPr>
          <w:rStyle w:val="Emphasis"/>
        </w:rPr>
        <w:t xml:space="preserve">ՀՊ բյուջետային հայտը չբավարարելու միջոցով՝ ՀՊ-ի գործունեության վրա </w:t>
      </w:r>
      <w:r w:rsidR="008B08DA" w:rsidRPr="00FB57CF">
        <w:rPr>
          <w:rStyle w:val="Emphasis"/>
        </w:rPr>
        <w:t xml:space="preserve">կառավարության </w:t>
      </w:r>
      <w:r w:rsidR="003A747C" w:rsidRPr="00FB57CF">
        <w:rPr>
          <w:rStyle w:val="Emphasis"/>
        </w:rPr>
        <w:t xml:space="preserve">ազդեցության </w:t>
      </w:r>
      <w:r w:rsidR="008B08DA" w:rsidRPr="00FB57CF">
        <w:rPr>
          <w:rStyle w:val="Emphasis"/>
        </w:rPr>
        <w:t>հնարավորությունը</w:t>
      </w:r>
      <w:r w:rsidR="003A747C" w:rsidRPr="00FB57CF">
        <w:rPr>
          <w:rStyle w:val="Emphasis"/>
        </w:rPr>
        <w:t xml:space="preserve">, որը տրամագծորեն հակադրության մեջ է արտաքին պետական հաշվեքննության հիմնարար սկզբունքների հետ։ </w:t>
      </w:r>
    </w:p>
    <w:p w14:paraId="731FE0A6" w14:textId="77777777" w:rsidR="006115EB" w:rsidRPr="00FB57CF" w:rsidRDefault="003A747C" w:rsidP="000D4485">
      <w:pPr>
        <w:pStyle w:val="Subtitle"/>
        <w:rPr>
          <w:rStyle w:val="Emphasis"/>
        </w:rPr>
      </w:pPr>
      <w:r w:rsidRPr="00FB57CF">
        <w:rPr>
          <w:rStyle w:val="Emphasis"/>
        </w:rPr>
        <w:t>Այդ առումով, ա</w:t>
      </w:r>
      <w:r w:rsidR="005342B5" w:rsidRPr="00FB57CF">
        <w:rPr>
          <w:rStyle w:val="Emphasis"/>
        </w:rPr>
        <w:t xml:space="preserve">ռաջարկվող </w:t>
      </w:r>
      <w:r w:rsidRPr="00FB57CF">
        <w:rPr>
          <w:rStyle w:val="Emphasis"/>
        </w:rPr>
        <w:t>լուծումը հավասարակշռված է և ընդամենը հստակեցնում է արտաքին պետական հաշվեքննության ոլորտում Սահմանադրությամբ և օրենքներով ընդունված տրամաբանությունը՝ ոլորտի քաղաքականությունը որոշվում է ԱԺ</w:t>
      </w:r>
      <w:r w:rsidRPr="00FB57CF">
        <w:rPr>
          <w:rStyle w:val="Emphasis"/>
        </w:rPr>
        <w:noBreakHyphen/>
        <w:t>ում և դառնում է պարտադիր կատարման ենթակա ինչպես ՀՊ-ի, այնպես էլ՝ կառավարության համար։ Այսպիսի լուծումը, ենթադրվում է, որ</w:t>
      </w:r>
      <w:r w:rsidR="005342B5" w:rsidRPr="00FB57CF">
        <w:rPr>
          <w:rStyle w:val="Emphasis"/>
        </w:rPr>
        <w:t xml:space="preserve"> էականորեն կբարձրացնի ՀՊ ֆինանսական </w:t>
      </w:r>
      <w:r w:rsidR="005342B5" w:rsidRPr="00FB57CF">
        <w:rPr>
          <w:rStyle w:val="Emphasis"/>
        </w:rPr>
        <w:lastRenderedPageBreak/>
        <w:t>անկախության ընկալումը՝ նվազեցնելով կառավարության ազդեցությունը բյուջետային հայտի բովանդակային մասի վրա, ինչպես նաև օժտելով ՀՊ-ին անհրաժեշտ միջոցների սղության դեպքում խորհրդարան դիմելու իրավունքով՝ պահպանելով օրենսդրական կարգավորումների տրամաբա</w:t>
      </w:r>
      <w:r w:rsidRPr="00FB57CF">
        <w:rPr>
          <w:rStyle w:val="Emphasis"/>
        </w:rPr>
        <w:softHyphen/>
      </w:r>
      <w:r w:rsidR="005342B5" w:rsidRPr="00FB57CF">
        <w:rPr>
          <w:rStyle w:val="Emphasis"/>
        </w:rPr>
        <w:t>նությունը։</w:t>
      </w:r>
      <w:r w:rsidRPr="00FB57CF">
        <w:rPr>
          <w:rStyle w:val="Emphasis"/>
        </w:rPr>
        <w:t xml:space="preserve"> </w:t>
      </w:r>
    </w:p>
    <w:p w14:paraId="28FA248F" w14:textId="77777777" w:rsidR="00356079" w:rsidRPr="009572C6" w:rsidRDefault="00356079" w:rsidP="00C03E6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20-րդ հոդվածի 1-ից 3-րդ մասեր,  «Հայաստանի Հանրապետության բյուջետային համակարգի մասին» ՀՀ օրենք)</w:t>
      </w:r>
    </w:p>
    <w:p w14:paraId="1F595D4A" w14:textId="77777777" w:rsidR="00356079" w:rsidRPr="009572C6" w:rsidRDefault="00356079" w:rsidP="007859DB">
      <w:pPr>
        <w:pStyle w:val="mechtex"/>
        <w:rPr>
          <w:rFonts w:ascii="GHEA Grapalat" w:hAnsi="GHEA Grapalat"/>
        </w:rPr>
      </w:pPr>
    </w:p>
    <w:p w14:paraId="425CA378" w14:textId="77777777" w:rsidR="008D16F9" w:rsidRPr="00FB57CF" w:rsidRDefault="00356079" w:rsidP="00634E9B">
      <w:pPr>
        <w:pStyle w:val="Heading3"/>
      </w:pPr>
      <w:bookmarkStart w:id="14" w:name="_Toc109309600"/>
      <w:r w:rsidRPr="00FB57CF">
        <w:t>Հաշվեքննության մանդատ</w:t>
      </w:r>
      <w:bookmarkEnd w:id="14"/>
    </w:p>
    <w:p w14:paraId="76F80649" w14:textId="77777777" w:rsidR="00356079" w:rsidRPr="00FB57CF" w:rsidRDefault="008D16F9" w:rsidP="008D16F9">
      <w:r w:rsidRPr="00FB57CF">
        <w:t xml:space="preserve">ՀՊ օրենքով սահմանված է հաշվեքննության լիազորությունների շրջանակ, որն առանձին դեպքերում ուղղակիորեն չի բացահայտում կապը Սահմանադրությամբ նախատեսված՝ ՀՊ պարտավորության հետ, ինչպես նաև առկա են միջազգային ստանդարտների համապատասխանության տեսակետից առանձին խնդիրներ, </w:t>
      </w:r>
      <w:r w:rsidR="00356079" w:rsidRPr="00FB57CF">
        <w:t>որ</w:t>
      </w:r>
      <w:r w:rsidR="00071ECE" w:rsidRPr="00FB57CF">
        <w:t>ոնց</w:t>
      </w:r>
      <w:r w:rsidR="00356079" w:rsidRPr="00FB57CF">
        <w:t xml:space="preserve">  լուծման ուղղությամբ, առաջարկվում է.</w:t>
      </w:r>
    </w:p>
    <w:p w14:paraId="24161A9A" w14:textId="6EEA7AC3" w:rsidR="00356079" w:rsidRPr="00FB57CF" w:rsidRDefault="00C03E66" w:rsidP="00E120ED">
      <w:pPr>
        <w:pStyle w:val="Heading4"/>
      </w:pPr>
      <w:r w:rsidRPr="00FB57CF">
        <w:t>Վերանայել ՀՊ օրենքի այն դրույթները, որոնցով սահմանվում են հաշվեքննության շրջանակներն այնպես, որ դրանք համապատասխա</w:t>
      </w:r>
      <w:r w:rsidR="00EF6AA8" w:rsidRPr="00FB57CF">
        <w:softHyphen/>
      </w:r>
      <w:r w:rsidRPr="00FB57CF">
        <w:t xml:space="preserve">նեն Սահմանադրությամբ և օրենքով ձևակերպված արտաքին պետական հաշվեքննության նպատակներին, մասնավորապես՝ հստակեցնելով </w:t>
      </w:r>
      <w:r w:rsidR="00356079" w:rsidRPr="00FB57CF">
        <w:t>բյուջետային մուտքերի հաշվեքննության լիազորություններ</w:t>
      </w:r>
      <w:r w:rsidRPr="00FB57CF">
        <w:t>ի բաղադրիչը</w:t>
      </w:r>
      <w:r w:rsidR="00356079" w:rsidRPr="00FB57CF">
        <w:t>։</w:t>
      </w:r>
    </w:p>
    <w:p w14:paraId="7F0757FD" w14:textId="3C18D312" w:rsidR="00634E9B" w:rsidRPr="009572C6" w:rsidRDefault="00C03E66" w:rsidP="00C03E66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 xml:space="preserve">։ </w:t>
      </w:r>
      <w:r w:rsidR="00AE0022" w:rsidRPr="00FB57CF">
        <w:rPr>
          <w:rStyle w:val="Emphasis"/>
        </w:rPr>
        <w:t xml:space="preserve">Ինչպես արտաքին պետական հաշվեքննության համար համընդհանուր ընդունված հիմնարար </w:t>
      </w:r>
      <w:r w:rsidR="00634E9B" w:rsidRPr="00FB57CF">
        <w:rPr>
          <w:rStyle w:val="Emphasis"/>
        </w:rPr>
        <w:t xml:space="preserve">սկզբունքներն առաջարկում են, ՀՀ </w:t>
      </w:r>
      <w:r w:rsidRPr="00FB57CF">
        <w:rPr>
          <w:rStyle w:val="Emphasis"/>
        </w:rPr>
        <w:t>Սահմանադրությունը և օրենքը լիազորել են ՀՊ</w:t>
      </w:r>
      <w:r w:rsidR="00EF6AA8" w:rsidRPr="00FB57CF">
        <w:rPr>
          <w:rStyle w:val="Emphasis"/>
        </w:rPr>
        <w:noBreakHyphen/>
      </w:r>
      <w:r w:rsidRPr="00FB57CF">
        <w:rPr>
          <w:rStyle w:val="Emphasis"/>
        </w:rPr>
        <w:t>ին իրականացնել հանրային ֆինանսների և սեփականության ոլորտում հաշվեքննությ</w:t>
      </w:r>
      <w:r w:rsidR="00634E9B" w:rsidRPr="00FB57CF">
        <w:rPr>
          <w:rStyle w:val="Emphasis"/>
        </w:rPr>
        <w:t>ու</w:t>
      </w:r>
      <w:r w:rsidRPr="00FB57CF">
        <w:rPr>
          <w:rStyle w:val="Emphasis"/>
        </w:rPr>
        <w:t>ն</w:t>
      </w:r>
      <w:r w:rsidR="00634E9B" w:rsidRPr="00FB57CF">
        <w:rPr>
          <w:rStyle w:val="Emphasis"/>
        </w:rPr>
        <w:t>՝</w:t>
      </w:r>
      <w:r w:rsidRPr="00FB57CF">
        <w:rPr>
          <w:rStyle w:val="Emphasis"/>
        </w:rPr>
        <w:t xml:space="preserve"> պետական բյուջեի և համայնքային բյուջեների միջոցների, ստացված փոխառությունների ու վարկերի, պետական և համայնքային սեփականության օգտագործման օրինականության և արդյունավետության նկատմամբ։ Բյուջեների միջոցները, բացառապես ծախսերի հետ նույնացման արդյունքում տարընթերցումից խուսափելու նկատառումով, անհրաժեշտ է օրենքով հստակեցնել բյուջետային մուտքերի և ելքերի հաշվեքննության լիազորության սահմանումը։ </w:t>
      </w:r>
    </w:p>
    <w:p w14:paraId="57C78124" w14:textId="77777777" w:rsidR="00356079" w:rsidRPr="009572C6" w:rsidRDefault="00356079" w:rsidP="00C03E6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1-ին հոդվածի 1-ին մաս, 3-րդ հոդված, 5-րդ հոդվածի 1</w:t>
      </w:r>
      <w:r w:rsidR="00C03E66" w:rsidRPr="00FB57CF">
        <w:rPr>
          <w:rStyle w:val="IntenseEmphasis"/>
        </w:rPr>
        <w:noBreakHyphen/>
      </w:r>
      <w:r w:rsidRPr="00FB57CF">
        <w:rPr>
          <w:rStyle w:val="IntenseEmphasis"/>
        </w:rPr>
        <w:t>ին մաս)</w:t>
      </w:r>
    </w:p>
    <w:p w14:paraId="1BB22237" w14:textId="77777777" w:rsidR="00481023" w:rsidRPr="00FB57CF" w:rsidRDefault="00634E9B" w:rsidP="00E120ED">
      <w:pPr>
        <w:pStyle w:val="Heading4"/>
      </w:pPr>
      <w:r w:rsidRPr="00FB57CF">
        <w:lastRenderedPageBreak/>
        <w:t>Վ</w:t>
      </w:r>
      <w:r w:rsidR="00356079" w:rsidRPr="00FB57CF">
        <w:t>երանայել իրավաբանական անձանց մոտ ստուգումներ իրականացնելու</w:t>
      </w:r>
      <w:r w:rsidRPr="00FB57CF">
        <w:t xml:space="preserve"> </w:t>
      </w:r>
      <w:r w:rsidR="00356079" w:rsidRPr="00FB57CF">
        <w:t xml:space="preserve"> </w:t>
      </w:r>
      <w:r w:rsidRPr="00FB57CF">
        <w:t>կարգավորումները՝ նախատեսելով հաշվեքննության իրականացման հնարավորություն բոլոր այն իրավաբանական անձանց նկատմամբ, որոնք էապես կախված են բյուջեներից</w:t>
      </w:r>
      <w:r w:rsidR="00FE0634" w:rsidRPr="00FB57CF">
        <w:t>, ինչպես նաև հաշվեքննության իրականացման վայրի սահմանափակումները</w:t>
      </w:r>
      <w:r w:rsidR="001C7F61" w:rsidRPr="00FB57CF">
        <w:t>։</w:t>
      </w:r>
      <w:r w:rsidR="00356079" w:rsidRPr="00FB57CF">
        <w:t xml:space="preserve"> </w:t>
      </w:r>
    </w:p>
    <w:p w14:paraId="1BD74D2F" w14:textId="62CDB1CC" w:rsidR="001C7F61" w:rsidRPr="009572C6" w:rsidRDefault="00634E9B" w:rsidP="00481023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 Գործող կարգավորումներում այդ հնարավո</w:t>
      </w:r>
      <w:r w:rsidR="00EF6AA8" w:rsidRPr="00FB57CF">
        <w:rPr>
          <w:rStyle w:val="Emphasis"/>
        </w:rPr>
        <w:softHyphen/>
      </w:r>
      <w:r w:rsidRPr="00FB57CF">
        <w:rPr>
          <w:rStyle w:val="Emphasis"/>
        </w:rPr>
        <w:t xml:space="preserve">րությունը նախատեսված է անուղղակիորեն և ըստ էության, </w:t>
      </w:r>
      <w:r w:rsidR="001C7F61" w:rsidRPr="00FB57CF">
        <w:rPr>
          <w:rStyle w:val="Emphasis"/>
        </w:rPr>
        <w:t xml:space="preserve">իրավաբանական անձը կարող է հաշվեքննվել/ստուգվել, եթե պետական բյուջեի (ծրագրի կատարման պատասխանատու պետական մարմնի) և իր միջև կնքված պայմանագրում այդպիսի դրույթ է ներառված։ Արդյունքում ստացվում է, որ օրենքով նախատեսված է, թե իրավաբանական անձանց նկատմամբ հաշվեքննություն/ստուգում որ դեպքերում կարող է իրականացվել, բայց այն սահմանափակած է պայմանագրում նման հնարավորություն նախատեսող դրույթի առկայությամբ կամ որ նույնն է, թե գործադիր մարմնի </w:t>
      </w:r>
      <w:r w:rsidR="00F15EC4" w:rsidRPr="00FB57CF">
        <w:rPr>
          <w:rStyle w:val="Emphasis"/>
        </w:rPr>
        <w:t xml:space="preserve">հայեցողականությունից </w:t>
      </w:r>
      <w:r w:rsidR="001C7F61" w:rsidRPr="00FB57CF">
        <w:rPr>
          <w:rStyle w:val="Emphasis"/>
        </w:rPr>
        <w:t>կախվածությամբ, ինչը հանգեցրել է գործնականում այդպիսի պայմանագրերի բացակայությամբ պայմանա</w:t>
      </w:r>
      <w:r w:rsidR="00EF6AA8" w:rsidRPr="00FB57CF">
        <w:rPr>
          <w:rStyle w:val="Emphasis"/>
        </w:rPr>
        <w:softHyphen/>
      </w:r>
      <w:r w:rsidR="001C7F61" w:rsidRPr="00FB57CF">
        <w:rPr>
          <w:rStyle w:val="Emphasis"/>
        </w:rPr>
        <w:t xml:space="preserve">վորված՝ հանրային զգալի միջոցների նկատմամբ հաշվեքննության/ստուգման անհնարինության։ </w:t>
      </w:r>
    </w:p>
    <w:p w14:paraId="2DB8B634" w14:textId="77777777" w:rsidR="00356079" w:rsidRPr="009572C6" w:rsidRDefault="00356079" w:rsidP="00634E9B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5-րդ հոդվածի 2-րդ և 3-րդ մասեր)</w:t>
      </w:r>
    </w:p>
    <w:p w14:paraId="2232B039" w14:textId="77BAD7A8" w:rsidR="00010B4E" w:rsidRPr="00FB57CF" w:rsidRDefault="00DE2BBB" w:rsidP="00E120ED">
      <w:pPr>
        <w:pStyle w:val="Heading4"/>
      </w:pPr>
      <w:r w:rsidRPr="00FB57CF">
        <w:t>Ընդլայնել հաշվեքննության շրջանակ</w:t>
      </w:r>
      <w:r w:rsidR="00010B4E" w:rsidRPr="00FB57CF">
        <w:t>ն այնպես</w:t>
      </w:r>
      <w:r w:rsidRPr="00FB57CF">
        <w:t xml:space="preserve">, որ այն ընդգրկի նաև այն </w:t>
      </w:r>
      <w:r w:rsidR="00356079" w:rsidRPr="00FB57CF">
        <w:t>իրավաբանական անձ</w:t>
      </w:r>
      <w:r w:rsidRPr="00FB57CF">
        <w:t xml:space="preserve">անց, որոնք </w:t>
      </w:r>
      <w:r w:rsidR="00356079" w:rsidRPr="00FB57CF">
        <w:t xml:space="preserve">իրավական ակտով </w:t>
      </w:r>
      <w:r w:rsidR="00923CDA" w:rsidRPr="00FB57CF">
        <w:t xml:space="preserve">կամ </w:t>
      </w:r>
      <w:r w:rsidR="00356079" w:rsidRPr="00FB57CF">
        <w:t xml:space="preserve">հավատարմագրային կառավարման </w:t>
      </w:r>
      <w:r w:rsidR="00923CDA" w:rsidRPr="00FB57CF">
        <w:t xml:space="preserve">կամ կոնցեսիոն </w:t>
      </w:r>
      <w:r w:rsidR="00356079" w:rsidRPr="00FB57CF">
        <w:t xml:space="preserve">պայմանագրով հանդիսանում </w:t>
      </w:r>
      <w:r w:rsidR="00010B4E" w:rsidRPr="00FB57CF">
        <w:t>են</w:t>
      </w:r>
      <w:r w:rsidR="00356079" w:rsidRPr="00FB57CF">
        <w:t xml:space="preserve"> պետական և(կամ) համայնքային սեփականության (գույքի) հավատարմագրային կառավարիչ</w:t>
      </w:r>
      <w:r w:rsidR="00010B4E" w:rsidRPr="00FB57CF">
        <w:t>ներ</w:t>
      </w:r>
      <w:r w:rsidR="00923CDA" w:rsidRPr="00FB57CF">
        <w:t xml:space="preserve"> կամ կոնցեսիոներներ</w:t>
      </w:r>
      <w:r w:rsidRPr="00FB57CF">
        <w:t>՝</w:t>
      </w:r>
      <w:r w:rsidR="00356079" w:rsidRPr="00FB57CF">
        <w:t xml:space="preserve"> միայն հավատարմագրային կառավարման</w:t>
      </w:r>
      <w:r w:rsidR="00923CDA" w:rsidRPr="00FB57CF">
        <w:t xml:space="preserve"> կամ կոնցեսիայի</w:t>
      </w:r>
      <w:r w:rsidR="00356079" w:rsidRPr="00FB57CF">
        <w:t xml:space="preserve"> հետ կապված իրավական ակտ</w:t>
      </w:r>
      <w:r w:rsidR="00010B4E" w:rsidRPr="00FB57CF">
        <w:t>եր</w:t>
      </w:r>
      <w:r w:rsidR="00356079" w:rsidRPr="00FB57CF">
        <w:t xml:space="preserve">ի և </w:t>
      </w:r>
      <w:r w:rsidR="00010B4E" w:rsidRPr="00FB57CF">
        <w:t>պայմանագրերի</w:t>
      </w:r>
      <w:r w:rsidR="00356079" w:rsidRPr="00FB57CF">
        <w:t xml:space="preserve"> պահանջների կատարում</w:t>
      </w:r>
      <w:r w:rsidRPr="00FB57CF">
        <w:t>ը</w:t>
      </w:r>
      <w:r w:rsidR="00356079" w:rsidRPr="00FB57CF">
        <w:t xml:space="preserve"> </w:t>
      </w:r>
      <w:r w:rsidR="00EF6AA8" w:rsidRPr="00FB57CF">
        <w:t>հաշվեքննելու/</w:t>
      </w:r>
      <w:r w:rsidR="00356079" w:rsidRPr="00FB57CF">
        <w:t>ստուգելու համար</w:t>
      </w:r>
      <w:r w:rsidRPr="00FB57CF">
        <w:t>։</w:t>
      </w:r>
    </w:p>
    <w:p w14:paraId="0D9F518D" w14:textId="77777777" w:rsidR="00010B4E" w:rsidRPr="009572C6" w:rsidRDefault="00010B4E" w:rsidP="00010B4E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 xml:space="preserve">։ Հանրային սեփականության և ֆինանսների կառավարման համատեքստում </w:t>
      </w:r>
      <w:r w:rsidR="00290258" w:rsidRPr="00FB57CF">
        <w:rPr>
          <w:rStyle w:val="Emphasis"/>
        </w:rPr>
        <w:t>նշյալ</w:t>
      </w:r>
      <w:r w:rsidRPr="00FB57CF">
        <w:rPr>
          <w:rStyle w:val="Emphasis"/>
        </w:rPr>
        <w:t xml:space="preserve"> պայմանագրերի հնարավոր </w:t>
      </w:r>
      <w:r w:rsidR="00290258" w:rsidRPr="00FB57CF">
        <w:rPr>
          <w:rStyle w:val="Emphasis"/>
        </w:rPr>
        <w:t>էական</w:t>
      </w:r>
      <w:r w:rsidRPr="00FB57CF">
        <w:rPr>
          <w:rStyle w:val="Emphasis"/>
        </w:rPr>
        <w:t xml:space="preserve"> դերակատարության պարագայում, այսպիսի կարգավորման առկայությունը նախադրյալներ կստեղծի արտաքին պետական հաշվեքննության առջև Սահմանադրությամբ և օրենքով ձևակերպված նպատակներին հասնելու համար։ </w:t>
      </w:r>
    </w:p>
    <w:p w14:paraId="340855B5" w14:textId="77777777" w:rsidR="00356079" w:rsidRPr="009572C6" w:rsidRDefault="00356079" w:rsidP="00010B4E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lastRenderedPageBreak/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5-րդ հոդվածի 2-րդ մասում ենթակետ ավելացնել)</w:t>
      </w:r>
    </w:p>
    <w:p w14:paraId="3ECCBF2B" w14:textId="77777777" w:rsidR="00356079" w:rsidRPr="00FB57CF" w:rsidRDefault="00290258" w:rsidP="00E120ED">
      <w:pPr>
        <w:pStyle w:val="Heading4"/>
      </w:pPr>
      <w:r w:rsidRPr="00FB57CF">
        <w:t>Ընդլայնել հաշվեքննության շրջանակը՝ նախատեսելով ՀՊ հաշվեքննության/</w:t>
      </w:r>
      <w:r w:rsidR="00356079" w:rsidRPr="00FB57CF">
        <w:t>ստուգման լիազորություն</w:t>
      </w:r>
      <w:r w:rsidRPr="00FB57CF">
        <w:t xml:space="preserve"> նաև</w:t>
      </w:r>
      <w:r w:rsidR="00356079" w:rsidRPr="00FB57CF">
        <w:t xml:space="preserve"> ընդերքօգտագործող իրավաբանական անձանց մոտ ընդերքօգտագործման ոլորտում պետական լիազոր մարմնում </w:t>
      </w:r>
      <w:r w:rsidRPr="00FB57CF">
        <w:t>և/</w:t>
      </w:r>
      <w:r w:rsidR="00356079" w:rsidRPr="00FB57CF">
        <w:t>կամ այդ ոլորտում տեսչական գործառույթ իրականացնող պետական մարմնում ընդերքի</w:t>
      </w:r>
      <w:r w:rsidRPr="00FB57CF">
        <w:t xml:space="preserve"> </w:t>
      </w:r>
      <w:r w:rsidR="00356079" w:rsidRPr="00FB57CF">
        <w:t>օգտագործման գործընթացի հաշվեքննության պարագայում</w:t>
      </w:r>
      <w:r w:rsidRPr="00FB57CF">
        <w:t>։</w:t>
      </w:r>
    </w:p>
    <w:p w14:paraId="4FCEBA39" w14:textId="794CE676" w:rsidR="00290258" w:rsidRPr="009572C6" w:rsidRDefault="00290258" w:rsidP="00290258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 Հաշվի առնելով, որ ընդերքը բացառիկ պետական սեփականություն է, այս վերանայման առաջարկը նպատակ է հետապնդում ՀՊ-ին հնարավորություն ընձեռել կարծիք ձևավորել և ներկայացնել ընդերքօգտագործման ամբողջ գործընթացի նկատմամբ՝ ներառյալ հիմք ընդունելով գործընթացի բոլոր մասնակիցների մոտ հաշվեքննության/ստուգման արդյունքները</w:t>
      </w:r>
      <w:r w:rsidR="006A2B44" w:rsidRPr="00FB57CF">
        <w:rPr>
          <w:rStyle w:val="Emphasis"/>
        </w:rPr>
        <w:t>՝ թույլ տալով իրացնել սահմանադրի կողմից ՀՊ-ին վերապահված մանդատը (պետական սեփականության օգտագործման օրինականության և արդյունավետության հաշվեքննություն)</w:t>
      </w:r>
      <w:r w:rsidRPr="00FB57CF">
        <w:rPr>
          <w:rStyle w:val="Emphasis"/>
        </w:rPr>
        <w:t>։</w:t>
      </w:r>
      <w:r w:rsidR="006A2B44" w:rsidRPr="00FB57CF">
        <w:rPr>
          <w:rStyle w:val="Emphasis"/>
        </w:rPr>
        <w:t xml:space="preserve"> Թեև ոլորտում առկա </w:t>
      </w:r>
      <w:r w:rsidR="001044F4" w:rsidRPr="00FB57CF">
        <w:rPr>
          <w:rStyle w:val="Emphasis"/>
        </w:rPr>
        <w:t>է</w:t>
      </w:r>
      <w:r w:rsidR="006A2B44" w:rsidRPr="00FB57CF">
        <w:rPr>
          <w:rStyle w:val="Emphasis"/>
        </w:rPr>
        <w:t xml:space="preserve"> վերահսկողական գործառույթ իրականացնող տեսչական մարմին, </w:t>
      </w:r>
      <w:r w:rsidR="001044F4" w:rsidRPr="00FB57CF">
        <w:rPr>
          <w:rStyle w:val="Emphasis"/>
        </w:rPr>
        <w:t>ընդերքի որպես պետական բացառիկ սեփականության օգտագործման վերաբերյալ սահմանադիրն ունի լեգիտիմ ակնկալիք՝ ստանալու օբյեկտիվ, անկողմնակալ ու մասնագիտական կարծիք, որը կարող է իրացվել հաշվեքննության, այլ ոչ՝ տեսչական ստուգման գործառույթի արդյունքում։ Ավելին, հարկ է նկատել, որ տեսչական ստուգման գործառույթն, ինքնին, կարող է դառնալ հաշվեքննության առարկա, և այդ առարկայի հաշվեքննությունն անհնար կլինի արդյունավետորեն իրականացնել առանց սույն առաջարկության իրացման)։</w:t>
      </w:r>
    </w:p>
    <w:p w14:paraId="48CB023C" w14:textId="77777777" w:rsidR="00356079" w:rsidRPr="009572C6" w:rsidRDefault="00356079" w:rsidP="00290258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(հղում` ՀՊ օրենքի 5-րդ հոդված)</w:t>
      </w:r>
    </w:p>
    <w:p w14:paraId="2F21965C" w14:textId="31F83AF8" w:rsidR="00356079" w:rsidRPr="00FB57CF" w:rsidRDefault="00290258" w:rsidP="00E120ED">
      <w:pPr>
        <w:pStyle w:val="Heading4"/>
      </w:pPr>
      <w:r w:rsidRPr="00FB57CF">
        <w:t>Ընդլայնել հաշվեքննության շրջանակը՝ նախատեսելով</w:t>
      </w:r>
      <w:r w:rsidR="00356079" w:rsidRPr="00FB57CF">
        <w:t xml:space="preserve"> ՀՀ կենտրոնական բանկում հաշվեքննություն </w:t>
      </w:r>
      <w:r w:rsidR="00C813C2" w:rsidRPr="00FB57CF">
        <w:t xml:space="preserve">(ստուգում) </w:t>
      </w:r>
      <w:r w:rsidR="00356079" w:rsidRPr="00FB57CF">
        <w:t>իրականացնելու լիազորություն</w:t>
      </w:r>
      <w:r w:rsidRPr="00FB57CF">
        <w:t>։</w:t>
      </w:r>
    </w:p>
    <w:p w14:paraId="4D191D43" w14:textId="29723951" w:rsidR="00A04A68" w:rsidRPr="009572C6" w:rsidRDefault="00290258" w:rsidP="00A04A68">
      <w:pPr>
        <w:pStyle w:val="Subtitle"/>
        <w:rPr>
          <w:rStyle w:val="Emphasis"/>
          <w:i w:val="0"/>
          <w:iCs w:val="0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 xml:space="preserve">։ </w:t>
      </w:r>
      <w:r w:rsidR="000261EB" w:rsidRPr="00FB57CF">
        <w:rPr>
          <w:rStyle w:val="Emphasis"/>
        </w:rPr>
        <w:t>ՀՀ կենտրոնական բանկ</w:t>
      </w:r>
      <w:r w:rsidR="00C36085" w:rsidRPr="00FB57CF">
        <w:rPr>
          <w:rStyle w:val="Emphasis"/>
        </w:rPr>
        <w:t>ը</w:t>
      </w:r>
      <w:r w:rsidR="000261EB" w:rsidRPr="00FB57CF">
        <w:rPr>
          <w:rStyle w:val="Emphasis"/>
        </w:rPr>
        <w:t xml:space="preserve"> </w:t>
      </w:r>
      <w:r w:rsidR="00C36085" w:rsidRPr="00FB57CF">
        <w:rPr>
          <w:rStyle w:val="Emphasis"/>
        </w:rPr>
        <w:t xml:space="preserve">(ԿԲ) </w:t>
      </w:r>
      <w:r w:rsidR="000261EB" w:rsidRPr="00FB57CF">
        <w:rPr>
          <w:rStyle w:val="Emphasis"/>
        </w:rPr>
        <w:t xml:space="preserve">Հայաստանի Հանրապետության կողմից հիմնադրված և պետական գործառույթներով օժտված </w:t>
      </w:r>
      <w:r w:rsidR="00C813C2" w:rsidRPr="00FB57CF">
        <w:rPr>
          <w:rStyle w:val="Emphasis"/>
        </w:rPr>
        <w:t xml:space="preserve">իրավաբանական անձ </w:t>
      </w:r>
      <w:r w:rsidR="00C36085" w:rsidRPr="00FB57CF">
        <w:rPr>
          <w:rStyle w:val="Emphasis"/>
        </w:rPr>
        <w:t>է։ ՀՀ գ</w:t>
      </w:r>
      <w:r w:rsidR="00C5185B" w:rsidRPr="00FB57CF">
        <w:rPr>
          <w:rStyle w:val="Emphasis"/>
        </w:rPr>
        <w:t xml:space="preserve">ործող </w:t>
      </w:r>
      <w:r w:rsidR="00C36085" w:rsidRPr="00FB57CF">
        <w:rPr>
          <w:rStyle w:val="Emphasis"/>
        </w:rPr>
        <w:t>օրենսդրությամբ</w:t>
      </w:r>
      <w:r w:rsidR="00C5185B" w:rsidRPr="00FB57CF">
        <w:rPr>
          <w:rStyle w:val="Emphasis"/>
        </w:rPr>
        <w:t xml:space="preserve"> </w:t>
      </w:r>
      <w:r w:rsidR="00C36085" w:rsidRPr="00FB57CF">
        <w:rPr>
          <w:rStyle w:val="Emphasis"/>
        </w:rPr>
        <w:t>ԿԲ</w:t>
      </w:r>
      <w:r w:rsidR="004C6F75" w:rsidRPr="00FB57CF">
        <w:rPr>
          <w:rStyle w:val="Emphasis"/>
        </w:rPr>
        <w:t>-ի</w:t>
      </w:r>
      <w:r w:rsidR="00C36085" w:rsidRPr="00FB57CF">
        <w:rPr>
          <w:rStyle w:val="Emphasis"/>
        </w:rPr>
        <w:t xml:space="preserve"> </w:t>
      </w:r>
      <w:r w:rsidR="00C5185B" w:rsidRPr="00FB57CF">
        <w:rPr>
          <w:rStyle w:val="Emphasis"/>
        </w:rPr>
        <w:t>գործունեության</w:t>
      </w:r>
      <w:r w:rsidR="009A5FF5" w:rsidRPr="00FB57CF">
        <w:rPr>
          <w:rStyle w:val="Emphasis"/>
        </w:rPr>
        <w:t xml:space="preserve"> արդյունքներից միայն ֆինանսական հաշվետվությունների վերաբերյալ է </w:t>
      </w:r>
      <w:r w:rsidR="00C36085" w:rsidRPr="00FB57CF">
        <w:rPr>
          <w:rStyle w:val="Emphasis"/>
        </w:rPr>
        <w:t xml:space="preserve">մասնագիտական </w:t>
      </w:r>
      <w:r w:rsidR="009A5FF5" w:rsidRPr="00FB57CF">
        <w:rPr>
          <w:rStyle w:val="Emphasis"/>
        </w:rPr>
        <w:lastRenderedPageBreak/>
        <w:t>կարծիք ներկայացվում հանրությանը</w:t>
      </w:r>
      <w:r w:rsidR="00C36085" w:rsidRPr="00FB57CF">
        <w:rPr>
          <w:rStyle w:val="Emphasis"/>
        </w:rPr>
        <w:t>։ Ընդ որում</w:t>
      </w:r>
      <w:r w:rsidR="009A5FF5" w:rsidRPr="00FB57CF">
        <w:rPr>
          <w:rStyle w:val="Emphasis"/>
        </w:rPr>
        <w:t xml:space="preserve">, </w:t>
      </w:r>
      <w:r w:rsidR="00C36085" w:rsidRPr="00FB57CF">
        <w:rPr>
          <w:rStyle w:val="Emphasis"/>
        </w:rPr>
        <w:t xml:space="preserve">այդ գործընթացը </w:t>
      </w:r>
      <w:r w:rsidR="009A5FF5" w:rsidRPr="00FB57CF">
        <w:rPr>
          <w:rStyle w:val="Emphasis"/>
        </w:rPr>
        <w:t>կազմակերպ</w:t>
      </w:r>
      <w:r w:rsidR="004C6F75" w:rsidRPr="00FB57CF">
        <w:rPr>
          <w:rStyle w:val="Emphasis"/>
        </w:rPr>
        <w:t>վ</w:t>
      </w:r>
      <w:r w:rsidR="009A5FF5" w:rsidRPr="00FB57CF">
        <w:rPr>
          <w:rStyle w:val="Emphasis"/>
        </w:rPr>
        <w:t xml:space="preserve">ում է </w:t>
      </w:r>
      <w:r w:rsidR="00C36085" w:rsidRPr="00FB57CF">
        <w:rPr>
          <w:rStyle w:val="Emphasis"/>
        </w:rPr>
        <w:t>ԿԲ</w:t>
      </w:r>
      <w:r w:rsidR="004C6F75" w:rsidRPr="00FB57CF">
        <w:rPr>
          <w:rStyle w:val="Emphasis"/>
        </w:rPr>
        <w:t>-ի պատվիրատվությամբ՝</w:t>
      </w:r>
      <w:r w:rsidR="00C36085" w:rsidRPr="00FB57CF">
        <w:rPr>
          <w:rStyle w:val="Emphasis"/>
        </w:rPr>
        <w:t xml:space="preserve"> </w:t>
      </w:r>
      <w:r w:rsidR="004C6F75" w:rsidRPr="00FB57CF">
        <w:rPr>
          <w:rStyle w:val="Emphasis"/>
        </w:rPr>
        <w:t xml:space="preserve">3 տարի ժամկետի համար </w:t>
      </w:r>
      <w:r w:rsidR="00C36085" w:rsidRPr="00FB57CF">
        <w:rPr>
          <w:rStyle w:val="Emphasis"/>
        </w:rPr>
        <w:t xml:space="preserve">ընտրված </w:t>
      </w:r>
      <w:r w:rsidR="009A5FF5" w:rsidRPr="00FB57CF">
        <w:rPr>
          <w:rStyle w:val="Emphasis"/>
        </w:rPr>
        <w:t xml:space="preserve">համընդհանուր միջազգային ճանաչում ունեցող 10 </w:t>
      </w:r>
      <w:r w:rsidR="00C36085" w:rsidRPr="00FB57CF">
        <w:rPr>
          <w:rStyle w:val="Emphasis"/>
        </w:rPr>
        <w:t xml:space="preserve">լավագույն </w:t>
      </w:r>
      <w:r w:rsidR="009A5FF5" w:rsidRPr="00FB57CF">
        <w:rPr>
          <w:rStyle w:val="Emphasis"/>
        </w:rPr>
        <w:t xml:space="preserve">աուդիտորական </w:t>
      </w:r>
      <w:r w:rsidR="00C36085" w:rsidRPr="00FB57CF">
        <w:rPr>
          <w:rStyle w:val="Emphasis"/>
        </w:rPr>
        <w:t>կազմակերպություններից</w:t>
      </w:r>
      <w:r w:rsidR="009A5FF5" w:rsidRPr="00FB57CF">
        <w:rPr>
          <w:rStyle w:val="Emphasis"/>
        </w:rPr>
        <w:t xml:space="preserve"> մեկի</w:t>
      </w:r>
      <w:r w:rsidR="004C6F75" w:rsidRPr="00FB57CF">
        <w:rPr>
          <w:rStyle w:val="Emphasis"/>
        </w:rPr>
        <w:t xml:space="preserve"> միջոցով </w:t>
      </w:r>
      <w:r w:rsidR="009A5FF5" w:rsidRPr="00FB57CF">
        <w:rPr>
          <w:rStyle w:val="Emphasis"/>
        </w:rPr>
        <w:t>(</w:t>
      </w:r>
      <w:r w:rsidR="009A5FF5" w:rsidRPr="00FB57CF">
        <w:rPr>
          <w:rStyle w:val="IntenseEmphasis"/>
          <w:rFonts w:eastAsia="Times New Roman" w:cs="Times New Roman"/>
          <w:spacing w:val="0"/>
          <w:lang w:eastAsia="ru-RU"/>
        </w:rPr>
        <w:t>«ՀՀ կենտրոնական բանկի մասին» ՀՀ օրենքի հոդված 16</w:t>
      </w:r>
      <w:r w:rsidR="009A5FF5" w:rsidRPr="00FB57CF">
        <w:rPr>
          <w:rStyle w:val="Emphasis"/>
        </w:rPr>
        <w:t xml:space="preserve">)։ </w:t>
      </w:r>
      <w:r w:rsidR="008A0528" w:rsidRPr="00FB57CF">
        <w:rPr>
          <w:rStyle w:val="Emphasis"/>
        </w:rPr>
        <w:t>Ուշադրության է արժանի նաև այն հան</w:t>
      </w:r>
      <w:r w:rsidR="007E21E9" w:rsidRPr="00FB57CF">
        <w:rPr>
          <w:rStyle w:val="Emphasis"/>
        </w:rPr>
        <w:t>գ</w:t>
      </w:r>
      <w:r w:rsidR="008A0528" w:rsidRPr="00FB57CF">
        <w:rPr>
          <w:rStyle w:val="Emphasis"/>
        </w:rPr>
        <w:t xml:space="preserve">ամանքը, որ ի տարբերություն ԲՀՄ-ների, մասնավոր հատվածի աուդիտորական կազմակերպությունների կողմից արձանագրված և աուդիտորական կարծիքում տեղ չգտած թերությունները չեն հրապարակվում (օրինակ՝ ներքին հսկողության համակարգի թերությունների վերաբերյալ), այլ ձևակերպվում և ուղարկվում են ղեկավարությանը (տվյալ դեպքում ԿԲ-ին)՝ Նամակ ղեկավարությանը փաստաթղթի ձևով: </w:t>
      </w:r>
      <w:r w:rsidR="009A5FF5" w:rsidRPr="00FB57CF">
        <w:rPr>
          <w:rStyle w:val="Emphasis"/>
        </w:rPr>
        <w:t xml:space="preserve">Ինչ վերաբերում է ՀՀ կենտրոնական բանկի գործունեության համապատասխանության և </w:t>
      </w:r>
      <w:r w:rsidR="00C5185B" w:rsidRPr="00FB57CF">
        <w:rPr>
          <w:rStyle w:val="Emphasis"/>
        </w:rPr>
        <w:t xml:space="preserve">արդյունավետության </w:t>
      </w:r>
      <w:r w:rsidR="007C4FC8" w:rsidRPr="00FB57CF">
        <w:rPr>
          <w:rStyle w:val="Emphasis"/>
        </w:rPr>
        <w:t>հետ կապված հարցերին</w:t>
      </w:r>
      <w:r w:rsidR="009A5FF5" w:rsidRPr="00FB57CF">
        <w:rPr>
          <w:rStyle w:val="Emphasis"/>
        </w:rPr>
        <w:t xml:space="preserve">, ապա </w:t>
      </w:r>
      <w:r w:rsidR="007C4FC8" w:rsidRPr="00FB57CF">
        <w:rPr>
          <w:rStyle w:val="Emphasis"/>
        </w:rPr>
        <w:t xml:space="preserve">գործող կարգավորումներով դրանց վերաբերյալ գնահատական տալու պատասխանատուն ՀՀ կենտրոնական բանկի ներքին աուդիտի գործառույթն է, որը հաշվետու է ՀՀ կենտրոնական բանկի </w:t>
      </w:r>
      <w:r w:rsidR="00BE0B5A" w:rsidRPr="00FB57CF">
        <w:rPr>
          <w:rStyle w:val="Emphasis"/>
        </w:rPr>
        <w:t>խորհ</w:t>
      </w:r>
      <w:r w:rsidR="007C4FC8" w:rsidRPr="00FB57CF">
        <w:rPr>
          <w:rStyle w:val="Emphasis"/>
        </w:rPr>
        <w:t>րդին (</w:t>
      </w:r>
      <w:r w:rsidR="007C4FC8" w:rsidRPr="00FB57CF">
        <w:rPr>
          <w:rStyle w:val="IntenseEmphasis"/>
          <w:rFonts w:eastAsia="Times New Roman" w:cs="Times New Roman"/>
          <w:spacing w:val="0"/>
          <w:lang w:eastAsia="ru-RU"/>
        </w:rPr>
        <w:t>«ՀՀ կենտրոնական բանկի մասին» ՀՀ օրենքի հոդված 25</w:t>
      </w:r>
      <w:r w:rsidR="007C4FC8" w:rsidRPr="00FB57CF">
        <w:rPr>
          <w:rStyle w:val="Emphasis"/>
        </w:rPr>
        <w:t xml:space="preserve">)։ </w:t>
      </w:r>
      <w:r w:rsidR="000261EB" w:rsidRPr="00FB57CF">
        <w:rPr>
          <w:rStyle w:val="Emphasis"/>
        </w:rPr>
        <w:t xml:space="preserve">Ստացում է, որ ներկայում հանրությանը հասանելի է միայն ՀՀ կենտրոնական բանկի </w:t>
      </w:r>
      <w:r w:rsidR="00C36085" w:rsidRPr="00FB57CF">
        <w:rPr>
          <w:rStyle w:val="Emphasis"/>
        </w:rPr>
        <w:t xml:space="preserve">ֆինանսական հաշվետվությունների վերաբերյալ՝ բանկի պատվիրատվությամբ անկախ </w:t>
      </w:r>
      <w:r w:rsidR="004C6F75" w:rsidRPr="00FB57CF">
        <w:rPr>
          <w:rStyle w:val="Emphasis"/>
        </w:rPr>
        <w:t xml:space="preserve">արտաքին </w:t>
      </w:r>
      <w:r w:rsidR="00C36085" w:rsidRPr="00FB57CF">
        <w:rPr>
          <w:rStyle w:val="Emphasis"/>
        </w:rPr>
        <w:t xml:space="preserve">աուդիտորական կազմակերպության կողմից ներկայացրած </w:t>
      </w:r>
      <w:r w:rsidR="000261EB" w:rsidRPr="00FB57CF">
        <w:rPr>
          <w:rStyle w:val="Emphasis"/>
        </w:rPr>
        <w:t>կարծիքը</w:t>
      </w:r>
      <w:r w:rsidR="00C36085" w:rsidRPr="00FB57CF">
        <w:rPr>
          <w:rStyle w:val="Emphasis"/>
        </w:rPr>
        <w:t>, իսկ բանկի գործունեության համապատասխանության և արդյունա</w:t>
      </w:r>
      <w:r w:rsidR="008E1A57" w:rsidRPr="00FB57CF">
        <w:rPr>
          <w:rStyle w:val="Emphasis"/>
        </w:rPr>
        <w:softHyphen/>
      </w:r>
      <w:r w:rsidR="00C36085" w:rsidRPr="00FB57CF">
        <w:rPr>
          <w:rStyle w:val="Emphasis"/>
        </w:rPr>
        <w:t>վետության վերաբերյալ ձևավորված տեղեկատվության «սպառողը» միայն ՀՀ կենտրոնական բանկի խորհուրդն է։</w:t>
      </w:r>
      <w:r w:rsidR="00A04A68" w:rsidRPr="00FB57CF">
        <w:rPr>
          <w:rStyle w:val="Emphasis"/>
        </w:rPr>
        <w:t xml:space="preserve"> Հարկ է նկատել, որ հայեցակարգային սույն առաջարկության համատեքստում խոսքը չի վերաբերում դրամավարկային քաղաքականության որոշումների հաշվեքննությանը (ստուգմանը), այլ նկատի է առնված ԿԲ որպես պետության նշանակալի՝ ֆինանսական հատվածի կարգավորող և վերահսկող մարմնի գործունեության վերաբերյալ հանրությանը մասնագիտական, անկողմնակալ և օբյեկտիվ կարծիք ներկայացնելու հնարավորությունը։</w:t>
      </w:r>
    </w:p>
    <w:p w14:paraId="1AA64BF8" w14:textId="77777777" w:rsidR="00356079" w:rsidRPr="009572C6" w:rsidRDefault="00356079" w:rsidP="00290258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(հղում` ՀՊ օրենքի 5-րդ հոդված)</w:t>
      </w:r>
    </w:p>
    <w:p w14:paraId="78BD288E" w14:textId="7F2991DF" w:rsidR="00356079" w:rsidRPr="00FB57CF" w:rsidRDefault="00042E94" w:rsidP="00E120ED">
      <w:pPr>
        <w:pStyle w:val="Heading4"/>
      </w:pPr>
      <w:r w:rsidRPr="00FB57CF">
        <w:t xml:space="preserve">Վերանայել </w:t>
      </w:r>
      <w:r w:rsidR="00FB66A1" w:rsidRPr="00FB57CF">
        <w:t xml:space="preserve">օրենսդրությամբ </w:t>
      </w:r>
      <w:r w:rsidR="00356079" w:rsidRPr="00FB57CF">
        <w:t>առևտրային, հարկային, բանկային և այլ</w:t>
      </w:r>
      <w:r w:rsidR="00FB66A1" w:rsidRPr="00FB57CF">
        <w:t>՝</w:t>
      </w:r>
      <w:r w:rsidR="00356079" w:rsidRPr="00FB57CF">
        <w:t xml:space="preserve"> օրենքով սահմանված գաղտնիքի (առցանց և տեղում) հասանելիության</w:t>
      </w:r>
      <w:r w:rsidR="00FB66A1" w:rsidRPr="00FB57CF">
        <w:t>ը</w:t>
      </w:r>
      <w:r w:rsidR="00356079" w:rsidRPr="00FB57CF">
        <w:t xml:space="preserve"> </w:t>
      </w:r>
      <w:r w:rsidR="00FB66A1" w:rsidRPr="00FB57CF">
        <w:t xml:space="preserve">վերաբերող կարգավորումներն այնպես, որ </w:t>
      </w:r>
      <w:r w:rsidR="00FB66A1" w:rsidRPr="00FB57CF">
        <w:lastRenderedPageBreak/>
        <w:t>պետական համակարգում առկա ցանկացած տեղեկատվություն, հաշվեքննությունների նպատակով ՀՊ</w:t>
      </w:r>
      <w:r w:rsidR="00FB66A1" w:rsidRPr="00FB57CF">
        <w:noBreakHyphen/>
        <w:t>ի՝ օրենսդրությամբ սահմանված պահանջներին համապատասխանող աշխատակիցների համար հասանելի լինի օրենսդրությամբ սահմանված ընթացակար</w:t>
      </w:r>
      <w:r w:rsidR="008E1A57" w:rsidRPr="00FB57CF">
        <w:softHyphen/>
      </w:r>
      <w:r w:rsidR="00FB66A1" w:rsidRPr="00FB57CF">
        <w:t>գերով, ինչպես նաև</w:t>
      </w:r>
      <w:r w:rsidR="00356079" w:rsidRPr="00FB57CF">
        <w:t xml:space="preserve"> ՀՊ-ին օժտել</w:t>
      </w:r>
      <w:r w:rsidR="00FB66A1" w:rsidRPr="00FB57CF">
        <w:t>՝</w:t>
      </w:r>
      <w:r w:rsidR="00356079" w:rsidRPr="00FB57CF">
        <w:t xml:space="preserve"> </w:t>
      </w:r>
      <w:r w:rsidR="00FB66A1" w:rsidRPr="00FB57CF">
        <w:t xml:space="preserve">օրենսդրությամբ սահմանված կարգով հաշվեքննությունների շրջանակում հասանելի դարձած </w:t>
      </w:r>
      <w:r w:rsidR="00356079" w:rsidRPr="00FB57CF">
        <w:t>տեղեկություններ</w:t>
      </w:r>
      <w:r w:rsidR="00FB66A1" w:rsidRPr="00FB57CF">
        <w:t>ը</w:t>
      </w:r>
      <w:r w:rsidR="00356079" w:rsidRPr="00FB57CF">
        <w:t xml:space="preserve"> պետական և ծառայողական գաղտնիքի շարքին դասելու լիազորություններով</w:t>
      </w:r>
      <w:r w:rsidR="00FB66A1" w:rsidRPr="00FB57CF">
        <w:t>։</w:t>
      </w:r>
    </w:p>
    <w:p w14:paraId="0BC9CA06" w14:textId="2A0D2833" w:rsidR="00FB66A1" w:rsidRPr="009572C6" w:rsidRDefault="00FB66A1" w:rsidP="00FB66A1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 Սահման</w:t>
      </w:r>
      <w:r w:rsidR="00F15EC4" w:rsidRPr="00FB57CF">
        <w:rPr>
          <w:rStyle w:val="Emphasis"/>
        </w:rPr>
        <w:t>ա</w:t>
      </w:r>
      <w:r w:rsidRPr="00FB57CF">
        <w:rPr>
          <w:rStyle w:val="Emphasis"/>
        </w:rPr>
        <w:t>դրությամբ և օրենքով ՀՊ-ին տրված հաշվեքննության մանդատով հաշվեքննություններ իրականացնելիս սահման</w:t>
      </w:r>
      <w:r w:rsidR="004C6F75" w:rsidRPr="00FB57CF">
        <w:rPr>
          <w:rStyle w:val="Emphasis"/>
        </w:rPr>
        <w:t>ա</w:t>
      </w:r>
      <w:r w:rsidRPr="00FB57CF">
        <w:rPr>
          <w:rStyle w:val="Emphasis"/>
        </w:rPr>
        <w:t>փակվում են ՀՊ լիազորությունները առևտրային, հարկային, բանկային և այլ օրենքով սահմանված գաղտնիքի, անձնական տվյալների (առցանց և տեղում) հասանելիության մասով։ Այսպիսի իրավիճակը կարող է հանգեցնել հաշվեքննությունների կասեցմանը և, ֆինանսական հաշվեքննության դեպքում, ընդհուպ մինչև հաշվեքննության կարծիքից հրաժարմանը</w:t>
      </w:r>
      <w:r w:rsidR="008A0528" w:rsidRPr="00FB57CF">
        <w:t xml:space="preserve">՝ </w:t>
      </w:r>
      <w:r w:rsidR="008A0528" w:rsidRPr="00FB57CF">
        <w:rPr>
          <w:rStyle w:val="Emphasis"/>
        </w:rPr>
        <w:t>հարցականի տակ դնելով Սահմանադրությամբ նախատեսված արտաքին պետական հաշվեքննության գործառույթի անհրաժեշտությունը</w:t>
      </w:r>
      <w:r w:rsidRPr="00FB57CF">
        <w:rPr>
          <w:rStyle w:val="Emphasis"/>
        </w:rPr>
        <w:t>։ Միևնույն ժամանակ, ՀՀ</w:t>
      </w:r>
      <w:r w:rsidRPr="00FB57CF">
        <w:rPr>
          <w:rStyle w:val="Emphasis"/>
        </w:rPr>
        <w:noBreakHyphen/>
        <w:t xml:space="preserve">ում վերոնշյալ տեղեկատվությունը հասանելի կարող է լինել այլ վերահսկողական/տեսչական գործառույթներ իրականացնող մարմինների։ </w:t>
      </w:r>
      <w:r w:rsidR="00F15EC4" w:rsidRPr="00FB57CF">
        <w:rPr>
          <w:rStyle w:val="Emphasis"/>
        </w:rPr>
        <w:t xml:space="preserve">Այս առնչությամբ </w:t>
      </w:r>
      <w:r w:rsidR="00F15EC4" w:rsidRPr="00FB57CF">
        <w:rPr>
          <w:rFonts w:cs="Sylfaen"/>
          <w:i/>
        </w:rPr>
        <w:t xml:space="preserve">ՀՊ-ի հայեցակարգային տեսլականն է, որ հանրային հատվածում առկա տեղեկատվության տեսանկյունից, Հայաստանի Հանրապետությունը դիտարկվի 1 միասնական միավոր, իսկ ՀՊ-ն այդ համատեքստում տեղակայված լինի, որպես այդ 1 միասնական միավորի բաղկացուցիչ, այլ ոչ՝ որպես երրորդ անձ։ </w:t>
      </w:r>
      <w:r w:rsidRPr="00FB57CF">
        <w:rPr>
          <w:rStyle w:val="Emphasis"/>
        </w:rPr>
        <w:t>Հաշվեքննիչ պալատը, օրենքով սահմանված գաղտնիության պահանջների պահպանմամբ, պետք է օժտված լինի վերոնշյալ տեղեկատվության</w:t>
      </w:r>
      <w:r w:rsidR="004C6F75" w:rsidRPr="00FB57CF">
        <w:rPr>
          <w:rStyle w:val="Emphasis"/>
        </w:rPr>
        <w:t>ը</w:t>
      </w:r>
      <w:r w:rsidRPr="00FB57CF">
        <w:rPr>
          <w:rStyle w:val="Emphasis"/>
        </w:rPr>
        <w:t xml:space="preserve"> հասանելիության, ինչպես նաև դրանք օրենքով սահմանված կարգով գաղտնագրելու և մշակելու լիազորություններով։</w:t>
      </w:r>
      <w:r w:rsidR="00A873D7" w:rsidRPr="00FB57CF">
        <w:t xml:space="preserve"> </w:t>
      </w:r>
      <w:r w:rsidR="00A873D7" w:rsidRPr="00FB57CF">
        <w:rPr>
          <w:i/>
          <w:iCs/>
        </w:rPr>
        <w:t>Պաշտպանված տվյալներին ՀՊ-ի հասանելիության</w:t>
      </w:r>
      <w:r w:rsidR="00A873D7" w:rsidRPr="00FB57CF">
        <w:t xml:space="preserve"> </w:t>
      </w:r>
      <w:r w:rsidR="00A873D7" w:rsidRPr="00FB57CF">
        <w:rPr>
          <w:rStyle w:val="Emphasis"/>
        </w:rPr>
        <w:t>անհրաժեշտությունը, նպատակահարմարությունը և համաչափությունը պետք է հիմնավորվի նախագծային լուծումները պատրաստելիս:</w:t>
      </w:r>
    </w:p>
    <w:p w14:paraId="5757F429" w14:textId="77777777" w:rsidR="00356079" w:rsidRPr="009572C6" w:rsidRDefault="00356079" w:rsidP="00DD000E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 36-րդ հոդվածի 1-ին մաս 2-րդ կետ, պետական և ծառայողական գաղտնիքի, անձնական տվյալների, առևտրային և այլ  գաղտնիքի վերաբերյալ օրենքներ)</w:t>
      </w:r>
    </w:p>
    <w:p w14:paraId="643EBAA2" w14:textId="77777777" w:rsidR="00356079" w:rsidRPr="00FB57CF" w:rsidRDefault="00356079" w:rsidP="00E120ED">
      <w:pPr>
        <w:pStyle w:val="Heading4"/>
      </w:pPr>
      <w:r w:rsidRPr="00FB57CF">
        <w:lastRenderedPageBreak/>
        <w:t>Վերանայել արտաքին պետական հաշվեքննության սահմանումը՝ ավելացնելով հետհսկողությունը (follow-up), որպես հաշվեքննության բաղկացուցիչ գործընթաց:</w:t>
      </w:r>
    </w:p>
    <w:p w14:paraId="558ACEB6" w14:textId="7C25E6D9" w:rsidR="00A37781" w:rsidRPr="009572C6" w:rsidRDefault="00A37781" w:rsidP="00A37781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 Ընթացիկ կարգավորմամբ՝ Հաշվեքննիչ պալատը, հաստատում է հաշվեքննության արդյունքները և ուղարկում ԱԺ, կառավարությանը, հաշվեքննվող օբյեկտին և հրապարակում կայքում։ Հաշվեքննվող օբյեկտը հաշվեքննության առաջարկություն</w:t>
      </w:r>
      <w:r w:rsidRPr="00FB57CF">
        <w:rPr>
          <w:rStyle w:val="Emphasis"/>
        </w:rPr>
        <w:softHyphen/>
        <w:t>ների վերաբերյալ արձագանքում է 30 օրվա ընթացքում։ Սույն արձագանքը ՀՊ-ն փոխանցում է ԱԺ-ին և կառավարությանը։ Հաշվեքննության ոլորտի միջազգային ստանդարտների համաձայն՝ հաշվեքննության գործընթացի բաղկացուցիչ մաս է ինչպես պլանավորումը, իրականացումը և հաշվետվողականությունը, այնպես էլ՝ հաշվեքննությունների արդյունքներով տրամադրված առաջար</w:t>
      </w:r>
      <w:r w:rsidRPr="00FB57CF">
        <w:rPr>
          <w:rStyle w:val="Emphasis"/>
        </w:rPr>
        <w:softHyphen/>
        <w:t>կություն</w:t>
      </w:r>
      <w:r w:rsidRPr="00FB57CF">
        <w:rPr>
          <w:rStyle w:val="Emphasis"/>
        </w:rPr>
        <w:softHyphen/>
        <w:t>ների հետհսկողության լիազորությունը, որը ՀՊ օրենքով ներկայումս սահմանված չէ։</w:t>
      </w:r>
    </w:p>
    <w:p w14:paraId="4929119B" w14:textId="77777777" w:rsidR="00356079" w:rsidRPr="009572C6" w:rsidRDefault="00356079" w:rsidP="00A37781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1-ին հոդված, 1-ին կետ, 26-րդ հոդված)</w:t>
      </w:r>
    </w:p>
    <w:p w14:paraId="479539F4" w14:textId="77777777" w:rsidR="00226A0D" w:rsidRPr="00FB57CF" w:rsidRDefault="00226A0D" w:rsidP="00634E9B">
      <w:pPr>
        <w:pStyle w:val="Heading3"/>
      </w:pPr>
      <w:bookmarkStart w:id="15" w:name="_Toc109309601"/>
      <w:r w:rsidRPr="00FB57CF">
        <w:t>Մարդկային ռեսուրսների համարժեքություն</w:t>
      </w:r>
      <w:bookmarkEnd w:id="15"/>
    </w:p>
    <w:p w14:paraId="42DD2CE4" w14:textId="77777777" w:rsidR="00356079" w:rsidRPr="00FB57CF" w:rsidRDefault="00226A0D" w:rsidP="00226A0D">
      <w:r w:rsidRPr="00FB57CF">
        <w:t>ՀՀ օրենսդրական կարգավորումներում առկա են ա</w:t>
      </w:r>
      <w:r w:rsidR="00356079" w:rsidRPr="00FB57CF">
        <w:t>րտաքին պետական հաշվեքննության ոլորտում ներգրավված մարդկային ռեսուրսների համարժեքության ապահովման հետ կապված խնդիրներ, որոնց  լուծման ուղղությամբ առաջարկվում է.</w:t>
      </w:r>
    </w:p>
    <w:p w14:paraId="3A100C35" w14:textId="6BB047C1" w:rsidR="00356079" w:rsidRPr="00FB57CF" w:rsidRDefault="00356079" w:rsidP="00E120ED">
      <w:pPr>
        <w:pStyle w:val="Heading4"/>
      </w:pPr>
      <w:r w:rsidRPr="00FB57CF">
        <w:t xml:space="preserve">ՀՊ օրենքում սահմանել, որ որակավորման համակարգը պետք է ներդրվի, և որակավորման չափանիշները սահմանվեն ՀՊ կողմից: ՀՊ-ն կարող է, որպես որակավորում, ընդունել նաև </w:t>
      </w:r>
      <w:r w:rsidR="00C352D6" w:rsidRPr="00FB57CF">
        <w:t>միջազգային</w:t>
      </w:r>
      <w:r w:rsidRPr="00FB57CF">
        <w:t xml:space="preserve"> հայտնի ատյանների կողմից կամ համարժեք բարդությամբ տեղական ատյանների կողմից շնորհվող մասնագիտական որակավորումները:</w:t>
      </w:r>
    </w:p>
    <w:p w14:paraId="14B11DE1" w14:textId="7E9CE529" w:rsidR="00C352D6" w:rsidRPr="009572C6" w:rsidRDefault="00C352D6" w:rsidP="00C352D6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 xml:space="preserve">։ ՀՊ օրենքը սահմանում է մասնագիտական շարունակական զարգացման և աուդիտորի որակավորման  </w:t>
      </w:r>
      <w:r w:rsidR="008A0528" w:rsidRPr="00FB57CF">
        <w:rPr>
          <w:rStyle w:val="Emphasis"/>
        </w:rPr>
        <w:t>պահանջը, ս</w:t>
      </w:r>
      <w:r w:rsidRPr="00FB57CF">
        <w:rPr>
          <w:rStyle w:val="Emphasis"/>
        </w:rPr>
        <w:t>ակայն հստակեցված չէ, թե ինչ տեսակի որակավորման մասին է խոսքը</w:t>
      </w:r>
      <w:r w:rsidR="008A0528" w:rsidRPr="00FB57CF">
        <w:rPr>
          <w:rStyle w:val="Emphasis"/>
        </w:rPr>
        <w:t>:</w:t>
      </w:r>
      <w:r w:rsidRPr="00FB57CF">
        <w:rPr>
          <w:rStyle w:val="Emphasis"/>
        </w:rPr>
        <w:t xml:space="preserve"> </w:t>
      </w:r>
      <w:r w:rsidR="008A0528" w:rsidRPr="00FB57CF">
        <w:rPr>
          <w:rStyle w:val="Emphasis"/>
        </w:rPr>
        <w:t xml:space="preserve">Այս համատեքստում հարկ է ընդգծել, որ ՀՊ-ն չի պատրաստվում ինքը կազմակերպել որակավորման գործընթացը, բայց պետք է ունենա բավարար լիազորություն՝ առնվազն ոչ պակաս բարդությամբ, քան ՀՀ-ում գործող ընթացակարգն է՝ որակավորում ունեցող հաշվեքննողների ներգրավել, ընդ որում՝ </w:t>
      </w:r>
      <w:r w:rsidR="008A0528" w:rsidRPr="00FB57CF">
        <w:rPr>
          <w:rStyle w:val="Emphasis"/>
        </w:rPr>
        <w:lastRenderedPageBreak/>
        <w:t>անհրաժեշտության դեպքում նաև լրացուցիչ պահանջներ սահմանելով:</w:t>
      </w:r>
    </w:p>
    <w:p w14:paraId="69D4054C" w14:textId="77777777" w:rsidR="00356079" w:rsidRPr="009572C6" w:rsidRDefault="00356079" w:rsidP="00C352D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17-րդ, 22-րդ և 43-րդ հոդվածներ, «Աուդիտորական գործունեության մասին» ՀՀ օրենք)</w:t>
      </w:r>
    </w:p>
    <w:p w14:paraId="05DC162B" w14:textId="77777777" w:rsidR="00035A90" w:rsidRPr="00FB57CF" w:rsidRDefault="00356079" w:rsidP="00E120ED">
      <w:pPr>
        <w:pStyle w:val="Heading4"/>
      </w:pPr>
      <w:r w:rsidRPr="00FB57CF">
        <w:t xml:space="preserve">ՀՊ օրենքում ապահովել Հաշվեքննիչ պալատի մարդկային ռեսուրսների կառավարման հնարավորություն` դիտարկելով քաղաքացիական ծառայության համակարգից դուրս գալը և ՀՊ-ում հատուկ տեսակի ծառայության համակարգ ձևավորելը: Որպես այլընտրանքային տարբերակ կարող է լինել՝ քաղաքացիական ծառայության համակարգում գտնվելով՝ ՀՊ-ում մարդկային ռեսուրսների կառավարման վերաբերյալ հատուկ պայմանների սահմանումը: </w:t>
      </w:r>
    </w:p>
    <w:p w14:paraId="674B3620" w14:textId="77777777" w:rsidR="00035A90" w:rsidRPr="009572C6" w:rsidRDefault="00035A90" w:rsidP="00035A90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 Մարդկային ռեսուրսների կառավարման գործող կարգավորումները չեն պարունակում որևէ մոտիվացիա՝ որակի համարժեք ստանդարտներին համապատասխանող մասնագետների ներգրավման և/կամ աշխատակազմի ներկայացուցիչների որակավորման բարձրացման ու աշխատանքային առաջընթացի ձգտելու համար։ Կարգավորումների առաջարկվող վերանայումը նպատակ է հետապնդում</w:t>
      </w:r>
      <w:r w:rsidRPr="009572C6">
        <w:rPr>
          <w:rStyle w:val="Emphasis"/>
          <w:rFonts w:ascii="MS Mincho" w:eastAsia="MS Mincho" w:hAnsi="MS Mincho" w:cs="MS Mincho"/>
        </w:rPr>
        <w:t>․</w:t>
      </w:r>
      <w:r w:rsidRPr="00FB57CF">
        <w:rPr>
          <w:rStyle w:val="Emphasis"/>
        </w:rPr>
        <w:t xml:space="preserve"> </w:t>
      </w:r>
    </w:p>
    <w:p w14:paraId="4B6866E8" w14:textId="77777777" w:rsidR="00035A90" w:rsidRPr="00FB57CF" w:rsidRDefault="00035A90" w:rsidP="00CC175E">
      <w:pPr>
        <w:pStyle w:val="Subtitle"/>
        <w:numPr>
          <w:ilvl w:val="0"/>
          <w:numId w:val="3"/>
        </w:numPr>
        <w:ind w:left="1620"/>
        <w:rPr>
          <w:rStyle w:val="Emphasis"/>
        </w:rPr>
      </w:pPr>
      <w:r w:rsidRPr="00FB57CF">
        <w:rPr>
          <w:rStyle w:val="Emphasis"/>
        </w:rPr>
        <w:t>Կ</w:t>
      </w:r>
      <w:r w:rsidR="00356079" w:rsidRPr="00FB57CF">
        <w:rPr>
          <w:rStyle w:val="Emphasis"/>
        </w:rPr>
        <w:t>արճաժամկետ հատվածում շտկ</w:t>
      </w:r>
      <w:r w:rsidRPr="00FB57CF">
        <w:rPr>
          <w:rStyle w:val="Emphasis"/>
        </w:rPr>
        <w:t>ել,</w:t>
      </w:r>
      <w:r w:rsidR="00356079" w:rsidRPr="00FB57CF">
        <w:rPr>
          <w:rStyle w:val="Emphasis"/>
        </w:rPr>
        <w:t xml:space="preserve"> հանգամանքների բերումով</w:t>
      </w:r>
      <w:r w:rsidRPr="00FB57CF">
        <w:rPr>
          <w:rStyle w:val="Emphasis"/>
        </w:rPr>
        <w:t>,</w:t>
      </w:r>
      <w:r w:rsidR="00356079" w:rsidRPr="00FB57CF">
        <w:rPr>
          <w:rStyle w:val="Emphasis"/>
        </w:rPr>
        <w:t xml:space="preserve"> ՀՊ-ում առկա վարձատրության համակարգը՝ որպես ելակետ ընդունելով վատթարացնող նորմի ընդունման անհնարինությունը և քաղաքացիական ծառայության համակարգում ծառայողների վարձատրության համար կիրառվող գործակիցների հարաբերակցությունը</w:t>
      </w:r>
      <w:r w:rsidRPr="00FB57CF">
        <w:rPr>
          <w:rStyle w:val="Emphasis"/>
        </w:rPr>
        <w:t xml:space="preserve">։ Ներկայում, ՀՊ-ում աշխատանքի </w:t>
      </w:r>
      <w:r w:rsidR="00561F09" w:rsidRPr="00FB57CF">
        <w:rPr>
          <w:rStyle w:val="Emphasis"/>
        </w:rPr>
        <w:t>երկարամյա</w:t>
      </w:r>
      <w:r w:rsidRPr="00FB57CF">
        <w:rPr>
          <w:rStyle w:val="Emphasis"/>
        </w:rPr>
        <w:t xml:space="preserve"> փորձառություն ունեցող գլխավոր մասնագետը</w:t>
      </w:r>
      <w:r w:rsidR="00561F09" w:rsidRPr="00FB57CF">
        <w:rPr>
          <w:rStyle w:val="Emphasis"/>
        </w:rPr>
        <w:t xml:space="preserve"> </w:t>
      </w:r>
      <w:r w:rsidRPr="00FB57CF">
        <w:rPr>
          <w:rStyle w:val="Emphasis"/>
        </w:rPr>
        <w:t xml:space="preserve">մոտ 30%-ով ավելի բարձր վարձատրություն է ստանում, քան </w:t>
      </w:r>
      <w:r w:rsidR="00561F09" w:rsidRPr="00FB57CF">
        <w:rPr>
          <w:rStyle w:val="Emphasis"/>
        </w:rPr>
        <w:t xml:space="preserve">քաղծառայության համակարգի ներդրումից հետո պաշտոն ստանձնած՝ նույն գլխավոր մասնագետի ղեկավար վարչության պետը։ Առաջարկվող լուծմամբ, նախատեսվում է գլխավոր մասնագետի համար ստանալ վարձատրության համար կիրառվող նոր գործակից՝ հիմք ընդունելով </w:t>
      </w:r>
      <w:r w:rsidR="00265157" w:rsidRPr="00FB57CF">
        <w:rPr>
          <w:rStyle w:val="Emphasis"/>
        </w:rPr>
        <w:t xml:space="preserve">երկարամյա փորձառությամբ </w:t>
      </w:r>
      <w:r w:rsidR="00561F09" w:rsidRPr="00FB57CF">
        <w:rPr>
          <w:rStyle w:val="Emphasis"/>
        </w:rPr>
        <w:t xml:space="preserve">գլխավոր մասնագետի փաստացի վարձատրության չափը, իսկ մյուս պետական պաշտոն զբաղեցնողների համար ստանալ նոր գործակիցներ՝ պահպանելով գլխավոր մասնագետի և տվյալ պաշտոնների միջև </w:t>
      </w:r>
      <w:r w:rsidR="00561F09" w:rsidRPr="00FB57CF">
        <w:rPr>
          <w:rStyle w:val="Emphasis"/>
        </w:rPr>
        <w:lastRenderedPageBreak/>
        <w:t>գործող համակարգում առկա հարաբերակցությունը (գործակիցների «հեռավորությունը»)։</w:t>
      </w:r>
    </w:p>
    <w:p w14:paraId="7F40A0BA" w14:textId="77777777" w:rsidR="00356079" w:rsidRPr="00FB57CF" w:rsidRDefault="00265157" w:rsidP="00CC175E">
      <w:pPr>
        <w:pStyle w:val="Subtitle"/>
        <w:numPr>
          <w:ilvl w:val="0"/>
          <w:numId w:val="3"/>
        </w:numPr>
        <w:ind w:left="1620"/>
        <w:rPr>
          <w:rStyle w:val="Emphasis"/>
        </w:rPr>
      </w:pPr>
      <w:r w:rsidRPr="00FB57CF">
        <w:rPr>
          <w:rStyle w:val="Emphasis"/>
        </w:rPr>
        <w:t>Մ</w:t>
      </w:r>
      <w:r w:rsidR="00356079" w:rsidRPr="00FB57CF">
        <w:rPr>
          <w:rStyle w:val="Emphasis"/>
        </w:rPr>
        <w:t>իջին և երկարաժամկետ հատվածում ձևավորվ</w:t>
      </w:r>
      <w:r w:rsidRPr="00FB57CF">
        <w:rPr>
          <w:rStyle w:val="Emphasis"/>
        </w:rPr>
        <w:t>ել</w:t>
      </w:r>
      <w:r w:rsidR="00356079" w:rsidRPr="00FB57CF">
        <w:rPr>
          <w:rStyle w:val="Emphasis"/>
        </w:rPr>
        <w:t xml:space="preserve"> օրենսդրական հենքը, որը թույլ տա՝ ՀՊ</w:t>
      </w:r>
      <w:r w:rsidR="00356079" w:rsidRPr="00FB57CF">
        <w:rPr>
          <w:rStyle w:val="Emphasis"/>
        </w:rPr>
        <w:noBreakHyphen/>
        <w:t>ի աշխատակիցների որակավորումը ՀՀ առևտրային հատվածում ընդունված ստանդարտներին համապատասխանելու դեպքում, վարձատրության համակարգը դարձնել մասնավոր հատվածին համարժեք։</w:t>
      </w:r>
    </w:p>
    <w:p w14:paraId="6D630697" w14:textId="277B1B95" w:rsidR="00356079" w:rsidRPr="009572C6" w:rsidRDefault="00356079" w:rsidP="00035A90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41-րդ, 42-րդ հոդվածներ, «Քաղաքացիական ծառա</w:t>
      </w:r>
      <w:r w:rsidR="00F15EC4" w:rsidRPr="00FB57CF">
        <w:rPr>
          <w:rStyle w:val="IntenseEmphasis"/>
        </w:rPr>
        <w:t>յ</w:t>
      </w:r>
      <w:r w:rsidRPr="00FB57CF">
        <w:rPr>
          <w:rStyle w:val="IntenseEmphasis"/>
        </w:rPr>
        <w:t>ության մասին» ՀՀ օրենք,  «Պետական պաշտոններ զբաղեցնող անձանց վարձատրության մասին» ՀՀ օրենք, նոր օրենքի նախագծում՝ «Հաշվեքննիչ պալատում պետական ծառայության մասին»)</w:t>
      </w:r>
    </w:p>
    <w:p w14:paraId="0B00B4FC" w14:textId="77777777" w:rsidR="00C96C0B" w:rsidRPr="00FB57CF" w:rsidRDefault="00C96C0B" w:rsidP="00634E9B">
      <w:pPr>
        <w:pStyle w:val="Heading3"/>
      </w:pPr>
      <w:bookmarkStart w:id="16" w:name="_Toc109309602"/>
      <w:r w:rsidRPr="00FB57CF">
        <w:t>ՀՊ գործունեության ընթացակարգերի հստակեցում</w:t>
      </w:r>
      <w:bookmarkEnd w:id="16"/>
    </w:p>
    <w:p w14:paraId="352BF134" w14:textId="77777777" w:rsidR="00356079" w:rsidRPr="00FB57CF" w:rsidRDefault="00C96C0B" w:rsidP="00C96C0B">
      <w:r w:rsidRPr="00FB57CF">
        <w:t xml:space="preserve">ՀՊ գործունեության արդյունքների տեսակետից ազդեցություն ունեցող կարգավորումներում առկա են </w:t>
      </w:r>
      <w:r w:rsidR="00356079" w:rsidRPr="00FB57CF">
        <w:t xml:space="preserve">խնդիրներ, </w:t>
      </w:r>
      <w:r w:rsidR="00C35A99" w:rsidRPr="00FB57CF">
        <w:t>որոնց</w:t>
      </w:r>
      <w:r w:rsidR="00356079" w:rsidRPr="00FB57CF">
        <w:t xml:space="preserve"> լուծման ուղղությամբ, առաջարկվում է.</w:t>
      </w:r>
    </w:p>
    <w:p w14:paraId="71D12091" w14:textId="77777777" w:rsidR="00C35A99" w:rsidRPr="00FB57CF" w:rsidRDefault="00356079" w:rsidP="00E120ED">
      <w:pPr>
        <w:pStyle w:val="Heading4"/>
      </w:pPr>
      <w:r w:rsidRPr="00FB57CF">
        <w:t xml:space="preserve">Վերանայել  պետական բյուջեի կատարման վերաբերյալ </w:t>
      </w:r>
      <w:r w:rsidR="00FD4970" w:rsidRPr="00FB57CF">
        <w:t xml:space="preserve">եզրակացություն ձևավորելու համար իրականացվող </w:t>
      </w:r>
      <w:r w:rsidRPr="00FB57CF">
        <w:t xml:space="preserve">հաշվեքննությունների </w:t>
      </w:r>
      <w:r w:rsidR="00FD4970" w:rsidRPr="00FB57CF">
        <w:t>կարգավորումները՝ նախատեսելով պետական բյուջեի եռամսյակային/տարեկան հաշվետվությունների ֆինանսական հաշվեքննությունների միջոցով եզրակացության ձևավորման կարգավորում, ինչպես նաև հստակեցնելով այն հանգամանքը, որ գաղտնիք պարունակող հաշվեքննությունների արդյունքները չեն կարող ազդել եզրակացության վրա և չեն ներառվում եզրակացության մեջ։</w:t>
      </w:r>
    </w:p>
    <w:p w14:paraId="7EDB6238" w14:textId="7DEB2892" w:rsidR="00356079" w:rsidRPr="009572C6" w:rsidRDefault="00FD4970" w:rsidP="00FD4970">
      <w:pPr>
        <w:pStyle w:val="Subtitle"/>
        <w:rPr>
          <w:rStyle w:val="Emphasis"/>
        </w:rPr>
      </w:pPr>
      <w:r w:rsidRPr="00FB57CF">
        <w:rPr>
          <w:rStyle w:val="SubtleEmphasis"/>
        </w:rPr>
        <w:t>Հիմնավորում</w:t>
      </w:r>
      <w:r w:rsidRPr="00FB57CF">
        <w:rPr>
          <w:rStyle w:val="Emphasis"/>
        </w:rPr>
        <w:t>։ Ն</w:t>
      </w:r>
      <w:r w:rsidR="00356079" w:rsidRPr="00FB57CF">
        <w:rPr>
          <w:rStyle w:val="Emphasis"/>
        </w:rPr>
        <w:t xml:space="preserve">երկա կարգավորումը եռամսյակային հաշվեքննությունների և դրանց մասով եռամսյակային հաշվետվողականության մոտեցումն է, որտեղ նույնիսկ տարեկան կտրվածքով հաշվեքննության պահանջ սահմանված չէ: </w:t>
      </w:r>
      <w:r w:rsidRPr="00FB57CF">
        <w:rPr>
          <w:rStyle w:val="Emphasis"/>
        </w:rPr>
        <w:t>Առաջարկվում է</w:t>
      </w:r>
      <w:r w:rsidR="00356079" w:rsidRPr="00FB57CF">
        <w:rPr>
          <w:rStyle w:val="Emphasis"/>
        </w:rPr>
        <w:t xml:space="preserve"> օրենքում սահմանել, որ Հաշվեքննիչ պալատը պետական բյուջեի կատարման վերաբերյալ եզրակացություն տրամադրելու նպատակով իր գործունեության ծրագրի շրջանակներում բյուջետային գլխավոր կարգադրիչների (ԲԳԿ)՝ պետական բյուջեի կատարման հաշվետու տարվա երեք, վեց, ինը և տարեկան ֆինանսական հաշվետվություն</w:t>
      </w:r>
      <w:r w:rsidR="0047735B" w:rsidRPr="00FB57CF">
        <w:rPr>
          <w:rStyle w:val="Emphasis"/>
        </w:rPr>
        <w:softHyphen/>
      </w:r>
      <w:r w:rsidR="00356079" w:rsidRPr="00FB57CF">
        <w:rPr>
          <w:rStyle w:val="Emphasis"/>
        </w:rPr>
        <w:t xml:space="preserve">ները պետք է ենթարկի ֆինանսական հաշվեքննության՝ դրանց արդյունքում տրամադրելով </w:t>
      </w:r>
      <w:r w:rsidR="00356079" w:rsidRPr="00FB57CF">
        <w:rPr>
          <w:rStyle w:val="Emphasis"/>
        </w:rPr>
        <w:lastRenderedPageBreak/>
        <w:t xml:space="preserve">ընթացիկ եզրակացություն, որոնք հիմք կհանդիսանան բյուջեի (տարեկան) կատարման վերաբերյալ եզրակացության տրամադրման համար։ </w:t>
      </w:r>
      <w:r w:rsidRPr="00FB57CF">
        <w:rPr>
          <w:rStyle w:val="Emphasis"/>
        </w:rPr>
        <w:t>ՀՊ</w:t>
      </w:r>
      <w:r w:rsidRPr="00FB57CF">
        <w:rPr>
          <w:rStyle w:val="Emphasis"/>
        </w:rPr>
        <w:noBreakHyphen/>
      </w:r>
      <w:r w:rsidR="00D54C85" w:rsidRPr="00FB57CF">
        <w:rPr>
          <w:rStyle w:val="Emphasis"/>
        </w:rPr>
        <w:t xml:space="preserve">ի գործունեության </w:t>
      </w:r>
      <w:r w:rsidR="00356079" w:rsidRPr="00FB57CF">
        <w:rPr>
          <w:rStyle w:val="Emphasis"/>
        </w:rPr>
        <w:t>ծրագրում ԲԳԿ-ների ընտրության կարգը,  բյուջեի կատարման վերա</w:t>
      </w:r>
      <w:r w:rsidR="0047735B" w:rsidRPr="00FB57CF">
        <w:rPr>
          <w:rStyle w:val="Emphasis"/>
        </w:rPr>
        <w:softHyphen/>
      </w:r>
      <w:r w:rsidR="00356079" w:rsidRPr="00FB57CF">
        <w:rPr>
          <w:rStyle w:val="Emphasis"/>
        </w:rPr>
        <w:t>բեր</w:t>
      </w:r>
      <w:r w:rsidR="0047735B" w:rsidRPr="00FB57CF">
        <w:rPr>
          <w:rStyle w:val="Emphasis"/>
        </w:rPr>
        <w:softHyphen/>
      </w:r>
      <w:r w:rsidR="00356079" w:rsidRPr="00FB57CF">
        <w:rPr>
          <w:rStyle w:val="Emphasis"/>
        </w:rPr>
        <w:t>յալ եզրակացության նպատակով իրականացվող հաշվեքննու</w:t>
      </w:r>
      <w:r w:rsidR="0047735B" w:rsidRPr="00FB57CF">
        <w:rPr>
          <w:rStyle w:val="Emphasis"/>
        </w:rPr>
        <w:softHyphen/>
      </w:r>
      <w:r w:rsidR="00356079" w:rsidRPr="00FB57CF">
        <w:rPr>
          <w:rStyle w:val="Emphasis"/>
        </w:rPr>
        <w:t>թյուն</w:t>
      </w:r>
      <w:r w:rsidR="0047735B" w:rsidRPr="00FB57CF">
        <w:rPr>
          <w:rStyle w:val="Emphasis"/>
        </w:rPr>
        <w:softHyphen/>
      </w:r>
      <w:r w:rsidR="00356079" w:rsidRPr="00FB57CF">
        <w:rPr>
          <w:rStyle w:val="Emphasis"/>
        </w:rPr>
        <w:t>ների մեթոդաբանությունը, ինչպես նաև հաշվեքննությունների ընթացքի վերաբերյալ հրապարակայնու</w:t>
      </w:r>
      <w:r w:rsidRPr="00FB57CF">
        <w:rPr>
          <w:rStyle w:val="Emphasis"/>
        </w:rPr>
        <w:softHyphen/>
      </w:r>
      <w:r w:rsidR="00356079" w:rsidRPr="00FB57CF">
        <w:rPr>
          <w:rStyle w:val="Emphasis"/>
        </w:rPr>
        <w:t xml:space="preserve">թյան հարցերը պետք է կարգավորվեն Հաշվեքննիչ պալատի ներքին իրավական ակտերով։  Այս հաշվեքննությունների մասով՝ օրենքով գաղտնիք համարվող տեղեկատվություն պարունակող հաշվեքննությունների արդյունքները ներկայացվում են Ազգային ժողովին և կառավարությանը սահմանված ընթացակարգով, ինչպես նաև դրանք չեն ներառվում պետական բյուջեի կատարման վերաբերյալ եզրակացության մեջ և չեն ազդում հաշվեքննության կարծիքի ձևավորման վրա։ </w:t>
      </w:r>
    </w:p>
    <w:p w14:paraId="4153EED0" w14:textId="77777777" w:rsidR="00356079" w:rsidRPr="009572C6" w:rsidRDefault="00356079" w:rsidP="00FD4970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գլուխ 1-4-րդ)</w:t>
      </w:r>
    </w:p>
    <w:p w14:paraId="4BFD6DC4" w14:textId="77777777" w:rsidR="005B15E9" w:rsidRPr="00FB57CF" w:rsidRDefault="005B15E9" w:rsidP="005B15E9">
      <w:pPr>
        <w:pStyle w:val="Heading3"/>
      </w:pPr>
      <w:bookmarkStart w:id="17" w:name="_Toc109309603"/>
      <w:r w:rsidRPr="00FB57CF">
        <w:rPr>
          <w:iCs/>
        </w:rPr>
        <w:t xml:space="preserve">Իրավական </w:t>
      </w:r>
      <w:r w:rsidR="00C864A3" w:rsidRPr="00FB57CF">
        <w:rPr>
          <w:iCs/>
        </w:rPr>
        <w:t>հակասությունների (</w:t>
      </w:r>
      <w:r w:rsidRPr="00FB57CF">
        <w:rPr>
          <w:iCs/>
        </w:rPr>
        <w:t>կոլիզիաներ</w:t>
      </w:r>
      <w:r w:rsidR="00C864A3" w:rsidRPr="00FB57CF">
        <w:rPr>
          <w:iCs/>
        </w:rPr>
        <w:t xml:space="preserve">) և բացերի ու </w:t>
      </w:r>
      <w:r w:rsidRPr="00FB57CF">
        <w:rPr>
          <w:iCs/>
        </w:rPr>
        <w:t>տեխնիկական մանրամասների շտկում</w:t>
      </w:r>
      <w:bookmarkEnd w:id="17"/>
    </w:p>
    <w:p w14:paraId="5468C7A0" w14:textId="77777777" w:rsidR="00B335C3" w:rsidRPr="00FB57CF" w:rsidRDefault="00B335C3" w:rsidP="005B15E9">
      <w:r w:rsidRPr="00FB57CF">
        <w:t xml:space="preserve">ՀՊ </w:t>
      </w:r>
      <w:r w:rsidR="00BC0596" w:rsidRPr="00FB57CF">
        <w:t xml:space="preserve">օրենքում տեղ </w:t>
      </w:r>
      <w:r w:rsidR="005B15E9" w:rsidRPr="00FB57CF">
        <w:t>են գտել դրույթներ</w:t>
      </w:r>
      <w:r w:rsidR="00BC0596" w:rsidRPr="00FB57CF">
        <w:t xml:space="preserve">, </w:t>
      </w:r>
      <w:r w:rsidR="005B15E9" w:rsidRPr="00FB57CF">
        <w:t xml:space="preserve">որոնք տարբերվում են </w:t>
      </w:r>
      <w:r w:rsidR="00BC0596" w:rsidRPr="00FB57CF">
        <w:t>միջազգային ստանդարտներ</w:t>
      </w:r>
      <w:r w:rsidR="005B15E9" w:rsidRPr="00FB57CF">
        <w:t>ով առաջարկվող լուծումներից</w:t>
      </w:r>
      <w:r w:rsidR="00BC0596" w:rsidRPr="00FB57CF">
        <w:t>, ինչպես նաև օրենքի</w:t>
      </w:r>
      <w:r w:rsidRPr="00FB57CF">
        <w:t xml:space="preserve"> կիրառության ընթացքում </w:t>
      </w:r>
      <w:r w:rsidR="00C864A3" w:rsidRPr="00FB57CF">
        <w:t xml:space="preserve">պարզվել է, որ կարգավորումներում առկա են </w:t>
      </w:r>
      <w:r w:rsidR="00BC0596" w:rsidRPr="00FB57CF">
        <w:t xml:space="preserve">իրավական </w:t>
      </w:r>
      <w:r w:rsidR="00C864A3" w:rsidRPr="00FB57CF">
        <w:t>հակասությունների (</w:t>
      </w:r>
      <w:r w:rsidR="00BC0596" w:rsidRPr="00FB57CF">
        <w:t>կոլիզիաներ</w:t>
      </w:r>
      <w:r w:rsidR="00C864A3" w:rsidRPr="00FB57CF">
        <w:t>)</w:t>
      </w:r>
      <w:r w:rsidR="00BC0596" w:rsidRPr="00FB57CF">
        <w:t xml:space="preserve"> </w:t>
      </w:r>
      <w:r w:rsidR="00C864A3" w:rsidRPr="00FB57CF">
        <w:t>և բացերի, ինչպես նա</w:t>
      </w:r>
      <w:r w:rsidR="00BC0596" w:rsidRPr="00FB57CF">
        <w:t xml:space="preserve">և </w:t>
      </w:r>
      <w:r w:rsidRPr="00FB57CF">
        <w:t xml:space="preserve">տեխնիկական </w:t>
      </w:r>
      <w:r w:rsidR="00C864A3" w:rsidRPr="00FB57CF">
        <w:t xml:space="preserve">անճշտությունների </w:t>
      </w:r>
      <w:r w:rsidR="00BC0596" w:rsidRPr="00FB57CF">
        <w:t>հետ կապված խնդիրներ, որոնց լուծման համար առաջարկվում է</w:t>
      </w:r>
      <w:r w:rsidR="00BC0596" w:rsidRPr="009572C6">
        <w:rPr>
          <w:rFonts w:ascii="MS Mincho" w:eastAsia="MS Mincho" w:hAnsi="MS Mincho" w:cs="MS Mincho"/>
        </w:rPr>
        <w:t>․</w:t>
      </w:r>
    </w:p>
    <w:p w14:paraId="3CBD4BCF" w14:textId="3E09F2B5" w:rsidR="00D54C85" w:rsidRPr="00FB57CF" w:rsidRDefault="00D54C85" w:rsidP="00E120ED">
      <w:pPr>
        <w:pStyle w:val="Heading4"/>
        <w:rPr>
          <w:sz w:val="28"/>
        </w:rPr>
      </w:pPr>
      <w:r w:rsidRPr="00FB57CF">
        <w:rPr>
          <w:rFonts w:cs="Sylfaen"/>
          <w:szCs w:val="22"/>
          <w:lang w:val="es-ES_tradnl"/>
        </w:rPr>
        <w:t xml:space="preserve">ՀՊ-ի լիազորությունների շարքում նախատեսել արտաքին պետական հաշվեքննության ոլորտին առնչվող օրենսդրական առաջարկություններով հանդես գալու, հայեցակարգեր մշակելու, ՀՊ-ի ռազմավարությունը հաստատելու </w:t>
      </w:r>
      <w:r w:rsidRPr="00FB57CF">
        <w:rPr>
          <w:rFonts w:cs="Sylfaen"/>
          <w:bCs/>
          <w:szCs w:val="22"/>
          <w:lang w:val="es-ES_tradnl"/>
        </w:rPr>
        <w:t>ֆորմալ</w:t>
      </w:r>
      <w:r w:rsidRPr="00FB57CF">
        <w:rPr>
          <w:rFonts w:cs="Sylfaen"/>
          <w:szCs w:val="22"/>
          <w:lang w:val="es-ES_tradnl"/>
        </w:rPr>
        <w:t xml:space="preserve"> լիազորություններ:</w:t>
      </w:r>
    </w:p>
    <w:p w14:paraId="52BF33A5" w14:textId="0B5AFD8A" w:rsidR="00356079" w:rsidRPr="00FB57CF" w:rsidRDefault="00BC0596" w:rsidP="00E120ED">
      <w:pPr>
        <w:pStyle w:val="Heading4"/>
      </w:pPr>
      <w:r w:rsidRPr="00FB57CF">
        <w:t>Վերանայել զ</w:t>
      </w:r>
      <w:r w:rsidR="00356079" w:rsidRPr="00FB57CF">
        <w:t xml:space="preserve">ննման և դիտարկման ընթացակարգերի </w:t>
      </w:r>
      <w:r w:rsidRPr="00FB57CF">
        <w:t>կարգավորումները</w:t>
      </w:r>
      <w:r w:rsidR="00356079" w:rsidRPr="00FB57CF">
        <w:t xml:space="preserve">` </w:t>
      </w:r>
      <w:r w:rsidRPr="00FB57CF">
        <w:t>նախատեսելով դրանց փոխարինում</w:t>
      </w:r>
      <w:r w:rsidR="00356079" w:rsidRPr="00FB57CF">
        <w:t xml:space="preserve"> «հաշվեքննու</w:t>
      </w:r>
      <w:r w:rsidR="0047735B" w:rsidRPr="00FB57CF">
        <w:softHyphen/>
      </w:r>
      <w:r w:rsidR="00356079" w:rsidRPr="00FB57CF">
        <w:t>թյան օբյեկտի աշխատավայրում իրականացվող հաշվեքննության ընթացակարգ»</w:t>
      </w:r>
      <w:r w:rsidRPr="00FB57CF">
        <w:t xml:space="preserve">-ով, ինչպես նաև հանելով </w:t>
      </w:r>
      <w:r w:rsidR="00356079" w:rsidRPr="00FB57CF">
        <w:t xml:space="preserve">այդ </w:t>
      </w:r>
      <w:r w:rsidRPr="00FB57CF">
        <w:t>մասի հետ կապված</w:t>
      </w:r>
      <w:r w:rsidR="00356079" w:rsidRPr="00FB57CF">
        <w:t xml:space="preserve"> ժամկետային </w:t>
      </w:r>
      <w:r w:rsidRPr="00FB57CF">
        <w:t>սահմանափակումները</w:t>
      </w:r>
      <w:r w:rsidR="00356079" w:rsidRPr="00FB57CF">
        <w:t>:</w:t>
      </w:r>
      <w:r w:rsidR="00356079" w:rsidRPr="00FB57CF">
        <w:tab/>
      </w:r>
    </w:p>
    <w:p w14:paraId="0C2D17B6" w14:textId="77777777" w:rsidR="00356079" w:rsidRPr="009572C6" w:rsidRDefault="00356079" w:rsidP="00BC059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1-ին հոդվածի 1-ին մաս, 34-րդ հոդվածի 6-րդ մաս)</w:t>
      </w:r>
    </w:p>
    <w:p w14:paraId="38F361A2" w14:textId="77777777" w:rsidR="00356079" w:rsidRPr="00FB57CF" w:rsidRDefault="00356079" w:rsidP="00E120ED">
      <w:pPr>
        <w:pStyle w:val="Heading4"/>
      </w:pPr>
      <w:r w:rsidRPr="00FB57CF">
        <w:lastRenderedPageBreak/>
        <w:t>Վերանայել ՀՊ օրենքով սահմանված «Համապատասխանության» հաշվեքննության արդյունքում կարծիք (եզրահանգում) ներկայացնելու պարտադիր պահանջը:</w:t>
      </w:r>
    </w:p>
    <w:p w14:paraId="6BF54663" w14:textId="77777777" w:rsidR="00356079" w:rsidRPr="009572C6" w:rsidRDefault="00356079" w:rsidP="00BC059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26-27-րդ հոդվածներ)</w:t>
      </w:r>
    </w:p>
    <w:p w14:paraId="3B9A2932" w14:textId="381ABF19" w:rsidR="00356079" w:rsidRPr="00FB57CF" w:rsidRDefault="00356079" w:rsidP="00E120ED">
      <w:pPr>
        <w:pStyle w:val="Heading4"/>
      </w:pPr>
      <w:r w:rsidRPr="00FB57CF">
        <w:t>Համապատասխանեցնել ՀՊ օրենքով նախատեսված հաշվեքննության կարծիքների (եզրահանգումների) սահմանումները INTOSAI</w:t>
      </w:r>
      <w:r w:rsidR="00D54C85" w:rsidRPr="00FB57CF">
        <w:t>-ի</w:t>
      </w:r>
      <w:r w:rsidRPr="00FB57CF">
        <w:t xml:space="preserve"> ստանդարտների պահանջներին:</w:t>
      </w:r>
    </w:p>
    <w:p w14:paraId="242B25ED" w14:textId="77777777" w:rsidR="00356079" w:rsidRPr="009572C6" w:rsidRDefault="00356079" w:rsidP="00BC059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26-27-րդ հոդվածներ)</w:t>
      </w:r>
    </w:p>
    <w:p w14:paraId="265AC8DF" w14:textId="24FAAF0D" w:rsidR="00356079" w:rsidRPr="00FB57CF" w:rsidRDefault="00BC0596" w:rsidP="00E120ED">
      <w:pPr>
        <w:pStyle w:val="Heading4"/>
      </w:pPr>
      <w:r w:rsidRPr="00FB57CF">
        <w:t>Վերանայել ՀՊ օ</w:t>
      </w:r>
      <w:r w:rsidR="00356079" w:rsidRPr="00FB57CF">
        <w:t xml:space="preserve">րենքում առկա </w:t>
      </w:r>
      <w:r w:rsidRPr="00FB57CF">
        <w:t xml:space="preserve">հասկացությունների </w:t>
      </w:r>
      <w:r w:rsidR="00356079" w:rsidRPr="00FB57CF">
        <w:t>սահմանումներ</w:t>
      </w:r>
      <w:r w:rsidRPr="00FB57CF">
        <w:t>ը՝ համապատասխանեցնելով միջազգային ստանդարտներին</w:t>
      </w:r>
      <w:r w:rsidR="00356079" w:rsidRPr="00FB57CF">
        <w:t xml:space="preserve"> (օրինակ՝ հաշվեքննության առարկայի, առաջադրանքի սահմանումները</w:t>
      </w:r>
      <w:r w:rsidRPr="00FB57CF">
        <w:t xml:space="preserve"> չեն արտահայտում </w:t>
      </w:r>
      <w:r w:rsidR="00532D8D" w:rsidRPr="00FB57CF">
        <w:t>դրանց բովանդակությունը</w:t>
      </w:r>
      <w:r w:rsidR="00356079" w:rsidRPr="00FB57CF">
        <w:t>)</w:t>
      </w:r>
      <w:r w:rsidR="00532D8D" w:rsidRPr="00FB57CF">
        <w:t xml:space="preserve">, ինչպես նաև լրացուցիչ սահմանել օգտագործվող </w:t>
      </w:r>
      <w:r w:rsidR="00356079" w:rsidRPr="00FB57CF">
        <w:t>հասկացություններ</w:t>
      </w:r>
      <w:r w:rsidR="00532D8D" w:rsidRPr="00FB57CF">
        <w:t>ը</w:t>
      </w:r>
      <w:r w:rsidR="00356079" w:rsidRPr="00FB57CF">
        <w:t xml:space="preserve"> (օրինակ՝ խեղաթյու</w:t>
      </w:r>
      <w:r w:rsidR="0047735B" w:rsidRPr="00FB57CF">
        <w:softHyphen/>
      </w:r>
      <w:r w:rsidR="00356079" w:rsidRPr="00FB57CF">
        <w:t>րում, անհամապատասխանություն, արձանագրության վերաբերյալ դիրքորոշումը և այլն):</w:t>
      </w:r>
    </w:p>
    <w:p w14:paraId="03D8C957" w14:textId="77777777" w:rsidR="00356079" w:rsidRPr="009572C6" w:rsidRDefault="00356079" w:rsidP="00BC0596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 xml:space="preserve"> 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օրենքի 1-ին հոդվածի 1-ին մաս)</w:t>
      </w:r>
    </w:p>
    <w:p w14:paraId="2EB0B62B" w14:textId="77777777" w:rsidR="00356079" w:rsidRPr="00FB57CF" w:rsidRDefault="00B13E27" w:rsidP="00E120ED">
      <w:pPr>
        <w:pStyle w:val="Heading4"/>
      </w:pPr>
      <w:r w:rsidRPr="00FB57CF">
        <w:t xml:space="preserve">ՀՊ օրենքում նախատեսել լրացուցիչ կարգավորում՝ ՀՊ-ին </w:t>
      </w:r>
      <w:r w:rsidR="00356079" w:rsidRPr="00FB57CF">
        <w:t>ՀՀ միջազգային պայմանագրերով իրեն վերապահված լիազորությունների և պարտականությունների կատարման գործառույթ</w:t>
      </w:r>
      <w:r w:rsidRPr="00FB57CF">
        <w:t xml:space="preserve"> վերապահելու նպատակով</w:t>
      </w:r>
      <w:r w:rsidR="00356079" w:rsidRPr="00FB57CF">
        <w:t>:</w:t>
      </w:r>
      <w:r w:rsidR="00356079" w:rsidRPr="00FB57CF">
        <w:tab/>
      </w:r>
    </w:p>
    <w:p w14:paraId="4C4965DD" w14:textId="77777777" w:rsidR="00356079" w:rsidRPr="009572C6" w:rsidRDefault="00356079" w:rsidP="00B13E27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ab/>
        <w:t>(հղում` ՀՊ օրենքի 4-րդ հոդվածի 1-ին մաս)</w:t>
      </w:r>
    </w:p>
    <w:p w14:paraId="36D5ABBF" w14:textId="082F425E" w:rsidR="00356079" w:rsidRPr="00FB57CF" w:rsidRDefault="00356079" w:rsidP="00E120ED">
      <w:pPr>
        <w:pStyle w:val="Heading4"/>
      </w:pPr>
      <w:r w:rsidRPr="00FB57CF">
        <w:t>Ավելացնել «բարեվարքության սկզբունքը», որպես՝ ՀՊ գործունեության հիմնարար սկզբունքներից մեկը:</w:t>
      </w:r>
    </w:p>
    <w:p w14:paraId="3E2A9DC5" w14:textId="77777777" w:rsidR="00356079" w:rsidRPr="009572C6" w:rsidRDefault="00356079" w:rsidP="00B13E27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(հղում` ՀՊ օրենքի 2-րդ գլուխ)</w:t>
      </w:r>
    </w:p>
    <w:p w14:paraId="03F3712D" w14:textId="3880850E" w:rsidR="00356079" w:rsidRPr="00FB57CF" w:rsidRDefault="00356079" w:rsidP="00E120ED">
      <w:pPr>
        <w:pStyle w:val="Heading4"/>
      </w:pPr>
      <w:r w:rsidRPr="00FB57CF">
        <w:t>Սահմանել ՀՊ-ում հանրային հատվածի ներքին աուդիտի համակարգից անկախ ներքին աուդիտի  գործառույթի մասին դրույթ՝ հանելով որակի կառավարման համակարգի (INTOSAI ստանդարտների իմաստով) ոչ հասկանալի սահմանումը</w:t>
      </w:r>
      <w:r w:rsidR="00D54C85" w:rsidRPr="00FB57CF">
        <w:t>:</w:t>
      </w:r>
      <w:r w:rsidRPr="00FB57CF">
        <w:tab/>
      </w:r>
    </w:p>
    <w:p w14:paraId="2D498053" w14:textId="77777777" w:rsidR="00356079" w:rsidRPr="009572C6" w:rsidRDefault="00356079" w:rsidP="00B13E27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D57E5D" w:rsidRPr="00FB57CF">
        <w:rPr>
          <w:rStyle w:val="IntenseEmphasis"/>
        </w:rPr>
        <w:t>հղում</w:t>
      </w:r>
      <w:r w:rsidRPr="00FB57CF">
        <w:rPr>
          <w:rStyle w:val="IntenseEmphasis"/>
        </w:rPr>
        <w:t>` ՀՊ օրենք 21-րդ և 23-րդ հոդված, «Ներքին աուդիտի մասին» ՀՀ օրենք)</w:t>
      </w:r>
    </w:p>
    <w:p w14:paraId="77CCB3BC" w14:textId="5D1B5BC0" w:rsidR="00B13E27" w:rsidRPr="00FB57CF" w:rsidRDefault="00356079" w:rsidP="00E120ED">
      <w:pPr>
        <w:pStyle w:val="Heading4"/>
        <w:rPr>
          <w:rStyle w:val="IntenseEmphasis"/>
          <w:rFonts w:eastAsia="Times New Roman"/>
          <w:lang w:eastAsia="ru-RU"/>
        </w:rPr>
      </w:pPr>
      <w:r w:rsidRPr="009572C6">
        <w:t xml:space="preserve">Վերանայել </w:t>
      </w:r>
      <w:r w:rsidR="00B13E27" w:rsidRPr="00FB57CF">
        <w:t xml:space="preserve">հաշվեքննության </w:t>
      </w:r>
      <w:r w:rsidRPr="00FB57CF">
        <w:t>ընթացիկ եզրակացությ</w:t>
      </w:r>
      <w:r w:rsidR="00B13E27" w:rsidRPr="00FB57CF">
        <w:t>ունը</w:t>
      </w:r>
      <w:r w:rsidRPr="00FB57CF">
        <w:t xml:space="preserve"> ՀՀ ԱԺ երկրորդ անգամ ուղարկելու հատվածը՝ թողնելով միայն հաշվեքննության օբյեկտի պատասխանի ուղարկումը</w:t>
      </w:r>
      <w:r w:rsidR="000A0D3C" w:rsidRPr="00FB57CF">
        <w:t>:</w:t>
      </w:r>
      <w:r w:rsidRPr="00FB57CF">
        <w:rPr>
          <w:rStyle w:val="IntenseEmphasis"/>
          <w:rFonts w:eastAsia="Times New Roman"/>
          <w:lang w:eastAsia="ru-RU"/>
        </w:rPr>
        <w:tab/>
      </w:r>
    </w:p>
    <w:p w14:paraId="03182D5C" w14:textId="77777777" w:rsidR="00356079" w:rsidRPr="009572C6" w:rsidRDefault="00356079" w:rsidP="00B13E27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lastRenderedPageBreak/>
        <w:t>(հղում` ՀՊ օրենքի 26-րդ հոդվածի 7-րդ մաս)</w:t>
      </w:r>
    </w:p>
    <w:p w14:paraId="5190D1DA" w14:textId="77777777" w:rsidR="00356079" w:rsidRPr="00FB57CF" w:rsidRDefault="00D41F6B" w:rsidP="00E120ED">
      <w:pPr>
        <w:pStyle w:val="Heading4"/>
      </w:pPr>
      <w:r w:rsidRPr="00FB57CF">
        <w:t>Վերանայել եզրակացության կառուցվածքը՝ նախատեսելով, որ աուդիտորական կարծիքը կզետեղվի եզրակացության սկզբում։</w:t>
      </w:r>
    </w:p>
    <w:p w14:paraId="3BCF7137" w14:textId="77777777" w:rsidR="00356079" w:rsidRPr="009572C6" w:rsidRDefault="00356079" w:rsidP="00D41F6B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(հղում` ՀՊ օրենքի 27-րդ հոդվածի 2-րդ մաս)</w:t>
      </w:r>
    </w:p>
    <w:p w14:paraId="20370D5F" w14:textId="77777777" w:rsidR="00356079" w:rsidRPr="00FB57CF" w:rsidRDefault="00356079" w:rsidP="00E120ED">
      <w:pPr>
        <w:pStyle w:val="Heading4"/>
      </w:pPr>
      <w:r w:rsidRPr="00FB57CF">
        <w:t>Վերանայել</w:t>
      </w:r>
      <w:r w:rsidR="003367D7" w:rsidRPr="00FB57CF">
        <w:t xml:space="preserve"> տարեկան հաղորդմանը վերաբերող կարգավորումներն այնպես, որպեսզի հաղորդումը չսահմանափակվի մինչև ապրիլի 1-ն ավարտված հաշվեքննությունների արդյունքների ներկայացմամբ։ </w:t>
      </w:r>
    </w:p>
    <w:p w14:paraId="7B08A670" w14:textId="77777777" w:rsidR="00356079" w:rsidRPr="009572C6" w:rsidRDefault="00356079" w:rsidP="00D41F6B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  <w:i w:val="0"/>
        </w:rPr>
        <w:t xml:space="preserve">(հղում` </w:t>
      </w:r>
      <w:r w:rsidRPr="00FB57CF">
        <w:rPr>
          <w:rStyle w:val="IntenseEmphasis"/>
        </w:rPr>
        <w:t>ՀՊ օրենքի 28-րդ հոդվածի 2-րդ մաս)</w:t>
      </w:r>
    </w:p>
    <w:p w14:paraId="15E607FB" w14:textId="4BAE7E2A" w:rsidR="00356079" w:rsidRPr="00FB57CF" w:rsidRDefault="00356079" w:rsidP="00E120ED">
      <w:pPr>
        <w:pStyle w:val="Heading4"/>
      </w:pPr>
      <w:r w:rsidRPr="00FB57CF">
        <w:t xml:space="preserve">Օրենքում տեղ են գտել նաև մի շարք </w:t>
      </w:r>
      <w:r w:rsidR="003367D7" w:rsidRPr="00FB57CF">
        <w:t xml:space="preserve">խիստ </w:t>
      </w:r>
      <w:r w:rsidRPr="00FB57CF">
        <w:t>տեխնիկական բնույթի խնդիրներ</w:t>
      </w:r>
      <w:r w:rsidR="003367D7" w:rsidRPr="00FB57CF">
        <w:t>, որոնք նույնպես լուծման կարիք ունեն</w:t>
      </w:r>
      <w:r w:rsidR="00EA3AC3" w:rsidRPr="00FB57CF">
        <w:t>։ Ստորև</w:t>
      </w:r>
      <w:r w:rsidR="00382F2E" w:rsidRPr="00FB57CF">
        <w:rPr>
          <w:lang w:val="en-US"/>
        </w:rPr>
        <w:t xml:space="preserve"> </w:t>
      </w:r>
      <w:r w:rsidR="00EA3AC3" w:rsidRPr="00FB57CF">
        <w:t>ներկայացված են որոշ օրինակներ։</w:t>
      </w:r>
    </w:p>
    <w:p w14:paraId="34CCF43D" w14:textId="77777777" w:rsidR="00EA3AC3" w:rsidRPr="009572C6" w:rsidRDefault="00356079" w:rsidP="00CC175E">
      <w:pPr>
        <w:pStyle w:val="Subtitle"/>
        <w:numPr>
          <w:ilvl w:val="0"/>
          <w:numId w:val="3"/>
        </w:numPr>
        <w:spacing w:line="240" w:lineRule="auto"/>
        <w:ind w:left="1620"/>
        <w:rPr>
          <w:rStyle w:val="Emphasis"/>
        </w:rPr>
      </w:pPr>
      <w:r w:rsidRPr="00FB57CF">
        <w:rPr>
          <w:rStyle w:val="Emphasis"/>
        </w:rPr>
        <w:t xml:space="preserve">Հաշվեքննության օբյեկտի ղեկավարի կողմից ներկայացված «բացատրություններ» բառից առաջ </w:t>
      </w:r>
      <w:r w:rsidR="00EA3AC3" w:rsidRPr="00FB57CF">
        <w:rPr>
          <w:rStyle w:val="Emphasis"/>
        </w:rPr>
        <w:t>առաջարկվում է ավելացնել</w:t>
      </w:r>
      <w:r w:rsidRPr="00FB57CF">
        <w:rPr>
          <w:rStyle w:val="Emphasis"/>
        </w:rPr>
        <w:t xml:space="preserve"> «և դրանց մասով» բառերը, քանի որ երբեմն հաշվեքննության օբյեկտի ներկայացուցչի համար հասկանալի չէ, թե ինչ բացատրություն պետք է տա՝ շատ դեպքերում ներկայացնելով պատճառաբանություններ կամ ավելորդ տեղեկատվություն, որը չի վերաբերում արձանագրված փաստին։ </w:t>
      </w:r>
    </w:p>
    <w:p w14:paraId="35C289A6" w14:textId="38F05963" w:rsidR="00356079" w:rsidRPr="009572C6" w:rsidRDefault="00356079" w:rsidP="00EA3AC3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>(</w:t>
      </w:r>
      <w:r w:rsidR="0047735B" w:rsidRPr="00FB57CF">
        <w:rPr>
          <w:rStyle w:val="IntenseEmphasis"/>
        </w:rPr>
        <w:t>հղում՝</w:t>
      </w:r>
      <w:r w:rsidRPr="00FB57CF">
        <w:rPr>
          <w:rStyle w:val="IntenseEmphasis"/>
        </w:rPr>
        <w:t xml:space="preserve"> ՀՊ օրենքի 26-րդ, 35-րդ և 38-րդ հոդվածներ)։</w:t>
      </w:r>
    </w:p>
    <w:p w14:paraId="032775B5" w14:textId="77777777" w:rsidR="00356079" w:rsidRPr="009572C6" w:rsidRDefault="00EA3AC3" w:rsidP="00CC175E">
      <w:pPr>
        <w:pStyle w:val="Subtitle"/>
        <w:numPr>
          <w:ilvl w:val="0"/>
          <w:numId w:val="3"/>
        </w:numPr>
        <w:spacing w:line="240" w:lineRule="auto"/>
        <w:ind w:left="1620"/>
        <w:rPr>
          <w:rStyle w:val="Emphasis"/>
          <w:iCs w:val="0"/>
        </w:rPr>
      </w:pPr>
      <w:r w:rsidRPr="00FB57CF">
        <w:rPr>
          <w:rStyle w:val="Emphasis"/>
          <w:iCs w:val="0"/>
        </w:rPr>
        <w:t>Դրույթներից մեկով սահմանված է</w:t>
      </w:r>
      <w:r w:rsidR="00356079" w:rsidRPr="00FB57CF">
        <w:rPr>
          <w:rStyle w:val="Emphasis"/>
          <w:iCs w:val="0"/>
        </w:rPr>
        <w:t>, որ «հաշվեքննության ավարտից հետո» ստորաբաժանման ղեկավարը ներկայացնում է ընթացիկ եզրակացությունը, մինչդեռ հաշվեքննությունն ավարտվում է միայն ընթացիկ եզրակացության հաստատմամբ, և այլն։</w:t>
      </w:r>
    </w:p>
    <w:p w14:paraId="1BDB5069" w14:textId="7B21A48E" w:rsidR="00EA3AC3" w:rsidRPr="009572C6" w:rsidRDefault="0047735B" w:rsidP="00EA3AC3">
      <w:pPr>
        <w:pStyle w:val="mechtex"/>
        <w:ind w:left="1170" w:firstLine="0"/>
        <w:jc w:val="left"/>
        <w:rPr>
          <w:rStyle w:val="IntenseEmphasis"/>
        </w:rPr>
      </w:pPr>
      <w:r w:rsidRPr="00FB57CF">
        <w:rPr>
          <w:rStyle w:val="IntenseEmphasis"/>
        </w:rPr>
        <w:t xml:space="preserve">(հղում` </w:t>
      </w:r>
      <w:r w:rsidR="00EA3AC3" w:rsidRPr="00FB57CF">
        <w:rPr>
          <w:rStyle w:val="IntenseEmphasis"/>
        </w:rPr>
        <w:t xml:space="preserve">ՀՊ </w:t>
      </w:r>
      <w:r w:rsidR="005A6B57" w:rsidRPr="00FB57CF">
        <w:rPr>
          <w:rStyle w:val="IntenseEmphasis"/>
        </w:rPr>
        <w:t>օրենքի 26-րդ հոդվածի 1-ին մաս</w:t>
      </w:r>
      <w:r w:rsidRPr="00FB57CF">
        <w:rPr>
          <w:rStyle w:val="IntenseEmphasis"/>
        </w:rPr>
        <w:t>)</w:t>
      </w:r>
    </w:p>
    <w:p w14:paraId="47A893B4" w14:textId="35D60AB0" w:rsidR="00D447C5" w:rsidRPr="00FB57CF" w:rsidRDefault="0032364F" w:rsidP="0032364F">
      <w:pPr>
        <w:tabs>
          <w:tab w:val="left" w:pos="6870"/>
        </w:tabs>
      </w:pPr>
      <w:r w:rsidRPr="00FB57CF">
        <w:tab/>
      </w:r>
    </w:p>
    <w:sectPr w:rsidR="00D447C5" w:rsidRPr="00FB57CF" w:rsidSect="008C1F43">
      <w:pgSz w:w="11906" w:h="16838" w:code="9"/>
      <w:pgMar w:top="1440" w:right="1440" w:bottom="1440" w:left="1440" w:header="54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188B" w14:textId="77777777" w:rsidR="007D1631" w:rsidRDefault="007D1631" w:rsidP="007859DB">
      <w:r>
        <w:separator/>
      </w:r>
    </w:p>
  </w:endnote>
  <w:endnote w:type="continuationSeparator" w:id="0">
    <w:p w14:paraId="15B7F29F" w14:textId="77777777" w:rsidR="007D1631" w:rsidRDefault="007D1631" w:rsidP="007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6F71" w14:textId="77777777" w:rsidR="00035A90" w:rsidRDefault="00035A90" w:rsidP="00931E75">
    <w:pPr>
      <w:pBdr>
        <w:top w:val="thinThickSmallGap" w:sz="12" w:space="1" w:color="auto"/>
      </w:pBd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8F55" w14:textId="6D546160" w:rsidR="00035A90" w:rsidRDefault="00035A90" w:rsidP="00E85C77">
    <w:pPr>
      <w:pStyle w:val="Footer"/>
      <w:pBdr>
        <w:top w:val="thinThickSmallGap" w:sz="12" w:space="1" w:color="auto"/>
      </w:pBd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82957">
      <w:rPr>
        <w:noProof/>
      </w:rPr>
      <w:t>2</w:t>
    </w:r>
    <w:r>
      <w:fldChar w:fldCharType="end"/>
    </w:r>
    <w:r>
      <w:t>(</w:t>
    </w:r>
    <w:fldSimple w:instr=" NUMPAGES   \* MERGEFORMAT ">
      <w:r w:rsidR="00B82957">
        <w:rPr>
          <w:noProof/>
        </w:rPr>
        <w:t>21</w:t>
      </w:r>
    </w:fldSimple>
    <w:r>
      <w:t>)</w:t>
    </w:r>
  </w:p>
  <w:p w14:paraId="277D93C3" w14:textId="77777777" w:rsidR="00035A90" w:rsidRDefault="00035A90" w:rsidP="007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F0B4" w14:textId="77777777" w:rsidR="007D1631" w:rsidRDefault="007D1631" w:rsidP="007859DB">
      <w:r>
        <w:separator/>
      </w:r>
    </w:p>
  </w:footnote>
  <w:footnote w:type="continuationSeparator" w:id="0">
    <w:p w14:paraId="1303EE9C" w14:textId="77777777" w:rsidR="007D1631" w:rsidRDefault="007D1631" w:rsidP="007859DB">
      <w:r>
        <w:continuationSeparator/>
      </w:r>
    </w:p>
  </w:footnote>
  <w:footnote w:id="1">
    <w:p w14:paraId="72F0C531" w14:textId="77777777" w:rsidR="00035A90" w:rsidRPr="00271EE5" w:rsidRDefault="00035A90" w:rsidP="007859DB">
      <w:pPr>
        <w:pStyle w:val="FootnoteText"/>
      </w:pPr>
      <w:r w:rsidRPr="00271EE5">
        <w:rPr>
          <w:rStyle w:val="FootnoteReference"/>
          <w:i/>
        </w:rPr>
        <w:footnoteRef/>
      </w:r>
      <w:r w:rsidRPr="00271EE5">
        <w:t xml:space="preserve"> «Հաշվեքննիչ պալատի մասին» ՀՀ օրենք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7CF5" w14:textId="77777777" w:rsidR="009572C6" w:rsidRDefault="009572C6" w:rsidP="006E21B9">
    <w:pPr>
      <w:pStyle w:val="Head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Հ</w:t>
    </w:r>
    <w:r w:rsidR="00FA2771" w:rsidRPr="0039613A">
      <w:rPr>
        <w:i/>
        <w:sz w:val="16"/>
        <w:szCs w:val="16"/>
        <w:lang w:val="en-US"/>
      </w:rPr>
      <w:t xml:space="preserve">ավելված </w:t>
    </w:r>
  </w:p>
  <w:p w14:paraId="5D96F3A5" w14:textId="77777777" w:rsidR="009572C6" w:rsidRDefault="0039613A" w:rsidP="006E21B9">
    <w:pPr>
      <w:pStyle w:val="Head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ՀՀ հաշվեքննիչ պալատի</w:t>
    </w:r>
    <w:r w:rsidR="00FA2771" w:rsidRPr="0039613A">
      <w:rPr>
        <w:i/>
        <w:sz w:val="16"/>
        <w:szCs w:val="16"/>
        <w:lang w:val="en-US"/>
      </w:rPr>
      <w:t xml:space="preserve"> </w:t>
    </w:r>
  </w:p>
  <w:p w14:paraId="7D88034B" w14:textId="1FB5EBBA" w:rsidR="00FA2771" w:rsidRPr="0039613A" w:rsidRDefault="00FA2771" w:rsidP="006E21B9">
    <w:pPr>
      <w:pStyle w:val="Header"/>
      <w:jc w:val="right"/>
      <w:rPr>
        <w:i/>
        <w:sz w:val="16"/>
        <w:szCs w:val="16"/>
        <w:lang w:val="en-US"/>
      </w:rPr>
    </w:pPr>
    <w:r w:rsidRPr="0039613A">
      <w:rPr>
        <w:i/>
        <w:sz w:val="16"/>
        <w:szCs w:val="16"/>
        <w:lang w:val="en-US"/>
      </w:rPr>
      <w:t xml:space="preserve">2022թ. </w:t>
    </w:r>
    <w:r w:rsidR="009572C6">
      <w:rPr>
        <w:i/>
        <w:sz w:val="16"/>
        <w:szCs w:val="16"/>
        <w:lang w:val="en-US"/>
      </w:rPr>
      <w:t>սեպտեմբերի 14-</w:t>
    </w:r>
    <w:r w:rsidRPr="0039613A">
      <w:rPr>
        <w:i/>
        <w:sz w:val="16"/>
        <w:szCs w:val="16"/>
        <w:lang w:val="en-US"/>
      </w:rPr>
      <w:t xml:space="preserve">ի թիվ </w:t>
    </w:r>
    <w:r w:rsidR="009572C6">
      <w:rPr>
        <w:i/>
        <w:sz w:val="16"/>
        <w:szCs w:val="16"/>
        <w:lang w:val="en-US"/>
      </w:rPr>
      <w:t>187-Լ</w:t>
    </w:r>
    <w:r w:rsidRPr="0039613A">
      <w:rPr>
        <w:i/>
        <w:sz w:val="16"/>
        <w:szCs w:val="16"/>
        <w:lang w:val="en-US"/>
      </w:rPr>
      <w:t xml:space="preserve"> որոշման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B7C7" w14:textId="77777777" w:rsidR="00035A90" w:rsidRDefault="00035A90" w:rsidP="007859DB">
    <w:pPr>
      <w:pStyle w:val="Header"/>
    </w:pPr>
    <w:r w:rsidRPr="00E36EC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D2A75E" wp14:editId="2B6B815D">
              <wp:simplePos x="0" y="0"/>
              <wp:positionH relativeFrom="column">
                <wp:posOffset>-381000</wp:posOffset>
              </wp:positionH>
              <wp:positionV relativeFrom="paragraph">
                <wp:posOffset>6350</wp:posOffset>
              </wp:positionV>
              <wp:extent cx="7023100" cy="284480"/>
              <wp:effectExtent l="0" t="0" r="6350" b="1270"/>
              <wp:wrapNone/>
              <wp:docPr id="14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0" cy="284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14:paraId="3B67CEF2" w14:textId="77777777" w:rsidR="00035A90" w:rsidRPr="00C352D6" w:rsidRDefault="00035A90" w:rsidP="007859DB">
                          <w:pPr>
                            <w:pStyle w:val="NormalWeb"/>
                            <w:rPr>
                              <w:rFonts w:ascii="GHEA Grapalat" w:hAnsi="GHEA Grapalat"/>
                              <w:sz w:val="22"/>
                              <w:szCs w:val="22"/>
                            </w:rPr>
                          </w:pPr>
                          <w:r w:rsidRPr="00C352D6">
                            <w:rPr>
                              <w:rFonts w:ascii="GHEA Grapalat" w:hAnsi="GHEA Grapalat"/>
                              <w:sz w:val="22"/>
                              <w:szCs w:val="22"/>
                            </w:rPr>
                            <w:t>ՀՀ ՀԱՇՎԵՔՆՆԻՉ ՊԱԼԱՏ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2A75E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left:0;text-align:left;margin-left:-30pt;margin-top:.5pt;width:553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" fillcolor="#00b0f0" stroked="f">
              <v:textbox>
                <w:txbxContent>
                  <w:p w14:paraId="3B67CEF2" w14:textId="77777777" w:rsidR="00035A90" w:rsidRPr="00C352D6" w:rsidRDefault="00035A90" w:rsidP="007859DB">
                    <w:pPr>
                      <w:pStyle w:val="NormalWeb"/>
                      <w:rPr>
                        <w:rFonts w:ascii="GHEA Grapalat" w:hAnsi="GHEA Grapalat"/>
                        <w:sz w:val="22"/>
                        <w:szCs w:val="22"/>
                      </w:rPr>
                    </w:pPr>
                    <w:r w:rsidRPr="00C352D6">
                      <w:rPr>
                        <w:rFonts w:ascii="GHEA Grapalat" w:hAnsi="GHEA Grapalat"/>
                        <w:sz w:val="22"/>
                        <w:szCs w:val="22"/>
                      </w:rPr>
                      <w:t>ՀՀ ՀԱՇՎԵՔՆՆԻՉ ՊԱԼԱՏ</w:t>
                    </w:r>
                  </w:p>
                </w:txbxContent>
              </v:textbox>
            </v:shape>
          </w:pict>
        </mc:Fallback>
      </mc:AlternateContent>
    </w:r>
    <w:r w:rsidRPr="00E36EC3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64E99CF" wp14:editId="206F8FEA">
          <wp:simplePos x="0" y="0"/>
          <wp:positionH relativeFrom="column">
            <wp:posOffset>-838200</wp:posOffset>
          </wp:positionH>
          <wp:positionV relativeFrom="paragraph">
            <wp:posOffset>0</wp:posOffset>
          </wp:positionV>
          <wp:extent cx="376565" cy="290830"/>
          <wp:effectExtent l="0" t="0" r="444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56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11"/>
    <w:multiLevelType w:val="hybridMultilevel"/>
    <w:tmpl w:val="F5F0A36C"/>
    <w:lvl w:ilvl="0" w:tplc="D8CC8F44">
      <w:start w:val="1"/>
      <w:numFmt w:val="bullet"/>
      <w:pStyle w:val="ListParagraph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2954BF5"/>
    <w:multiLevelType w:val="hybridMultilevel"/>
    <w:tmpl w:val="95B4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2F9D"/>
    <w:multiLevelType w:val="hybridMultilevel"/>
    <w:tmpl w:val="B8761C60"/>
    <w:lvl w:ilvl="0" w:tplc="ED9C074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77984EBA"/>
    <w:multiLevelType w:val="multilevel"/>
    <w:tmpl w:val="DEF055DE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ascii="GHEA Grapalat" w:hAnsi="GHEA Grapalat" w:hint="default"/>
        <w:b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8"/>
    <w:rsid w:val="00010B4E"/>
    <w:rsid w:val="000261EB"/>
    <w:rsid w:val="00035A90"/>
    <w:rsid w:val="00042E94"/>
    <w:rsid w:val="0005616A"/>
    <w:rsid w:val="00067CEA"/>
    <w:rsid w:val="00071ECE"/>
    <w:rsid w:val="00073E97"/>
    <w:rsid w:val="000A0D3C"/>
    <w:rsid w:val="000B18C1"/>
    <w:rsid w:val="000C2248"/>
    <w:rsid w:val="000D4485"/>
    <w:rsid w:val="000E6A73"/>
    <w:rsid w:val="000F2F9F"/>
    <w:rsid w:val="000F5983"/>
    <w:rsid w:val="001044F4"/>
    <w:rsid w:val="001237B8"/>
    <w:rsid w:val="001401D9"/>
    <w:rsid w:val="001477FA"/>
    <w:rsid w:val="0016209A"/>
    <w:rsid w:val="00185A3A"/>
    <w:rsid w:val="001864EA"/>
    <w:rsid w:val="001873DE"/>
    <w:rsid w:val="001C7F61"/>
    <w:rsid w:val="001F3F1B"/>
    <w:rsid w:val="00225342"/>
    <w:rsid w:val="00226A0D"/>
    <w:rsid w:val="0023298C"/>
    <w:rsid w:val="0024666A"/>
    <w:rsid w:val="002503B9"/>
    <w:rsid w:val="00265157"/>
    <w:rsid w:val="0027059E"/>
    <w:rsid w:val="002877BF"/>
    <w:rsid w:val="00290258"/>
    <w:rsid w:val="00291782"/>
    <w:rsid w:val="00293E14"/>
    <w:rsid w:val="002A36BE"/>
    <w:rsid w:val="002B2FD4"/>
    <w:rsid w:val="003119E5"/>
    <w:rsid w:val="0032364F"/>
    <w:rsid w:val="00333847"/>
    <w:rsid w:val="003367D7"/>
    <w:rsid w:val="003507CA"/>
    <w:rsid w:val="00350C7E"/>
    <w:rsid w:val="003559F1"/>
    <w:rsid w:val="00356079"/>
    <w:rsid w:val="00364A8E"/>
    <w:rsid w:val="003714F8"/>
    <w:rsid w:val="00382960"/>
    <w:rsid w:val="00382F2E"/>
    <w:rsid w:val="0039613A"/>
    <w:rsid w:val="003A04A2"/>
    <w:rsid w:val="003A747C"/>
    <w:rsid w:val="003B1E1D"/>
    <w:rsid w:val="003B6B6A"/>
    <w:rsid w:val="003C59E8"/>
    <w:rsid w:val="003D6FA4"/>
    <w:rsid w:val="004043B4"/>
    <w:rsid w:val="004216C6"/>
    <w:rsid w:val="0042642B"/>
    <w:rsid w:val="00431BCF"/>
    <w:rsid w:val="00435229"/>
    <w:rsid w:val="00435484"/>
    <w:rsid w:val="004532D0"/>
    <w:rsid w:val="00466DF8"/>
    <w:rsid w:val="0047735B"/>
    <w:rsid w:val="00481023"/>
    <w:rsid w:val="00482956"/>
    <w:rsid w:val="004911F9"/>
    <w:rsid w:val="004B3E85"/>
    <w:rsid w:val="004C1FB3"/>
    <w:rsid w:val="004C6213"/>
    <w:rsid w:val="004C6F75"/>
    <w:rsid w:val="0050046C"/>
    <w:rsid w:val="00532D8D"/>
    <w:rsid w:val="005342B5"/>
    <w:rsid w:val="00561F09"/>
    <w:rsid w:val="00563403"/>
    <w:rsid w:val="00584A50"/>
    <w:rsid w:val="005A201C"/>
    <w:rsid w:val="005A6B57"/>
    <w:rsid w:val="005B15E9"/>
    <w:rsid w:val="005C190A"/>
    <w:rsid w:val="005C1C35"/>
    <w:rsid w:val="005E6BC0"/>
    <w:rsid w:val="006115EB"/>
    <w:rsid w:val="00616259"/>
    <w:rsid w:val="00634E9B"/>
    <w:rsid w:val="00647B03"/>
    <w:rsid w:val="00652FB2"/>
    <w:rsid w:val="00653F60"/>
    <w:rsid w:val="00676DE0"/>
    <w:rsid w:val="00693F3A"/>
    <w:rsid w:val="006A2B44"/>
    <w:rsid w:val="006A6B63"/>
    <w:rsid w:val="006E21B9"/>
    <w:rsid w:val="00702664"/>
    <w:rsid w:val="00713C1F"/>
    <w:rsid w:val="00760BF0"/>
    <w:rsid w:val="00764BC5"/>
    <w:rsid w:val="007859DB"/>
    <w:rsid w:val="007A2967"/>
    <w:rsid w:val="007C4FC8"/>
    <w:rsid w:val="007C79BE"/>
    <w:rsid w:val="007D1631"/>
    <w:rsid w:val="007E21E9"/>
    <w:rsid w:val="008030AA"/>
    <w:rsid w:val="00817A85"/>
    <w:rsid w:val="00837407"/>
    <w:rsid w:val="00842DA0"/>
    <w:rsid w:val="008453EF"/>
    <w:rsid w:val="008701FF"/>
    <w:rsid w:val="00872C69"/>
    <w:rsid w:val="0088053D"/>
    <w:rsid w:val="0089548A"/>
    <w:rsid w:val="008A0528"/>
    <w:rsid w:val="008B08DA"/>
    <w:rsid w:val="008C1F43"/>
    <w:rsid w:val="008D1382"/>
    <w:rsid w:val="008D16F9"/>
    <w:rsid w:val="008E1A57"/>
    <w:rsid w:val="00901F03"/>
    <w:rsid w:val="009159F4"/>
    <w:rsid w:val="00915B89"/>
    <w:rsid w:val="00923CDA"/>
    <w:rsid w:val="00931E75"/>
    <w:rsid w:val="00951FE3"/>
    <w:rsid w:val="009566D9"/>
    <w:rsid w:val="009572C6"/>
    <w:rsid w:val="00966069"/>
    <w:rsid w:val="009A589F"/>
    <w:rsid w:val="009A5FF5"/>
    <w:rsid w:val="009C6C88"/>
    <w:rsid w:val="009F2F14"/>
    <w:rsid w:val="00A04A68"/>
    <w:rsid w:val="00A16BCD"/>
    <w:rsid w:val="00A2769C"/>
    <w:rsid w:val="00A300DF"/>
    <w:rsid w:val="00A37781"/>
    <w:rsid w:val="00A4007E"/>
    <w:rsid w:val="00A448E5"/>
    <w:rsid w:val="00A53CAB"/>
    <w:rsid w:val="00A61C2C"/>
    <w:rsid w:val="00A873D7"/>
    <w:rsid w:val="00AA2287"/>
    <w:rsid w:val="00AA2DB1"/>
    <w:rsid w:val="00AA5BE3"/>
    <w:rsid w:val="00AB64D9"/>
    <w:rsid w:val="00AD0AD7"/>
    <w:rsid w:val="00AE0022"/>
    <w:rsid w:val="00B13E27"/>
    <w:rsid w:val="00B335C3"/>
    <w:rsid w:val="00B56519"/>
    <w:rsid w:val="00B63B81"/>
    <w:rsid w:val="00B75FEC"/>
    <w:rsid w:val="00B811A9"/>
    <w:rsid w:val="00B82957"/>
    <w:rsid w:val="00B958E9"/>
    <w:rsid w:val="00BB7E93"/>
    <w:rsid w:val="00BC0596"/>
    <w:rsid w:val="00BD1E48"/>
    <w:rsid w:val="00BE0B5A"/>
    <w:rsid w:val="00C03C6C"/>
    <w:rsid w:val="00C03E66"/>
    <w:rsid w:val="00C336A8"/>
    <w:rsid w:val="00C352D6"/>
    <w:rsid w:val="00C35A99"/>
    <w:rsid w:val="00C36085"/>
    <w:rsid w:val="00C37979"/>
    <w:rsid w:val="00C5185B"/>
    <w:rsid w:val="00C6577F"/>
    <w:rsid w:val="00C813C2"/>
    <w:rsid w:val="00C85D47"/>
    <w:rsid w:val="00C864A3"/>
    <w:rsid w:val="00C96C0B"/>
    <w:rsid w:val="00CA7425"/>
    <w:rsid w:val="00CC175E"/>
    <w:rsid w:val="00CC6BC4"/>
    <w:rsid w:val="00CD5525"/>
    <w:rsid w:val="00CE3C3B"/>
    <w:rsid w:val="00D046A5"/>
    <w:rsid w:val="00D200E5"/>
    <w:rsid w:val="00D41F6B"/>
    <w:rsid w:val="00D447C5"/>
    <w:rsid w:val="00D54C85"/>
    <w:rsid w:val="00D57E5D"/>
    <w:rsid w:val="00D8138C"/>
    <w:rsid w:val="00D96953"/>
    <w:rsid w:val="00DA136C"/>
    <w:rsid w:val="00DD000E"/>
    <w:rsid w:val="00DE2BBB"/>
    <w:rsid w:val="00E07A23"/>
    <w:rsid w:val="00E120ED"/>
    <w:rsid w:val="00E36EC3"/>
    <w:rsid w:val="00E468D8"/>
    <w:rsid w:val="00E764FF"/>
    <w:rsid w:val="00E85C77"/>
    <w:rsid w:val="00E924CC"/>
    <w:rsid w:val="00E949BF"/>
    <w:rsid w:val="00EA3AC3"/>
    <w:rsid w:val="00EB7511"/>
    <w:rsid w:val="00ED2094"/>
    <w:rsid w:val="00EF319E"/>
    <w:rsid w:val="00EF6AA8"/>
    <w:rsid w:val="00F014B8"/>
    <w:rsid w:val="00F072F5"/>
    <w:rsid w:val="00F11D0E"/>
    <w:rsid w:val="00F15EC4"/>
    <w:rsid w:val="00F2303F"/>
    <w:rsid w:val="00F55C87"/>
    <w:rsid w:val="00F611F7"/>
    <w:rsid w:val="00F72F7D"/>
    <w:rsid w:val="00F81981"/>
    <w:rsid w:val="00FA2771"/>
    <w:rsid w:val="00FB2C7B"/>
    <w:rsid w:val="00FB57CF"/>
    <w:rsid w:val="00FB66A1"/>
    <w:rsid w:val="00FD3BBA"/>
    <w:rsid w:val="00FD4970"/>
    <w:rsid w:val="00FE0634"/>
    <w:rsid w:val="00FE456B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B8BFA"/>
  <w15:docId w15:val="{C689E0D5-8F65-40FD-B1B9-42D5926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DE"/>
    <w:pPr>
      <w:spacing w:before="40" w:after="60" w:line="288" w:lineRule="auto"/>
      <w:ind w:firstLine="547"/>
      <w:jc w:val="both"/>
    </w:pPr>
    <w:rPr>
      <w:sz w:val="24"/>
      <w:lang w:val="hy-AM"/>
    </w:rPr>
  </w:style>
  <w:style w:type="paragraph" w:styleId="Heading1">
    <w:name w:val="heading 1"/>
    <w:basedOn w:val="Normal"/>
    <w:next w:val="Normal"/>
    <w:link w:val="Heading1Char"/>
    <w:qFormat/>
    <w:rsid w:val="00C336A8"/>
    <w:pPr>
      <w:tabs>
        <w:tab w:val="left" w:pos="5700"/>
      </w:tabs>
      <w:spacing w:after="120" w:line="276" w:lineRule="auto"/>
      <w:jc w:val="center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E120ED"/>
    <w:pPr>
      <w:keepNext/>
      <w:keepLines/>
      <w:numPr>
        <w:numId w:val="1"/>
      </w:numPr>
      <w:spacing w:before="360" w:after="120"/>
      <w:outlineLvl w:val="1"/>
    </w:pPr>
    <w:rPr>
      <w:b/>
      <w:color w:val="1F4E79" w:themeColor="accent1" w:themeShade="80"/>
      <w:sz w:val="28"/>
      <w:szCs w:val="28"/>
    </w:rPr>
  </w:style>
  <w:style w:type="paragraph" w:styleId="Heading3">
    <w:name w:val="heading 3"/>
    <w:basedOn w:val="ListParagraph"/>
    <w:next w:val="Normal"/>
    <w:link w:val="Heading3Char"/>
    <w:unhideWhenUsed/>
    <w:qFormat/>
    <w:rsid w:val="00C03E66"/>
    <w:pPr>
      <w:keepNext/>
      <w:keepLines/>
      <w:numPr>
        <w:ilvl w:val="1"/>
        <w:numId w:val="1"/>
      </w:numPr>
      <w:spacing w:before="240" w:after="120"/>
      <w:outlineLvl w:val="2"/>
    </w:pPr>
    <w:rPr>
      <w:b/>
      <w:i/>
      <w:color w:val="1F4E79" w:themeColor="accent1" w:themeShade="80"/>
      <w:sz w:val="26"/>
      <w:szCs w:val="26"/>
    </w:rPr>
  </w:style>
  <w:style w:type="paragraph" w:styleId="Heading4">
    <w:name w:val="heading 4"/>
    <w:basedOn w:val="ListParagraph"/>
    <w:next w:val="Normal"/>
    <w:link w:val="Heading4Char"/>
    <w:unhideWhenUsed/>
    <w:qFormat/>
    <w:rsid w:val="00E120ED"/>
    <w:pPr>
      <w:numPr>
        <w:ilvl w:val="2"/>
        <w:numId w:val="1"/>
      </w:numPr>
      <w:spacing w:before="120" w:after="120" w:line="288" w:lineRule="auto"/>
      <w:ind w:left="1238" w:hanging="691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6A8"/>
    <w:rPr>
      <w:rFonts w:eastAsia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20ED"/>
    <w:rPr>
      <w:rFonts w:eastAsiaTheme="minorEastAsia"/>
      <w:b/>
      <w:color w:val="1F4E79" w:themeColor="accent1" w:themeShade="80"/>
      <w:sz w:val="28"/>
      <w:szCs w:val="28"/>
      <w:lang w:val="hy-AM"/>
    </w:rPr>
  </w:style>
  <w:style w:type="character" w:customStyle="1" w:styleId="Heading3Char">
    <w:name w:val="Heading 3 Char"/>
    <w:basedOn w:val="DefaultParagraphFont"/>
    <w:link w:val="Heading3"/>
    <w:rsid w:val="00C03E66"/>
    <w:rPr>
      <w:rFonts w:eastAsiaTheme="minorEastAsia"/>
      <w:b/>
      <w:i/>
      <w:color w:val="1F4E79" w:themeColor="accent1" w:themeShade="80"/>
      <w:sz w:val="26"/>
      <w:szCs w:val="26"/>
      <w:lang w:val="hy-AM"/>
    </w:rPr>
  </w:style>
  <w:style w:type="character" w:customStyle="1" w:styleId="Heading4Char">
    <w:name w:val="Heading 4 Char"/>
    <w:basedOn w:val="DefaultParagraphFont"/>
    <w:link w:val="Heading4"/>
    <w:rsid w:val="00E120ED"/>
    <w:rPr>
      <w:rFonts w:eastAsiaTheme="minorEastAsia"/>
      <w:sz w:val="24"/>
      <w:szCs w:val="24"/>
      <w:lang w:val="hy-AM"/>
    </w:rPr>
  </w:style>
  <w:style w:type="paragraph" w:styleId="CommentText">
    <w:name w:val="annotation text"/>
    <w:basedOn w:val="Normal"/>
    <w:link w:val="CommentTextChar"/>
    <w:unhideWhenUsed/>
    <w:rsid w:val="00350C7E"/>
    <w:pPr>
      <w:spacing w:line="240" w:lineRule="auto"/>
    </w:pPr>
    <w:rPr>
      <w:color w:val="0070C0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rsid w:val="00350C7E"/>
    <w:rPr>
      <w:color w:val="0070C0"/>
      <w:sz w:val="28"/>
      <w:szCs w:val="20"/>
    </w:rPr>
  </w:style>
  <w:style w:type="paragraph" w:styleId="ListParagraph">
    <w:name w:val="List Paragraph"/>
    <w:basedOn w:val="Normal"/>
    <w:uiPriority w:val="34"/>
    <w:qFormat/>
    <w:rsid w:val="00634E9B"/>
    <w:pPr>
      <w:numPr>
        <w:numId w:val="2"/>
      </w:numPr>
      <w:spacing w:after="0" w:line="240" w:lineRule="auto"/>
      <w:contextualSpacing/>
      <w:jc w:val="left"/>
    </w:pPr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F8198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  <w:style w:type="paragraph" w:styleId="Header">
    <w:name w:val="header"/>
    <w:basedOn w:val="Normal"/>
    <w:link w:val="HeaderChar"/>
    <w:unhideWhenUsed/>
    <w:rsid w:val="00F8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1981"/>
  </w:style>
  <w:style w:type="paragraph" w:styleId="Footer">
    <w:name w:val="footer"/>
    <w:basedOn w:val="Normal"/>
    <w:link w:val="FooterChar"/>
    <w:unhideWhenUsed/>
    <w:rsid w:val="00F8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1981"/>
  </w:style>
  <w:style w:type="character" w:styleId="PlaceholderText">
    <w:name w:val="Placeholder Text"/>
    <w:basedOn w:val="DefaultParagraphFont"/>
    <w:uiPriority w:val="99"/>
    <w:semiHidden/>
    <w:rsid w:val="00F81981"/>
    <w:rPr>
      <w:color w:val="808080"/>
    </w:rPr>
  </w:style>
  <w:style w:type="paragraph" w:customStyle="1" w:styleId="mechtex">
    <w:name w:val="mechtex"/>
    <w:basedOn w:val="Normal"/>
    <w:link w:val="mechtexChar"/>
    <w:rsid w:val="00356079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356079"/>
    <w:rPr>
      <w:rFonts w:ascii="Arial Armenian" w:eastAsia="Times New Roman" w:hAnsi="Arial Armenian"/>
      <w:szCs w:val="20"/>
      <w:lang w:eastAsia="ru-RU"/>
    </w:rPr>
  </w:style>
  <w:style w:type="paragraph" w:styleId="BalloonText">
    <w:name w:val="Balloon Text"/>
    <w:basedOn w:val="Normal"/>
    <w:link w:val="BalloonTextChar"/>
    <w:rsid w:val="003560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079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356079"/>
  </w:style>
  <w:style w:type="table" w:styleId="TableGrid">
    <w:name w:val="Table Grid"/>
    <w:basedOn w:val="TableNormal"/>
    <w:uiPriority w:val="59"/>
    <w:unhideWhenUsed/>
    <w:rsid w:val="0035607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607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079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rsid w:val="00356079"/>
    <w:rPr>
      <w:vertAlign w:val="superscript"/>
    </w:rPr>
  </w:style>
  <w:style w:type="character" w:styleId="CommentReference">
    <w:name w:val="annotation reference"/>
    <w:basedOn w:val="DefaultParagraphFont"/>
    <w:rsid w:val="003560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079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079"/>
    <w:rPr>
      <w:rFonts w:eastAsia="Times New Roman"/>
      <w:b/>
      <w:bCs/>
      <w:color w:val="0070C0"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967"/>
    <w:pPr>
      <w:tabs>
        <w:tab w:val="left" w:pos="1320"/>
        <w:tab w:val="right" w:leader="dot" w:pos="9016"/>
      </w:tabs>
      <w:spacing w:before="0" w:after="0" w:line="240" w:lineRule="auto"/>
      <w:ind w:left="216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56079"/>
    <w:pPr>
      <w:spacing w:after="10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A2967"/>
    <w:rPr>
      <w:noProof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6079"/>
    <w:pPr>
      <w:keepNext/>
      <w:keepLines/>
      <w:tabs>
        <w:tab w:val="clear" w:pos="570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56079"/>
    <w:pPr>
      <w:spacing w:after="100" w:line="240" w:lineRule="auto"/>
      <w:ind w:left="44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56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873DE"/>
    <w:rPr>
      <w:i/>
      <w:iCs/>
    </w:rPr>
  </w:style>
  <w:style w:type="character" w:styleId="SubtleEmphasis">
    <w:name w:val="Subtle Emphasis"/>
    <w:uiPriority w:val="19"/>
    <w:qFormat/>
    <w:rsid w:val="000F2F9F"/>
    <w:rPr>
      <w:rFonts w:ascii="GHEA Grapalat" w:hAnsi="GHEA Grapalat"/>
      <w:i/>
      <w:color w:val="1F4E79" w:themeColor="accent1" w:themeShade="8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FD4"/>
    <w:pPr>
      <w:numPr>
        <w:ilvl w:val="1"/>
      </w:numPr>
      <w:spacing w:after="160"/>
      <w:ind w:left="1170" w:firstLine="547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FD4"/>
    <w:rPr>
      <w:rFonts w:eastAsiaTheme="minorEastAsia" w:cstheme="minorBidi"/>
      <w:color w:val="5A5A5A" w:themeColor="text1" w:themeTint="A5"/>
      <w:spacing w:val="15"/>
      <w:lang w:val="hy-AM"/>
    </w:rPr>
  </w:style>
  <w:style w:type="character" w:styleId="IntenseEmphasis">
    <w:name w:val="Intense Emphasis"/>
    <w:basedOn w:val="DefaultParagraphFont"/>
    <w:uiPriority w:val="21"/>
    <w:qFormat/>
    <w:rsid w:val="00AD0AD7"/>
    <w:rPr>
      <w:rFonts w:ascii="GHEA Grapalat" w:hAnsi="GHEA Grapalat"/>
      <w:i/>
      <w:iCs/>
      <w:color w:val="5B9BD5" w:themeColor="accent1"/>
      <w:sz w:val="22"/>
      <w:szCs w:val="22"/>
    </w:rPr>
  </w:style>
  <w:style w:type="paragraph" w:styleId="Revision">
    <w:name w:val="Revision"/>
    <w:hidden/>
    <w:uiPriority w:val="99"/>
    <w:semiHidden/>
    <w:rsid w:val="004C1FB3"/>
    <w:pPr>
      <w:spacing w:after="0" w:line="240" w:lineRule="auto"/>
    </w:pPr>
    <w:rPr>
      <w:sz w:val="24"/>
      <w:lang w:val="hy-AM"/>
    </w:rPr>
  </w:style>
  <w:style w:type="character" w:customStyle="1" w:styleId="accordion-title-link-text">
    <w:name w:val="accordion-title-link-text"/>
    <w:basedOn w:val="DefaultParagraphFont"/>
    <w:rsid w:val="00A6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495\Documents\Custom%20Office%20Templates\9-AC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977C-4E49-47F3-862C-481F410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9-AC .dotx</Template>
  <TotalTime>81</TotalTime>
  <Pages>21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Zhirayr Mkhitaryan</cp:lastModifiedBy>
  <cp:revision>15</cp:revision>
  <dcterms:created xsi:type="dcterms:W3CDTF">2022-08-19T11:58:00Z</dcterms:created>
  <dcterms:modified xsi:type="dcterms:W3CDTF">2022-09-15T06:16:00Z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1102801892</vt:i4>
  </property>
  <property fmtid="{D5CDD505-2E9C-101B-9397-08002B2CF9AE}" pid="3" name="_NewReviewCycle">
    <vt:lpwstr/>
  </property>
  <property fmtid="{D5CDD505-2E9C-101B-9397-08002B2CF9AE}" pid="4" name="_EmailSubject">
    <vt:lpwstr>Հայեցակարգի նախագիծ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atom.janjughazyan@armsai.am</vt:lpwstr>
  </property>
  <property fmtid="{D5CDD505-2E9C-101B-9397-08002B2CF9AE}" pid="7" name="_PreviousAdHocReviewCycleID">
    <vt:i4>-462292228</vt:i4>
  </property>
  <property fmtid="{D5CDD505-2E9C-101B-9397-08002B2CF9AE}" pid="8" name="_ReviewingToolsShownOnce">
    <vt:lpwstr/>
  </property>
</Properties>
</file>