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4B8E5" w14:textId="66E0F42C" w:rsidR="007E5283" w:rsidRPr="005F2811" w:rsidRDefault="007E5283" w:rsidP="00D6269C">
      <w:pPr>
        <w:spacing w:after="80" w:line="276" w:lineRule="auto"/>
        <w:jc w:val="right"/>
        <w:rPr>
          <w:rFonts w:ascii="GHEA Grapalat" w:hAnsi="GHEA Grapalat"/>
          <w:sz w:val="20"/>
          <w:szCs w:val="20"/>
          <w:lang w:val="en-US"/>
        </w:rPr>
      </w:pPr>
      <w:r w:rsidRPr="00E5722E">
        <w:rPr>
          <w:rFonts w:ascii="GHEA Grapalat" w:hAnsi="GHEA Grapalat"/>
          <w:sz w:val="20"/>
          <w:szCs w:val="20"/>
          <w:lang w:val="hy-AM"/>
        </w:rPr>
        <w:t>Հավելված</w:t>
      </w:r>
      <w:r w:rsidRPr="00E5722E">
        <w:rPr>
          <w:rFonts w:ascii="GHEA Grapalat" w:hAnsi="GHEA Grapalat"/>
          <w:sz w:val="20"/>
          <w:szCs w:val="20"/>
        </w:rPr>
        <w:t xml:space="preserve"> </w:t>
      </w:r>
      <w:r w:rsidR="001C3568">
        <w:rPr>
          <w:rFonts w:ascii="GHEA Grapalat" w:hAnsi="GHEA Grapalat"/>
          <w:sz w:val="20"/>
          <w:szCs w:val="20"/>
        </w:rPr>
        <w:t>N</w:t>
      </w:r>
      <w:r w:rsidR="001C3568">
        <w:rPr>
          <w:rFonts w:ascii="GHEA Grapalat" w:hAnsi="GHEA Grapalat"/>
          <w:sz w:val="20"/>
          <w:szCs w:val="20"/>
          <w:lang w:val="ru-RU"/>
        </w:rPr>
        <w:t xml:space="preserve"> </w:t>
      </w:r>
      <w:r w:rsidR="005F2811">
        <w:rPr>
          <w:rFonts w:ascii="GHEA Grapalat" w:hAnsi="GHEA Grapalat"/>
          <w:sz w:val="20"/>
          <w:szCs w:val="20"/>
          <w:lang w:val="en-US"/>
        </w:rPr>
        <w:t>2</w:t>
      </w:r>
    </w:p>
    <w:p w14:paraId="0915FFBD" w14:textId="77777777" w:rsidR="007E5283" w:rsidRPr="00E5722E" w:rsidRDefault="007E5283" w:rsidP="00D6269C">
      <w:pPr>
        <w:spacing w:after="80" w:line="276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E5722E">
        <w:rPr>
          <w:rFonts w:ascii="GHEA Grapalat" w:hAnsi="GHEA Grapalat"/>
          <w:sz w:val="20"/>
          <w:szCs w:val="20"/>
          <w:lang w:val="hy-AM"/>
        </w:rPr>
        <w:t>Հաշվեքննիչ պալատի 2022 թվականի</w:t>
      </w:r>
    </w:p>
    <w:p w14:paraId="2C00ACBC" w14:textId="00EFC8FC" w:rsidR="007E5283" w:rsidRPr="001C3568" w:rsidRDefault="007D6296" w:rsidP="00D6269C">
      <w:pPr>
        <w:spacing w:after="80" w:line="276" w:lineRule="auto"/>
        <w:jc w:val="right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proofErr w:type="gramStart"/>
      <w:r>
        <w:rPr>
          <w:rFonts w:ascii="GHEA Grapalat" w:hAnsi="GHEA Grapalat"/>
          <w:sz w:val="20"/>
          <w:szCs w:val="20"/>
          <w:lang w:val="en-US"/>
        </w:rPr>
        <w:t>ն</w:t>
      </w:r>
      <w:r w:rsidR="007E5283" w:rsidRPr="00E5722E">
        <w:rPr>
          <w:rFonts w:ascii="GHEA Grapalat" w:hAnsi="GHEA Grapalat"/>
          <w:sz w:val="20"/>
          <w:szCs w:val="20"/>
          <w:lang w:val="hy-AM"/>
        </w:rPr>
        <w:t>ոյեմբերի</w:t>
      </w:r>
      <w:proofErr w:type="gramEnd"/>
      <w:r w:rsidR="007E5283" w:rsidRPr="00E5722E">
        <w:rPr>
          <w:rFonts w:ascii="GHEA Grapalat" w:hAnsi="GHEA Grapalat"/>
          <w:sz w:val="20"/>
          <w:szCs w:val="20"/>
          <w:lang w:val="hy-AM"/>
        </w:rPr>
        <w:t xml:space="preserve"> </w:t>
      </w:r>
      <w:r w:rsidR="006F685E">
        <w:rPr>
          <w:rFonts w:ascii="GHEA Grapalat" w:hAnsi="GHEA Grapalat"/>
          <w:sz w:val="20"/>
          <w:szCs w:val="20"/>
          <w:lang w:val="en-US"/>
        </w:rPr>
        <w:t>24-</w:t>
      </w:r>
      <w:r w:rsidR="007E5283" w:rsidRPr="00E5722E">
        <w:rPr>
          <w:rFonts w:ascii="GHEA Grapalat" w:hAnsi="GHEA Grapalat"/>
          <w:sz w:val="20"/>
          <w:szCs w:val="20"/>
          <w:lang w:val="hy-AM"/>
        </w:rPr>
        <w:t xml:space="preserve">ի թիվ </w:t>
      </w:r>
      <w:r w:rsidR="008C5BD9">
        <w:rPr>
          <w:rFonts w:ascii="GHEA Grapalat" w:hAnsi="GHEA Grapalat"/>
          <w:sz w:val="20"/>
          <w:szCs w:val="20"/>
          <w:lang w:val="en-US"/>
        </w:rPr>
        <w:t>224-Լ</w:t>
      </w:r>
      <w:r w:rsidR="007E5283" w:rsidRPr="00E5722E">
        <w:rPr>
          <w:rFonts w:ascii="GHEA Grapalat" w:hAnsi="GHEA Grapalat"/>
          <w:sz w:val="20"/>
          <w:szCs w:val="20"/>
          <w:lang w:val="hy-AM"/>
        </w:rPr>
        <w:t xml:space="preserve"> որոշման</w:t>
      </w:r>
    </w:p>
    <w:p w14:paraId="3DDBC370" w14:textId="77777777" w:rsidR="00FE7420" w:rsidRPr="00C14168" w:rsidRDefault="00FE7420" w:rsidP="00D6269C">
      <w:pPr>
        <w:spacing w:after="80" w:line="276" w:lineRule="auto"/>
        <w:jc w:val="right"/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</w:pPr>
    </w:p>
    <w:p w14:paraId="3AE3FFFB" w14:textId="79F2F210" w:rsidR="001C3568" w:rsidRPr="00D018A5" w:rsidRDefault="00FA6F38" w:rsidP="00E5722E">
      <w:pPr>
        <w:spacing w:after="80" w:line="276" w:lineRule="auto"/>
        <w:jc w:val="center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 w:rsidRPr="00D45ED0">
        <w:rPr>
          <w:rFonts w:ascii="GHEA Grapalat" w:hAnsi="GHEA Grapalat" w:cs="Times New Roman"/>
          <w:b/>
          <w:bCs/>
          <w:sz w:val="24"/>
          <w:szCs w:val="24"/>
          <w:lang w:val="hy-AM"/>
        </w:rPr>
        <w:t>ՀԻՄՆԱՎՈՐՈՒՄԸ</w:t>
      </w:r>
    </w:p>
    <w:p w14:paraId="57E00C76" w14:textId="4CEA6B74" w:rsidR="001C3568" w:rsidRPr="00082996" w:rsidRDefault="001C3568" w:rsidP="001C3568">
      <w:pPr>
        <w:tabs>
          <w:tab w:val="left" w:pos="567"/>
          <w:tab w:val="left" w:pos="1134"/>
        </w:tabs>
        <w:spacing w:after="0" w:line="276" w:lineRule="auto"/>
        <w:jc w:val="center"/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</w:pPr>
      <w:r w:rsidRPr="00082996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 xml:space="preserve">ՀԱՇՎԵՔՆՆԻՉ ՊԱԼԱՏԻ 2023 ԹՎԱԿԱՆԻ ԳՈՐԾՈՒՆԵՈՒԹՅԱՆ ԾՐԱԳՐԻ </w:t>
      </w:r>
      <w:r w:rsidR="00082996" w:rsidRPr="00082996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ԱՌԱՋԻՆ ԵՎ ԵՐԿ</w:t>
      </w:r>
      <w:r w:rsidR="003D1773" w:rsidRPr="00594CE9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Ր</w:t>
      </w:r>
      <w:r w:rsidR="00082996" w:rsidRPr="00082996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ՈՐԴ ՄԱՍԵՐՈՎ ՆԱԽԱՏԵՍՎԱԾ ԾՐԱԳՐԱՅԻՆ ԿԵՏԵՐԻ ԸՆՏՐՈՒԹՅԱՆ</w:t>
      </w:r>
    </w:p>
    <w:p w14:paraId="447F4990" w14:textId="77777777" w:rsidR="003D29F8" w:rsidRPr="00082996" w:rsidRDefault="003D29F8" w:rsidP="001C3568">
      <w:pPr>
        <w:tabs>
          <w:tab w:val="left" w:pos="567"/>
          <w:tab w:val="left" w:pos="1134"/>
        </w:tabs>
        <w:spacing w:after="0" w:line="276" w:lineRule="auto"/>
        <w:jc w:val="center"/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</w:pPr>
    </w:p>
    <w:p w14:paraId="494AF843" w14:textId="77777777" w:rsidR="001C3568" w:rsidRPr="00407DC9" w:rsidRDefault="001C3568" w:rsidP="001C3568">
      <w:pPr>
        <w:pStyle w:val="ListParagraph"/>
        <w:numPr>
          <w:ilvl w:val="0"/>
          <w:numId w:val="17"/>
        </w:numPr>
        <w:tabs>
          <w:tab w:val="left" w:pos="567"/>
          <w:tab w:val="left" w:pos="1134"/>
        </w:tabs>
        <w:spacing w:line="360" w:lineRule="auto"/>
        <w:ind w:left="0" w:firstLine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  <w:lang w:val="ru-RU"/>
        </w:rPr>
        <w:t>ԸՆԴՀԱՆՈՒՐ ԴՐՈՒՅԹՆԵՐ</w:t>
      </w:r>
    </w:p>
    <w:p w14:paraId="04C0BB1D" w14:textId="6EA27E74" w:rsidR="001C3568" w:rsidRPr="00E5722E" w:rsidRDefault="001C3568" w:rsidP="00E5722E">
      <w:pPr>
        <w:spacing w:after="80" w:line="276" w:lineRule="auto"/>
        <w:ind w:firstLine="567"/>
        <w:jc w:val="both"/>
        <w:rPr>
          <w:rFonts w:ascii="GHEA Grapalat" w:hAnsi="GHEA Grapalat" w:cs="Times New Roman"/>
          <w:b/>
          <w:bCs/>
          <w:sz w:val="24"/>
          <w:szCs w:val="24"/>
          <w:lang w:val="en-US"/>
        </w:rPr>
      </w:pPr>
      <w:r w:rsidRPr="00E5722E">
        <w:rPr>
          <w:rFonts w:ascii="GHEA Grapalat" w:hAnsi="GHEA Grapalat" w:cs="Times New Roman"/>
          <w:bCs/>
          <w:sz w:val="24"/>
          <w:szCs w:val="24"/>
          <w:lang w:val="ru-RU"/>
        </w:rPr>
        <w:t>Սույն</w:t>
      </w:r>
      <w:r w:rsidRPr="00E5722E">
        <w:rPr>
          <w:rFonts w:ascii="GHEA Grapalat" w:hAnsi="GHEA Grapalat" w:cs="Times New Roman"/>
          <w:bCs/>
          <w:sz w:val="24"/>
          <w:szCs w:val="24"/>
          <w:lang w:val="en-US"/>
        </w:rPr>
        <w:t xml:space="preserve"> </w:t>
      </w:r>
      <w:proofErr w:type="spellStart"/>
      <w:r w:rsidR="00981AAC">
        <w:rPr>
          <w:rFonts w:ascii="GHEA Grapalat" w:hAnsi="GHEA Grapalat" w:cs="Times New Roman"/>
          <w:bCs/>
          <w:sz w:val="24"/>
          <w:szCs w:val="24"/>
          <w:lang w:val="en-US"/>
        </w:rPr>
        <w:t>հիմնավորումը</w:t>
      </w:r>
      <w:proofErr w:type="spellEnd"/>
      <w:r w:rsidR="00981AAC" w:rsidRPr="00E5722E">
        <w:rPr>
          <w:rFonts w:ascii="GHEA Grapalat" w:hAnsi="GHEA Grapalat" w:cs="Times New Roman"/>
          <w:bCs/>
          <w:sz w:val="24"/>
          <w:szCs w:val="24"/>
        </w:rPr>
        <w:t xml:space="preserve"> </w:t>
      </w:r>
      <w:r w:rsidRPr="00E5722E">
        <w:rPr>
          <w:rFonts w:ascii="GHEA Grapalat" w:hAnsi="GHEA Grapalat" w:cs="Times New Roman"/>
          <w:bCs/>
          <w:sz w:val="24"/>
          <w:szCs w:val="24"/>
          <w:lang w:val="ru-RU"/>
        </w:rPr>
        <w:t>կազմվել</w:t>
      </w:r>
      <w:r w:rsidRPr="00E5722E">
        <w:rPr>
          <w:rFonts w:ascii="GHEA Grapalat" w:hAnsi="GHEA Grapalat" w:cs="Times New Roman"/>
          <w:bCs/>
          <w:sz w:val="24"/>
          <w:szCs w:val="24"/>
        </w:rPr>
        <w:t xml:space="preserve"> </w:t>
      </w:r>
      <w:r w:rsidRPr="00E5722E">
        <w:rPr>
          <w:rFonts w:ascii="GHEA Grapalat" w:hAnsi="GHEA Grapalat" w:cs="Times New Roman"/>
          <w:bCs/>
          <w:sz w:val="24"/>
          <w:szCs w:val="24"/>
          <w:lang w:val="ru-RU"/>
        </w:rPr>
        <w:t>է</w:t>
      </w:r>
      <w:r w:rsidRPr="00E5722E">
        <w:rPr>
          <w:rFonts w:ascii="GHEA Grapalat" w:hAnsi="GHEA Grapalat" w:cs="Times New Roman"/>
          <w:bCs/>
          <w:sz w:val="24"/>
          <w:szCs w:val="24"/>
        </w:rPr>
        <w:t xml:space="preserve"> </w:t>
      </w:r>
      <w:r>
        <w:rPr>
          <w:rFonts w:ascii="GHEA Grapalat" w:hAnsi="GHEA Grapalat" w:cs="Times New Roman"/>
          <w:bCs/>
          <w:sz w:val="24"/>
          <w:szCs w:val="24"/>
          <w:lang w:val="ru-RU"/>
        </w:rPr>
        <w:t>Հաշվեքննիչ</w:t>
      </w:r>
      <w:r w:rsidRPr="00E5722E">
        <w:rPr>
          <w:rFonts w:ascii="GHEA Grapalat" w:hAnsi="GHEA Grapalat" w:cs="Times New Roman"/>
          <w:bCs/>
          <w:sz w:val="24"/>
          <w:szCs w:val="24"/>
        </w:rPr>
        <w:t xml:space="preserve"> </w:t>
      </w:r>
      <w:r>
        <w:rPr>
          <w:rFonts w:ascii="GHEA Grapalat" w:hAnsi="GHEA Grapalat" w:cs="Times New Roman"/>
          <w:bCs/>
          <w:sz w:val="24"/>
          <w:szCs w:val="24"/>
          <w:lang w:val="ru-RU"/>
        </w:rPr>
        <w:t>պալատի</w:t>
      </w:r>
      <w:r w:rsidRPr="00E5722E">
        <w:rPr>
          <w:rFonts w:ascii="GHEA Grapalat" w:hAnsi="GHEA Grapalat" w:cs="Times New Roman"/>
          <w:bCs/>
          <w:sz w:val="24"/>
          <w:szCs w:val="24"/>
        </w:rPr>
        <w:t xml:space="preserve"> 2018 </w:t>
      </w:r>
      <w:r>
        <w:rPr>
          <w:rFonts w:ascii="GHEA Grapalat" w:hAnsi="GHEA Grapalat" w:cs="Times New Roman"/>
          <w:bCs/>
          <w:sz w:val="24"/>
          <w:szCs w:val="24"/>
          <w:lang w:val="ru-RU"/>
        </w:rPr>
        <w:t>թվականի</w:t>
      </w:r>
      <w:r w:rsidRPr="00E5722E">
        <w:rPr>
          <w:rFonts w:ascii="GHEA Grapalat" w:hAnsi="GHEA Grapalat" w:cs="Times New Roman"/>
          <w:bCs/>
          <w:sz w:val="24"/>
          <w:szCs w:val="24"/>
        </w:rPr>
        <w:t xml:space="preserve"> </w:t>
      </w:r>
      <w:r>
        <w:rPr>
          <w:rFonts w:ascii="GHEA Grapalat" w:hAnsi="GHEA Grapalat" w:cs="Times New Roman"/>
          <w:bCs/>
          <w:sz w:val="24"/>
          <w:szCs w:val="24"/>
          <w:lang w:val="ru-RU"/>
        </w:rPr>
        <w:t>նոյեմբերի</w:t>
      </w:r>
      <w:r w:rsidRPr="00E5722E">
        <w:rPr>
          <w:rFonts w:ascii="GHEA Grapalat" w:hAnsi="GHEA Grapalat" w:cs="Times New Roman"/>
          <w:bCs/>
          <w:sz w:val="24"/>
          <w:szCs w:val="24"/>
        </w:rPr>
        <w:t xml:space="preserve"> 22-</w:t>
      </w:r>
      <w:r>
        <w:rPr>
          <w:rFonts w:ascii="GHEA Grapalat" w:hAnsi="GHEA Grapalat" w:cs="Times New Roman"/>
          <w:bCs/>
          <w:sz w:val="24"/>
          <w:szCs w:val="24"/>
          <w:lang w:val="ru-RU"/>
        </w:rPr>
        <w:t>ի</w:t>
      </w:r>
      <w:r w:rsidRPr="00E5722E">
        <w:rPr>
          <w:rFonts w:ascii="GHEA Grapalat" w:hAnsi="GHEA Grapalat" w:cs="Times New Roman"/>
          <w:bCs/>
          <w:sz w:val="24"/>
          <w:szCs w:val="24"/>
        </w:rPr>
        <w:t xml:space="preserve"> N 16/4 </w:t>
      </w:r>
      <w:r>
        <w:rPr>
          <w:rFonts w:ascii="GHEA Grapalat" w:hAnsi="GHEA Grapalat" w:cs="Times New Roman"/>
          <w:bCs/>
          <w:sz w:val="24"/>
          <w:szCs w:val="24"/>
          <w:lang w:val="ru-RU"/>
        </w:rPr>
        <w:t>որոշմամբ</w:t>
      </w:r>
      <w:r w:rsidRPr="00E5722E">
        <w:rPr>
          <w:rFonts w:ascii="GHEA Grapalat" w:hAnsi="GHEA Grapalat" w:cs="Times New Roman"/>
          <w:bCs/>
          <w:sz w:val="24"/>
          <w:szCs w:val="24"/>
        </w:rPr>
        <w:t xml:space="preserve"> </w:t>
      </w:r>
      <w:r>
        <w:rPr>
          <w:rFonts w:ascii="GHEA Grapalat" w:hAnsi="GHEA Grapalat" w:cs="Times New Roman"/>
          <w:bCs/>
          <w:sz w:val="24"/>
          <w:szCs w:val="24"/>
          <w:lang w:val="ru-RU"/>
        </w:rPr>
        <w:t>հաստատված՝</w:t>
      </w:r>
      <w:r w:rsidRPr="00E5722E">
        <w:rPr>
          <w:rFonts w:ascii="GHEA Grapalat" w:hAnsi="GHEA Grapalat" w:cs="Times New Roman"/>
          <w:bCs/>
          <w:sz w:val="24"/>
          <w:szCs w:val="24"/>
        </w:rPr>
        <w:t xml:space="preserve"> </w:t>
      </w:r>
      <w:r>
        <w:rPr>
          <w:rFonts w:ascii="GHEA Grapalat" w:hAnsi="GHEA Grapalat" w:cs="Times New Roman"/>
          <w:bCs/>
          <w:sz w:val="24"/>
          <w:szCs w:val="24"/>
          <w:lang w:val="ru-RU"/>
        </w:rPr>
        <w:t>Հաշվեքննիչ</w:t>
      </w:r>
      <w:r w:rsidRPr="00E5722E">
        <w:rPr>
          <w:rFonts w:ascii="GHEA Grapalat" w:hAnsi="GHEA Grapalat" w:cs="Times New Roman"/>
          <w:bCs/>
          <w:sz w:val="24"/>
          <w:szCs w:val="24"/>
        </w:rPr>
        <w:t xml:space="preserve"> </w:t>
      </w:r>
      <w:r>
        <w:rPr>
          <w:rFonts w:ascii="GHEA Grapalat" w:hAnsi="GHEA Grapalat" w:cs="Times New Roman"/>
          <w:bCs/>
          <w:sz w:val="24"/>
          <w:szCs w:val="24"/>
          <w:lang w:val="ru-RU"/>
        </w:rPr>
        <w:t>պալատի</w:t>
      </w:r>
      <w:r w:rsidRPr="00E5722E">
        <w:rPr>
          <w:rFonts w:ascii="GHEA Grapalat" w:hAnsi="GHEA Grapalat" w:cs="Times New Roman"/>
          <w:bCs/>
          <w:sz w:val="24"/>
          <w:szCs w:val="24"/>
        </w:rPr>
        <w:t xml:space="preserve"> </w:t>
      </w:r>
      <w:r>
        <w:rPr>
          <w:rFonts w:ascii="GHEA Grapalat" w:hAnsi="GHEA Grapalat" w:cs="Times New Roman"/>
          <w:bCs/>
          <w:sz w:val="24"/>
          <w:szCs w:val="24"/>
          <w:lang w:val="ru-RU"/>
        </w:rPr>
        <w:t>գործունեության</w:t>
      </w:r>
      <w:r w:rsidRPr="00E5722E">
        <w:rPr>
          <w:rFonts w:ascii="GHEA Grapalat" w:hAnsi="GHEA Grapalat" w:cs="Times New Roman"/>
          <w:bCs/>
          <w:sz w:val="24"/>
          <w:szCs w:val="24"/>
        </w:rPr>
        <w:t xml:space="preserve"> </w:t>
      </w:r>
      <w:r>
        <w:rPr>
          <w:rFonts w:ascii="GHEA Grapalat" w:hAnsi="GHEA Grapalat" w:cs="Times New Roman"/>
          <w:bCs/>
          <w:sz w:val="24"/>
          <w:szCs w:val="24"/>
          <w:lang w:val="ru-RU"/>
        </w:rPr>
        <w:t>ծրագրի</w:t>
      </w:r>
      <w:r w:rsidRPr="00E5722E">
        <w:rPr>
          <w:rFonts w:ascii="GHEA Grapalat" w:hAnsi="GHEA Grapalat" w:cs="Times New Roman"/>
          <w:bCs/>
          <w:sz w:val="24"/>
          <w:szCs w:val="24"/>
        </w:rPr>
        <w:t xml:space="preserve"> </w:t>
      </w:r>
      <w:r>
        <w:rPr>
          <w:rFonts w:ascii="GHEA Grapalat" w:hAnsi="GHEA Grapalat" w:cs="Times New Roman"/>
          <w:bCs/>
          <w:sz w:val="24"/>
          <w:szCs w:val="24"/>
          <w:lang w:val="ru-RU"/>
        </w:rPr>
        <w:t>կազմման</w:t>
      </w:r>
      <w:r w:rsidRPr="00E5722E">
        <w:rPr>
          <w:rFonts w:ascii="GHEA Grapalat" w:hAnsi="GHEA Grapalat" w:cs="Times New Roman"/>
          <w:bCs/>
          <w:sz w:val="24"/>
          <w:szCs w:val="24"/>
        </w:rPr>
        <w:t xml:space="preserve"> </w:t>
      </w:r>
      <w:r>
        <w:rPr>
          <w:rFonts w:ascii="GHEA Grapalat" w:hAnsi="GHEA Grapalat" w:cs="Times New Roman"/>
          <w:bCs/>
          <w:sz w:val="24"/>
          <w:szCs w:val="24"/>
          <w:lang w:val="ru-RU"/>
        </w:rPr>
        <w:t>համար</w:t>
      </w:r>
      <w:r w:rsidRPr="00E5722E">
        <w:rPr>
          <w:rFonts w:ascii="GHEA Grapalat" w:hAnsi="GHEA Grapalat" w:cs="Times New Roman"/>
          <w:bCs/>
          <w:sz w:val="24"/>
          <w:szCs w:val="24"/>
        </w:rPr>
        <w:t xml:space="preserve"> </w:t>
      </w:r>
      <w:r>
        <w:rPr>
          <w:rFonts w:ascii="GHEA Grapalat" w:hAnsi="GHEA Grapalat" w:cs="Times New Roman"/>
          <w:bCs/>
          <w:sz w:val="24"/>
          <w:szCs w:val="24"/>
          <w:lang w:val="ru-RU"/>
        </w:rPr>
        <w:t>հիմք</w:t>
      </w:r>
      <w:r w:rsidRPr="00E5722E">
        <w:rPr>
          <w:rFonts w:ascii="GHEA Grapalat" w:hAnsi="GHEA Grapalat" w:cs="Times New Roman"/>
          <w:bCs/>
          <w:sz w:val="24"/>
          <w:szCs w:val="24"/>
        </w:rPr>
        <w:t xml:space="preserve"> </w:t>
      </w:r>
      <w:r>
        <w:rPr>
          <w:rFonts w:ascii="GHEA Grapalat" w:hAnsi="GHEA Grapalat" w:cs="Times New Roman"/>
          <w:bCs/>
          <w:sz w:val="24"/>
          <w:szCs w:val="24"/>
          <w:lang w:val="ru-RU"/>
        </w:rPr>
        <w:t>հանդիսացող</w:t>
      </w:r>
      <w:r w:rsidRPr="00E5722E">
        <w:rPr>
          <w:rFonts w:ascii="GHEA Grapalat" w:hAnsi="GHEA Grapalat" w:cs="Times New Roman"/>
          <w:bCs/>
          <w:sz w:val="24"/>
          <w:szCs w:val="24"/>
        </w:rPr>
        <w:t xml:space="preserve"> </w:t>
      </w:r>
      <w:r>
        <w:rPr>
          <w:rFonts w:ascii="GHEA Grapalat" w:hAnsi="GHEA Grapalat" w:cs="Times New Roman"/>
          <w:bCs/>
          <w:sz w:val="24"/>
          <w:szCs w:val="24"/>
          <w:lang w:val="ru-RU"/>
        </w:rPr>
        <w:t>ռիսկերի</w:t>
      </w:r>
      <w:r w:rsidRPr="00E5722E">
        <w:rPr>
          <w:rFonts w:ascii="GHEA Grapalat" w:hAnsi="GHEA Grapalat" w:cs="Times New Roman"/>
          <w:bCs/>
          <w:sz w:val="24"/>
          <w:szCs w:val="24"/>
        </w:rPr>
        <w:t xml:space="preserve"> </w:t>
      </w:r>
      <w:r>
        <w:rPr>
          <w:rFonts w:ascii="GHEA Grapalat" w:hAnsi="GHEA Grapalat" w:cs="Times New Roman"/>
          <w:bCs/>
          <w:sz w:val="24"/>
          <w:szCs w:val="24"/>
          <w:lang w:val="ru-RU"/>
        </w:rPr>
        <w:t>վրա</w:t>
      </w:r>
      <w:r w:rsidRPr="00E5722E">
        <w:rPr>
          <w:rFonts w:ascii="GHEA Grapalat" w:hAnsi="GHEA Grapalat" w:cs="Times New Roman"/>
          <w:bCs/>
          <w:sz w:val="24"/>
          <w:szCs w:val="24"/>
        </w:rPr>
        <w:t xml:space="preserve"> </w:t>
      </w:r>
      <w:r>
        <w:rPr>
          <w:rFonts w:ascii="GHEA Grapalat" w:hAnsi="GHEA Grapalat" w:cs="Times New Roman"/>
          <w:bCs/>
          <w:sz w:val="24"/>
          <w:szCs w:val="24"/>
          <w:lang w:val="ru-RU"/>
        </w:rPr>
        <w:t>հիմնված</w:t>
      </w:r>
      <w:r w:rsidRPr="00E5722E">
        <w:rPr>
          <w:rFonts w:ascii="GHEA Grapalat" w:hAnsi="GHEA Grapalat" w:cs="Times New Roman"/>
          <w:bCs/>
          <w:sz w:val="24"/>
          <w:szCs w:val="24"/>
        </w:rPr>
        <w:t xml:space="preserve"> </w:t>
      </w:r>
      <w:r>
        <w:rPr>
          <w:rFonts w:ascii="GHEA Grapalat" w:hAnsi="GHEA Grapalat" w:cs="Times New Roman"/>
          <w:bCs/>
          <w:sz w:val="24"/>
          <w:szCs w:val="24"/>
          <w:lang w:val="ru-RU"/>
        </w:rPr>
        <w:t>մեթոդաբանության</w:t>
      </w:r>
      <w:r w:rsidRPr="00E5722E">
        <w:rPr>
          <w:rFonts w:ascii="GHEA Grapalat" w:hAnsi="GHEA Grapalat" w:cs="Times New Roman"/>
          <w:bCs/>
          <w:sz w:val="24"/>
          <w:szCs w:val="24"/>
        </w:rPr>
        <w:t xml:space="preserve"> </w:t>
      </w:r>
      <w:r>
        <w:rPr>
          <w:rFonts w:ascii="GHEA Grapalat" w:hAnsi="GHEA Grapalat" w:cs="Times New Roman"/>
          <w:bCs/>
          <w:sz w:val="24"/>
          <w:szCs w:val="24"/>
          <w:lang w:val="ru-RU"/>
        </w:rPr>
        <w:t>համաձայն</w:t>
      </w:r>
      <w:r w:rsidRPr="00E5722E">
        <w:rPr>
          <w:rFonts w:ascii="GHEA Grapalat" w:hAnsi="GHEA Grapalat" w:cs="Times New Roman"/>
          <w:bCs/>
          <w:sz w:val="24"/>
          <w:szCs w:val="24"/>
        </w:rPr>
        <w:t xml:space="preserve"> </w:t>
      </w:r>
      <w:r>
        <w:rPr>
          <w:rFonts w:ascii="GHEA Grapalat" w:hAnsi="GHEA Grapalat" w:cs="Times New Roman"/>
          <w:bCs/>
          <w:sz w:val="24"/>
          <w:szCs w:val="24"/>
          <w:lang w:val="ru-RU"/>
        </w:rPr>
        <w:t>և</w:t>
      </w:r>
      <w:r w:rsidRPr="00E5722E">
        <w:rPr>
          <w:rFonts w:ascii="GHEA Grapalat" w:hAnsi="GHEA Grapalat" w:cs="Times New Roman"/>
          <w:bCs/>
          <w:sz w:val="24"/>
          <w:szCs w:val="24"/>
        </w:rPr>
        <w:t xml:space="preserve"> </w:t>
      </w:r>
      <w:r>
        <w:rPr>
          <w:rFonts w:ascii="GHEA Grapalat" w:hAnsi="GHEA Grapalat" w:cs="Times New Roman"/>
          <w:bCs/>
          <w:sz w:val="24"/>
          <w:szCs w:val="24"/>
          <w:lang w:val="ru-RU"/>
        </w:rPr>
        <w:t>նպատակ</w:t>
      </w:r>
      <w:r w:rsidRPr="00E5722E">
        <w:rPr>
          <w:rFonts w:ascii="GHEA Grapalat" w:hAnsi="GHEA Grapalat" w:cs="Times New Roman"/>
          <w:bCs/>
          <w:sz w:val="24"/>
          <w:szCs w:val="24"/>
        </w:rPr>
        <w:t xml:space="preserve"> </w:t>
      </w:r>
      <w:r>
        <w:rPr>
          <w:rFonts w:ascii="GHEA Grapalat" w:hAnsi="GHEA Grapalat" w:cs="Times New Roman"/>
          <w:bCs/>
          <w:sz w:val="24"/>
          <w:szCs w:val="24"/>
          <w:lang w:val="ru-RU"/>
        </w:rPr>
        <w:t>ունի</w:t>
      </w:r>
      <w:r w:rsidRPr="00E5722E">
        <w:rPr>
          <w:rFonts w:ascii="GHEA Grapalat" w:hAnsi="GHEA Grapalat" w:cs="Times New Roman"/>
          <w:bCs/>
          <w:sz w:val="24"/>
          <w:szCs w:val="24"/>
        </w:rPr>
        <w:t xml:space="preserve"> </w:t>
      </w:r>
      <w:r w:rsidR="00EE4A67">
        <w:rPr>
          <w:rFonts w:ascii="GHEA Grapalat" w:hAnsi="GHEA Grapalat" w:cs="Times New Roman"/>
          <w:bCs/>
          <w:sz w:val="24"/>
          <w:szCs w:val="24"/>
          <w:lang w:val="hy-AM"/>
        </w:rPr>
        <w:t xml:space="preserve">հիմնավորել </w:t>
      </w:r>
      <w:r w:rsidRPr="00E5722E">
        <w:rPr>
          <w:rFonts w:ascii="GHEA Grapalat" w:hAnsi="GHEA Grapalat" w:cs="Arial"/>
          <w:sz w:val="24"/>
          <w:szCs w:val="24"/>
          <w:lang w:val="ru-RU"/>
        </w:rPr>
        <w:t>Հաշվեքննիչ</w:t>
      </w:r>
      <w:r w:rsidRPr="00E5722E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5722E">
        <w:rPr>
          <w:rFonts w:ascii="GHEA Grapalat" w:hAnsi="GHEA Grapalat" w:cs="Arial"/>
          <w:sz w:val="24"/>
          <w:szCs w:val="24"/>
          <w:lang w:val="ru-RU"/>
        </w:rPr>
        <w:t>պալատի</w:t>
      </w:r>
      <w:r w:rsidRPr="00E5722E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1C3568">
        <w:rPr>
          <w:rFonts w:ascii="GHEA Grapalat" w:hAnsi="GHEA Grapalat" w:cs="Arial"/>
          <w:sz w:val="24"/>
          <w:szCs w:val="24"/>
          <w:lang w:val="hy-AM"/>
        </w:rPr>
        <w:t xml:space="preserve">2023 թվականի գործունեության ծրագրի </w:t>
      </w:r>
      <w:r w:rsidRPr="00E5722E">
        <w:rPr>
          <w:rFonts w:ascii="GHEA Grapalat" w:hAnsi="GHEA Grapalat" w:cs="Arial"/>
          <w:sz w:val="24"/>
          <w:szCs w:val="24"/>
          <w:lang w:val="ru-RU"/>
        </w:rPr>
        <w:t>առաջին</w:t>
      </w:r>
      <w:r w:rsidRPr="00E5722E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5722E">
        <w:rPr>
          <w:rFonts w:ascii="GHEA Grapalat" w:hAnsi="GHEA Grapalat" w:cs="Arial"/>
          <w:sz w:val="24"/>
          <w:szCs w:val="24"/>
          <w:lang w:val="ru-RU"/>
        </w:rPr>
        <w:t>և</w:t>
      </w:r>
      <w:r w:rsidRPr="00E5722E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5722E">
        <w:rPr>
          <w:rFonts w:ascii="GHEA Grapalat" w:hAnsi="GHEA Grapalat" w:cs="Arial"/>
          <w:sz w:val="24"/>
          <w:szCs w:val="24"/>
          <w:lang w:val="ru-RU"/>
        </w:rPr>
        <w:t>երկրորդ</w:t>
      </w:r>
      <w:r w:rsidRPr="00E5722E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5722E">
        <w:rPr>
          <w:rFonts w:ascii="GHEA Grapalat" w:hAnsi="GHEA Grapalat" w:cs="Arial"/>
          <w:sz w:val="24"/>
          <w:szCs w:val="24"/>
          <w:lang w:val="ru-RU"/>
        </w:rPr>
        <w:t>մասերով</w:t>
      </w:r>
      <w:r w:rsidRPr="00E5722E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EE4A67">
        <w:rPr>
          <w:rFonts w:ascii="GHEA Grapalat" w:hAnsi="GHEA Grapalat" w:cs="Arial"/>
          <w:sz w:val="24"/>
          <w:szCs w:val="24"/>
          <w:lang w:val="hy-AM"/>
        </w:rPr>
        <w:t>ծրագրային կետերի ընտրությունը</w:t>
      </w:r>
      <w:r w:rsidRPr="00E5722E">
        <w:rPr>
          <w:rFonts w:ascii="GHEA Grapalat" w:hAnsi="GHEA Grapalat" w:cs="Arial"/>
          <w:sz w:val="24"/>
          <w:szCs w:val="24"/>
          <w:lang w:val="en-US"/>
        </w:rPr>
        <w:t>:</w:t>
      </w:r>
    </w:p>
    <w:p w14:paraId="18821E71" w14:textId="77777777" w:rsidR="00252411" w:rsidRPr="00C14168" w:rsidRDefault="00252411" w:rsidP="00D6269C">
      <w:pPr>
        <w:spacing w:after="80" w:line="276" w:lineRule="auto"/>
        <w:jc w:val="center"/>
        <w:rPr>
          <w:rFonts w:ascii="GHEA Grapalat" w:hAnsi="GHEA Grapalat" w:cs="Times New Roman"/>
          <w:b/>
          <w:bCs/>
          <w:sz w:val="24"/>
          <w:szCs w:val="24"/>
          <w:u w:val="single"/>
          <w:lang w:val="en-US"/>
        </w:rPr>
      </w:pPr>
    </w:p>
    <w:p w14:paraId="3B07D101" w14:textId="34EFAEF8" w:rsidR="001672AE" w:rsidRPr="00C14168" w:rsidRDefault="001C3568" w:rsidP="00E5722E">
      <w:pPr>
        <w:pStyle w:val="ListParagraph"/>
        <w:tabs>
          <w:tab w:val="left" w:pos="567"/>
          <w:tab w:val="left" w:pos="1134"/>
        </w:tabs>
        <w:spacing w:after="80" w:line="276" w:lineRule="auto"/>
        <w:ind w:left="0"/>
        <w:jc w:val="both"/>
        <w:rPr>
          <w:rFonts w:cs="Times New Roman"/>
          <w:b/>
          <w:bCs/>
          <w:szCs w:val="24"/>
        </w:rPr>
      </w:pPr>
      <w:r w:rsidRPr="00E5722E">
        <w:rPr>
          <w:rFonts w:cs="Times New Roman"/>
          <w:b/>
          <w:bCs/>
          <w:szCs w:val="24"/>
        </w:rPr>
        <w:t xml:space="preserve">2. </w:t>
      </w:r>
      <w:r w:rsidR="001672AE" w:rsidRPr="00C14168">
        <w:rPr>
          <w:rFonts w:cs="Times New Roman"/>
          <w:b/>
          <w:bCs/>
          <w:szCs w:val="24"/>
          <w:lang w:val="hy-AM"/>
        </w:rPr>
        <w:t>2023 ԹՎԱԿԱՆԻ ԳՈՐԾՈՒՆԵՈՒԹՅԱՆ ԾՐԱԳՐԻ 1-ԻՆ ՄԱՍ</w:t>
      </w:r>
      <w:r w:rsidR="00D42BBC" w:rsidRPr="00C14168">
        <w:rPr>
          <w:rFonts w:cs="Times New Roman"/>
          <w:b/>
          <w:bCs/>
          <w:szCs w:val="24"/>
        </w:rPr>
        <w:t>ՈՎ ՀԱՇՎԵՔՆՆՈՒԹՅՈՒՆՆԵՐ</w:t>
      </w:r>
      <w:r w:rsidR="00183097" w:rsidRPr="00C14168">
        <w:rPr>
          <w:rFonts w:cs="Times New Roman"/>
          <w:b/>
          <w:bCs/>
          <w:szCs w:val="24"/>
        </w:rPr>
        <w:t xml:space="preserve"> </w:t>
      </w:r>
      <w:r w:rsidR="00DE6E24" w:rsidRPr="00C14168">
        <w:rPr>
          <w:rStyle w:val="FootnoteReference"/>
          <w:rFonts w:cs="Times New Roman"/>
          <w:b/>
          <w:bCs/>
          <w:szCs w:val="24"/>
        </w:rPr>
        <w:footnoteReference w:id="1"/>
      </w:r>
    </w:p>
    <w:p w14:paraId="0AFAEC6B" w14:textId="1C612279" w:rsidR="00DA70F7" w:rsidRPr="00C14168" w:rsidRDefault="00DA70F7" w:rsidP="00B035D9">
      <w:pPr>
        <w:spacing w:after="80" w:line="276" w:lineRule="auto"/>
        <w:ind w:firstLine="709"/>
        <w:jc w:val="both"/>
        <w:rPr>
          <w:rFonts w:ascii="GHEA Grapalat" w:hAnsi="GHEA Grapalat" w:cs="Times New Roman"/>
          <w:bCs/>
          <w:sz w:val="24"/>
          <w:szCs w:val="24"/>
          <w:lang w:val="en-US"/>
        </w:rPr>
      </w:pPr>
      <w:r w:rsidRPr="00C14168">
        <w:rPr>
          <w:rFonts w:ascii="GHEA Grapalat" w:hAnsi="GHEA Grapalat" w:cs="Times New Roman"/>
          <w:bCs/>
          <w:sz w:val="24"/>
          <w:szCs w:val="24"/>
          <w:lang w:val="hy-AM"/>
        </w:rPr>
        <w:t xml:space="preserve">Պետական բյուջեի երեք, վեց, ինն ամիսների և տարեկան կատարման հաշվեքննության ծրագրային կետեր սահմանելու համար </w:t>
      </w:r>
      <w:r w:rsidR="00E168D9" w:rsidRPr="00C14168">
        <w:rPr>
          <w:rFonts w:ascii="GHEA Grapalat" w:hAnsi="GHEA Grapalat" w:cs="Times New Roman"/>
          <w:bCs/>
          <w:sz w:val="24"/>
          <w:szCs w:val="24"/>
          <w:lang w:val="hy-AM"/>
        </w:rPr>
        <w:t xml:space="preserve">հիմք է հանդիսացել </w:t>
      </w:r>
      <w:r w:rsidR="00767C4E" w:rsidRPr="00C14168">
        <w:rPr>
          <w:rFonts w:ascii="GHEA Grapalat" w:hAnsi="GHEA Grapalat" w:cs="Times New Roman"/>
          <w:bCs/>
          <w:sz w:val="24"/>
          <w:szCs w:val="24"/>
          <w:lang w:val="hy-AM"/>
        </w:rPr>
        <w:t>2023 թվականի պետական բյուջեի նախագիծը, որտեղ ծրագրեր և միջոցառումներ կատարող</w:t>
      </w:r>
      <w:r w:rsidR="005D0AF1" w:rsidRPr="00C14168">
        <w:rPr>
          <w:rFonts w:ascii="GHEA Grapalat" w:hAnsi="GHEA Grapalat" w:cs="Times New Roman"/>
          <w:bCs/>
          <w:sz w:val="24"/>
          <w:szCs w:val="24"/>
          <w:lang w:val="hy-AM"/>
        </w:rPr>
        <w:t xml:space="preserve"> առավելագույն հատկացումների ծավալով</w:t>
      </w:r>
      <w:r w:rsidR="00A57A64" w:rsidRPr="00C14168">
        <w:rPr>
          <w:rFonts w:ascii="GHEA Grapalat" w:hAnsi="GHEA Grapalat" w:cs="Times New Roman"/>
          <w:bCs/>
          <w:sz w:val="24"/>
          <w:szCs w:val="24"/>
          <w:lang w:val="hy-AM"/>
        </w:rPr>
        <w:t xml:space="preserve"> 10</w:t>
      </w:r>
      <w:r w:rsidR="00767C4E" w:rsidRPr="00C14168">
        <w:rPr>
          <w:rFonts w:ascii="GHEA Grapalat" w:hAnsi="GHEA Grapalat" w:cs="Times New Roman"/>
          <w:bCs/>
          <w:sz w:val="24"/>
          <w:szCs w:val="24"/>
          <w:lang w:val="hy-AM"/>
        </w:rPr>
        <w:t xml:space="preserve"> պետական կառավարման մարմիններ</w:t>
      </w:r>
      <w:r w:rsidR="00B47674" w:rsidRPr="00C14168">
        <w:rPr>
          <w:rFonts w:ascii="GHEA Grapalat" w:hAnsi="GHEA Grapalat" w:cs="Times New Roman"/>
          <w:bCs/>
          <w:sz w:val="24"/>
          <w:szCs w:val="24"/>
          <w:lang w:val="en-US"/>
        </w:rPr>
        <w:t xml:space="preserve">ն </w:t>
      </w:r>
      <w:proofErr w:type="spellStart"/>
      <w:r w:rsidR="00B47674" w:rsidRPr="00C14168">
        <w:rPr>
          <w:rFonts w:ascii="GHEA Grapalat" w:hAnsi="GHEA Grapalat" w:cs="Times New Roman"/>
          <w:bCs/>
          <w:sz w:val="24"/>
          <w:szCs w:val="24"/>
          <w:lang w:val="en-US"/>
        </w:rPr>
        <w:t>են</w:t>
      </w:r>
      <w:proofErr w:type="spellEnd"/>
      <w:r w:rsidR="00B47674" w:rsidRPr="00C14168">
        <w:rPr>
          <w:rFonts w:ascii="GHEA Grapalat" w:hAnsi="GHEA Grapalat" w:cs="Times New Roman"/>
          <w:bCs/>
          <w:sz w:val="24"/>
          <w:szCs w:val="24"/>
          <w:lang w:val="en-US"/>
        </w:rPr>
        <w:t>.</w:t>
      </w:r>
    </w:p>
    <w:p w14:paraId="5445738E" w14:textId="1CAFDC58" w:rsidR="00481E9B" w:rsidRPr="007F3946" w:rsidRDefault="007F3946" w:rsidP="00D6269C">
      <w:pPr>
        <w:pStyle w:val="ListParagraph"/>
        <w:spacing w:after="80" w:line="276" w:lineRule="auto"/>
        <w:ind w:left="1080" w:hanging="371"/>
        <w:jc w:val="both"/>
        <w:rPr>
          <w:rFonts w:cs="Times New Roman"/>
          <w:bCs/>
          <w:szCs w:val="24"/>
          <w:lang w:val="ru-RU"/>
        </w:rPr>
      </w:pPr>
      <w:r w:rsidRPr="007F3946">
        <w:rPr>
          <w:rFonts w:cs="Times New Roman"/>
          <w:bCs/>
          <w:szCs w:val="24"/>
          <w:lang w:val="ru-RU"/>
        </w:rPr>
        <w:t xml:space="preserve">1. </w:t>
      </w:r>
      <w:r w:rsidR="00481E9B" w:rsidRPr="007F3946">
        <w:rPr>
          <w:rFonts w:cs="Times New Roman"/>
          <w:bCs/>
          <w:szCs w:val="24"/>
          <w:lang w:val="ru-RU"/>
        </w:rPr>
        <w:t>ՀՀ  պաշտպանության  նախարարություն</w:t>
      </w:r>
    </w:p>
    <w:p w14:paraId="076EE8BA" w14:textId="70CDE7A1" w:rsidR="00481E9B" w:rsidRPr="007F3946" w:rsidRDefault="00481E9B" w:rsidP="00D6269C">
      <w:pPr>
        <w:pStyle w:val="ListParagraph"/>
        <w:numPr>
          <w:ilvl w:val="0"/>
          <w:numId w:val="17"/>
        </w:numPr>
        <w:spacing w:after="80" w:line="276" w:lineRule="auto"/>
        <w:ind w:left="1080"/>
        <w:jc w:val="both"/>
        <w:rPr>
          <w:rFonts w:cs="Times New Roman"/>
          <w:bCs/>
          <w:szCs w:val="24"/>
          <w:lang w:val="ru-RU"/>
        </w:rPr>
      </w:pPr>
      <w:r w:rsidRPr="00C14168">
        <w:rPr>
          <w:rFonts w:cs="Times New Roman"/>
          <w:bCs/>
          <w:szCs w:val="24"/>
          <w:lang w:val="ru-RU"/>
        </w:rPr>
        <w:t>ՀՀ</w:t>
      </w:r>
      <w:r w:rsidRPr="007F3946">
        <w:rPr>
          <w:rFonts w:cs="Times New Roman"/>
          <w:bCs/>
          <w:szCs w:val="24"/>
          <w:lang w:val="ru-RU"/>
        </w:rPr>
        <w:t xml:space="preserve"> </w:t>
      </w:r>
      <w:r w:rsidRPr="00C14168">
        <w:rPr>
          <w:rFonts w:cs="Times New Roman"/>
          <w:bCs/>
          <w:szCs w:val="24"/>
          <w:lang w:val="ru-RU"/>
        </w:rPr>
        <w:t>աշխատանքի</w:t>
      </w:r>
      <w:r w:rsidRPr="007F3946">
        <w:rPr>
          <w:rFonts w:cs="Times New Roman"/>
          <w:bCs/>
          <w:szCs w:val="24"/>
          <w:lang w:val="ru-RU"/>
        </w:rPr>
        <w:t xml:space="preserve"> </w:t>
      </w:r>
      <w:r w:rsidRPr="00C14168">
        <w:rPr>
          <w:rFonts w:cs="Times New Roman"/>
          <w:bCs/>
          <w:szCs w:val="24"/>
          <w:lang w:val="ru-RU"/>
        </w:rPr>
        <w:t>և</w:t>
      </w:r>
      <w:r w:rsidRPr="007F3946">
        <w:rPr>
          <w:rFonts w:cs="Times New Roman"/>
          <w:bCs/>
          <w:szCs w:val="24"/>
          <w:lang w:val="ru-RU"/>
        </w:rPr>
        <w:t xml:space="preserve"> </w:t>
      </w:r>
      <w:r w:rsidRPr="00C14168">
        <w:rPr>
          <w:rFonts w:cs="Times New Roman"/>
          <w:bCs/>
          <w:szCs w:val="24"/>
          <w:lang w:val="ru-RU"/>
        </w:rPr>
        <w:t>սոցիալական</w:t>
      </w:r>
      <w:r w:rsidRPr="007F3946">
        <w:rPr>
          <w:rFonts w:cs="Times New Roman"/>
          <w:bCs/>
          <w:szCs w:val="24"/>
          <w:lang w:val="ru-RU"/>
        </w:rPr>
        <w:t xml:space="preserve"> </w:t>
      </w:r>
      <w:r w:rsidRPr="00C14168">
        <w:rPr>
          <w:rFonts w:cs="Times New Roman"/>
          <w:bCs/>
          <w:szCs w:val="24"/>
          <w:lang w:val="ru-RU"/>
        </w:rPr>
        <w:t>հարցերի</w:t>
      </w:r>
      <w:r w:rsidRPr="007F3946">
        <w:rPr>
          <w:rFonts w:cs="Times New Roman"/>
          <w:bCs/>
          <w:szCs w:val="24"/>
          <w:lang w:val="ru-RU"/>
        </w:rPr>
        <w:t xml:space="preserve"> </w:t>
      </w:r>
      <w:r w:rsidRPr="00C14168">
        <w:rPr>
          <w:rFonts w:cs="Times New Roman"/>
          <w:bCs/>
          <w:szCs w:val="24"/>
          <w:lang w:val="ru-RU"/>
        </w:rPr>
        <w:t>նախարարության</w:t>
      </w:r>
      <w:r w:rsidRPr="007F3946">
        <w:rPr>
          <w:rFonts w:cs="Times New Roman"/>
          <w:bCs/>
          <w:szCs w:val="24"/>
          <w:lang w:val="ru-RU"/>
        </w:rPr>
        <w:t xml:space="preserve"> </w:t>
      </w:r>
      <w:r w:rsidRPr="00C14168">
        <w:rPr>
          <w:rFonts w:cs="Times New Roman"/>
          <w:bCs/>
          <w:szCs w:val="24"/>
          <w:lang w:val="ru-RU"/>
        </w:rPr>
        <w:t>միասնական</w:t>
      </w:r>
      <w:r w:rsidRPr="007F3946">
        <w:rPr>
          <w:rFonts w:cs="Times New Roman"/>
          <w:bCs/>
          <w:szCs w:val="24"/>
          <w:lang w:val="ru-RU"/>
        </w:rPr>
        <w:t xml:space="preserve"> </w:t>
      </w:r>
      <w:r w:rsidRPr="00C14168">
        <w:rPr>
          <w:rFonts w:cs="Times New Roman"/>
          <w:bCs/>
          <w:szCs w:val="24"/>
          <w:lang w:val="ru-RU"/>
        </w:rPr>
        <w:t>սոցիալական</w:t>
      </w:r>
      <w:r w:rsidRPr="007F3946">
        <w:rPr>
          <w:rFonts w:cs="Times New Roman"/>
          <w:bCs/>
          <w:szCs w:val="24"/>
          <w:lang w:val="ru-RU"/>
        </w:rPr>
        <w:t xml:space="preserve"> </w:t>
      </w:r>
      <w:r w:rsidRPr="00C14168">
        <w:rPr>
          <w:rFonts w:cs="Times New Roman"/>
          <w:bCs/>
          <w:szCs w:val="24"/>
          <w:lang w:val="ru-RU"/>
        </w:rPr>
        <w:t>ծառայություն</w:t>
      </w:r>
    </w:p>
    <w:p w14:paraId="44E2EEC1" w14:textId="2BE6E13A" w:rsidR="00481E9B" w:rsidRPr="00C14168" w:rsidRDefault="00481E9B" w:rsidP="00D6269C">
      <w:pPr>
        <w:pStyle w:val="ListParagraph"/>
        <w:numPr>
          <w:ilvl w:val="0"/>
          <w:numId w:val="17"/>
        </w:numPr>
        <w:spacing w:after="80" w:line="276" w:lineRule="auto"/>
        <w:ind w:left="1080"/>
        <w:jc w:val="both"/>
        <w:rPr>
          <w:rFonts w:cs="Times New Roman"/>
          <w:bCs/>
          <w:szCs w:val="24"/>
        </w:rPr>
      </w:pPr>
      <w:r w:rsidRPr="00C14168">
        <w:rPr>
          <w:rFonts w:cs="Times New Roman"/>
          <w:bCs/>
          <w:szCs w:val="24"/>
          <w:lang w:val="ru-RU"/>
        </w:rPr>
        <w:t>ՀՀ</w:t>
      </w:r>
      <w:r w:rsidRPr="00C14168">
        <w:rPr>
          <w:rFonts w:cs="Times New Roman"/>
          <w:bCs/>
          <w:szCs w:val="24"/>
        </w:rPr>
        <w:t xml:space="preserve"> </w:t>
      </w:r>
      <w:r w:rsidRPr="00C14168">
        <w:rPr>
          <w:rFonts w:cs="Times New Roman"/>
          <w:bCs/>
          <w:szCs w:val="24"/>
          <w:lang w:val="ru-RU"/>
        </w:rPr>
        <w:t>ֆինանսների</w:t>
      </w:r>
      <w:r w:rsidRPr="00C14168">
        <w:rPr>
          <w:rFonts w:cs="Times New Roman"/>
          <w:bCs/>
          <w:szCs w:val="24"/>
        </w:rPr>
        <w:t xml:space="preserve"> </w:t>
      </w:r>
      <w:r w:rsidRPr="00C14168">
        <w:rPr>
          <w:rFonts w:cs="Times New Roman"/>
          <w:bCs/>
          <w:szCs w:val="24"/>
          <w:lang w:val="ru-RU"/>
        </w:rPr>
        <w:t>նախարարություն</w:t>
      </w:r>
    </w:p>
    <w:p w14:paraId="50EE2B05" w14:textId="512C9BA2" w:rsidR="00481E9B" w:rsidRPr="00C14168" w:rsidRDefault="00481E9B" w:rsidP="00D6269C">
      <w:pPr>
        <w:pStyle w:val="ListParagraph"/>
        <w:numPr>
          <w:ilvl w:val="0"/>
          <w:numId w:val="17"/>
        </w:numPr>
        <w:spacing w:after="80" w:line="276" w:lineRule="auto"/>
        <w:ind w:left="1080"/>
        <w:jc w:val="both"/>
        <w:rPr>
          <w:rFonts w:cs="Times New Roman"/>
          <w:bCs/>
          <w:szCs w:val="24"/>
        </w:rPr>
      </w:pPr>
      <w:r w:rsidRPr="00C14168">
        <w:rPr>
          <w:rFonts w:cs="Times New Roman"/>
          <w:bCs/>
          <w:szCs w:val="24"/>
          <w:lang w:val="ru-RU"/>
        </w:rPr>
        <w:t>ՀՀ</w:t>
      </w:r>
      <w:r w:rsidRPr="00C14168">
        <w:rPr>
          <w:rFonts w:cs="Times New Roman"/>
          <w:bCs/>
          <w:szCs w:val="24"/>
        </w:rPr>
        <w:t xml:space="preserve"> </w:t>
      </w:r>
      <w:r w:rsidRPr="00C14168">
        <w:rPr>
          <w:rFonts w:cs="Times New Roman"/>
          <w:bCs/>
          <w:szCs w:val="24"/>
          <w:lang w:val="ru-RU"/>
        </w:rPr>
        <w:t>պետական</w:t>
      </w:r>
      <w:r w:rsidRPr="00C14168">
        <w:rPr>
          <w:rFonts w:cs="Times New Roman"/>
          <w:bCs/>
          <w:szCs w:val="24"/>
        </w:rPr>
        <w:t xml:space="preserve"> </w:t>
      </w:r>
      <w:r w:rsidRPr="00C14168">
        <w:rPr>
          <w:rFonts w:cs="Times New Roman"/>
          <w:bCs/>
          <w:szCs w:val="24"/>
          <w:lang w:val="ru-RU"/>
        </w:rPr>
        <w:t>եկամուտների</w:t>
      </w:r>
      <w:r w:rsidRPr="00C14168">
        <w:rPr>
          <w:rFonts w:cs="Times New Roman"/>
          <w:bCs/>
          <w:szCs w:val="24"/>
        </w:rPr>
        <w:t xml:space="preserve"> </w:t>
      </w:r>
      <w:r w:rsidRPr="00C14168">
        <w:rPr>
          <w:rFonts w:cs="Times New Roman"/>
          <w:bCs/>
          <w:szCs w:val="24"/>
          <w:lang w:val="ru-RU"/>
        </w:rPr>
        <w:t>կոմիտե</w:t>
      </w:r>
    </w:p>
    <w:p w14:paraId="5BF52E8A" w14:textId="1379E04C" w:rsidR="00481E9B" w:rsidRPr="00C14168" w:rsidRDefault="00481E9B" w:rsidP="00D6269C">
      <w:pPr>
        <w:pStyle w:val="ListParagraph"/>
        <w:numPr>
          <w:ilvl w:val="0"/>
          <w:numId w:val="17"/>
        </w:numPr>
        <w:spacing w:after="80" w:line="276" w:lineRule="auto"/>
        <w:ind w:left="1080"/>
        <w:jc w:val="both"/>
        <w:rPr>
          <w:rFonts w:cs="Times New Roman"/>
          <w:bCs/>
          <w:szCs w:val="24"/>
        </w:rPr>
      </w:pPr>
      <w:r w:rsidRPr="00C14168">
        <w:rPr>
          <w:rFonts w:cs="Times New Roman"/>
          <w:bCs/>
          <w:szCs w:val="24"/>
          <w:lang w:val="ru-RU"/>
        </w:rPr>
        <w:t>ՀՀ</w:t>
      </w:r>
      <w:r w:rsidRPr="00C14168">
        <w:rPr>
          <w:rFonts w:cs="Times New Roman"/>
          <w:bCs/>
          <w:szCs w:val="24"/>
        </w:rPr>
        <w:t xml:space="preserve">  </w:t>
      </w:r>
      <w:r w:rsidRPr="00C14168">
        <w:rPr>
          <w:rFonts w:cs="Times New Roman"/>
          <w:bCs/>
          <w:szCs w:val="24"/>
          <w:lang w:val="ru-RU"/>
        </w:rPr>
        <w:t>առողջապահության</w:t>
      </w:r>
      <w:r w:rsidRPr="00C14168">
        <w:rPr>
          <w:rFonts w:cs="Times New Roman"/>
          <w:bCs/>
          <w:szCs w:val="24"/>
        </w:rPr>
        <w:t xml:space="preserve">  </w:t>
      </w:r>
      <w:r w:rsidRPr="00C14168">
        <w:rPr>
          <w:rFonts w:cs="Times New Roman"/>
          <w:bCs/>
          <w:szCs w:val="24"/>
          <w:lang w:val="ru-RU"/>
        </w:rPr>
        <w:t>նախարարություն</w:t>
      </w:r>
    </w:p>
    <w:p w14:paraId="68074829" w14:textId="758CDC94" w:rsidR="00481E9B" w:rsidRPr="00C14168" w:rsidRDefault="00481E9B" w:rsidP="00D6269C">
      <w:pPr>
        <w:pStyle w:val="ListParagraph"/>
        <w:numPr>
          <w:ilvl w:val="0"/>
          <w:numId w:val="17"/>
        </w:numPr>
        <w:spacing w:after="80" w:line="276" w:lineRule="auto"/>
        <w:ind w:left="1080"/>
        <w:jc w:val="both"/>
        <w:rPr>
          <w:rFonts w:cs="Times New Roman"/>
          <w:bCs/>
          <w:szCs w:val="24"/>
        </w:rPr>
      </w:pPr>
      <w:r w:rsidRPr="00C14168">
        <w:rPr>
          <w:rFonts w:cs="Times New Roman"/>
          <w:bCs/>
          <w:szCs w:val="24"/>
          <w:lang w:val="ru-RU"/>
        </w:rPr>
        <w:t>ՀՀ</w:t>
      </w:r>
      <w:r w:rsidRPr="00C14168">
        <w:rPr>
          <w:rFonts w:cs="Times New Roman"/>
          <w:bCs/>
          <w:szCs w:val="24"/>
        </w:rPr>
        <w:t xml:space="preserve"> </w:t>
      </w:r>
      <w:r w:rsidRPr="00C14168">
        <w:rPr>
          <w:rFonts w:cs="Times New Roman"/>
          <w:bCs/>
          <w:szCs w:val="24"/>
          <w:lang w:val="ru-RU"/>
        </w:rPr>
        <w:t>տարածքային</w:t>
      </w:r>
      <w:r w:rsidRPr="00C14168">
        <w:rPr>
          <w:rFonts w:cs="Times New Roman"/>
          <w:bCs/>
          <w:szCs w:val="24"/>
        </w:rPr>
        <w:t xml:space="preserve"> </w:t>
      </w:r>
      <w:r w:rsidRPr="00C14168">
        <w:rPr>
          <w:rFonts w:cs="Times New Roman"/>
          <w:bCs/>
          <w:szCs w:val="24"/>
          <w:lang w:val="ru-RU"/>
        </w:rPr>
        <w:t>կառավարման</w:t>
      </w:r>
      <w:r w:rsidRPr="00C14168">
        <w:rPr>
          <w:rFonts w:cs="Times New Roman"/>
          <w:bCs/>
          <w:szCs w:val="24"/>
        </w:rPr>
        <w:t xml:space="preserve"> </w:t>
      </w:r>
      <w:r w:rsidRPr="00C14168">
        <w:rPr>
          <w:rFonts w:cs="Times New Roman"/>
          <w:bCs/>
          <w:szCs w:val="24"/>
          <w:lang w:val="ru-RU"/>
        </w:rPr>
        <w:t>և</w:t>
      </w:r>
      <w:r w:rsidRPr="00C14168">
        <w:rPr>
          <w:rFonts w:cs="Times New Roman"/>
          <w:bCs/>
          <w:szCs w:val="24"/>
        </w:rPr>
        <w:t xml:space="preserve"> </w:t>
      </w:r>
      <w:r w:rsidRPr="00C14168">
        <w:rPr>
          <w:rFonts w:cs="Times New Roman"/>
          <w:bCs/>
          <w:szCs w:val="24"/>
          <w:lang w:val="ru-RU"/>
        </w:rPr>
        <w:t>ենթակառուցվածքների</w:t>
      </w:r>
      <w:r w:rsidRPr="00C14168">
        <w:rPr>
          <w:rFonts w:cs="Times New Roman"/>
          <w:bCs/>
          <w:szCs w:val="24"/>
        </w:rPr>
        <w:t xml:space="preserve"> </w:t>
      </w:r>
      <w:r w:rsidRPr="00C14168">
        <w:rPr>
          <w:rFonts w:cs="Times New Roman"/>
          <w:bCs/>
          <w:szCs w:val="24"/>
          <w:lang w:val="ru-RU"/>
        </w:rPr>
        <w:t>նախարարություն</w:t>
      </w:r>
    </w:p>
    <w:p w14:paraId="7A68398A" w14:textId="39463A49" w:rsidR="00481E9B" w:rsidRPr="00C14168" w:rsidRDefault="00481E9B" w:rsidP="00D6269C">
      <w:pPr>
        <w:pStyle w:val="ListParagraph"/>
        <w:numPr>
          <w:ilvl w:val="0"/>
          <w:numId w:val="17"/>
        </w:numPr>
        <w:spacing w:after="80" w:line="276" w:lineRule="auto"/>
        <w:ind w:left="1080"/>
        <w:jc w:val="both"/>
        <w:rPr>
          <w:rFonts w:cs="Times New Roman"/>
          <w:bCs/>
          <w:szCs w:val="24"/>
        </w:rPr>
      </w:pPr>
      <w:r w:rsidRPr="00C14168">
        <w:rPr>
          <w:rFonts w:cs="Times New Roman"/>
          <w:bCs/>
          <w:szCs w:val="24"/>
          <w:lang w:val="ru-RU"/>
        </w:rPr>
        <w:t>ՀՀ</w:t>
      </w:r>
      <w:r w:rsidRPr="00C14168">
        <w:rPr>
          <w:rFonts w:cs="Times New Roman"/>
          <w:bCs/>
          <w:szCs w:val="24"/>
        </w:rPr>
        <w:t xml:space="preserve">  </w:t>
      </w:r>
      <w:r w:rsidRPr="00C14168">
        <w:rPr>
          <w:rFonts w:cs="Times New Roman"/>
          <w:bCs/>
          <w:szCs w:val="24"/>
          <w:lang w:val="ru-RU"/>
        </w:rPr>
        <w:t>կրթության</w:t>
      </w:r>
      <w:r w:rsidRPr="00C14168">
        <w:rPr>
          <w:rFonts w:cs="Times New Roman"/>
          <w:bCs/>
          <w:szCs w:val="24"/>
        </w:rPr>
        <w:t xml:space="preserve"> , </w:t>
      </w:r>
      <w:r w:rsidRPr="00C14168">
        <w:rPr>
          <w:rFonts w:cs="Times New Roman"/>
          <w:bCs/>
          <w:szCs w:val="24"/>
          <w:lang w:val="ru-RU"/>
        </w:rPr>
        <w:t>գիտության</w:t>
      </w:r>
      <w:r w:rsidRPr="00C14168">
        <w:rPr>
          <w:rFonts w:cs="Times New Roman"/>
          <w:bCs/>
          <w:szCs w:val="24"/>
        </w:rPr>
        <w:t xml:space="preserve">, </w:t>
      </w:r>
      <w:r w:rsidRPr="00C14168">
        <w:rPr>
          <w:rFonts w:cs="Times New Roman"/>
          <w:bCs/>
          <w:szCs w:val="24"/>
          <w:lang w:val="ru-RU"/>
        </w:rPr>
        <w:t>մշակույթի</w:t>
      </w:r>
      <w:r w:rsidRPr="00C14168">
        <w:rPr>
          <w:rFonts w:cs="Times New Roman"/>
          <w:bCs/>
          <w:szCs w:val="24"/>
        </w:rPr>
        <w:t xml:space="preserve"> </w:t>
      </w:r>
      <w:r w:rsidRPr="00C14168">
        <w:rPr>
          <w:rFonts w:cs="Times New Roman"/>
          <w:bCs/>
          <w:szCs w:val="24"/>
          <w:lang w:val="ru-RU"/>
        </w:rPr>
        <w:t>և</w:t>
      </w:r>
      <w:r w:rsidRPr="00C14168">
        <w:rPr>
          <w:rFonts w:cs="Times New Roman"/>
          <w:bCs/>
          <w:szCs w:val="24"/>
        </w:rPr>
        <w:t xml:space="preserve"> </w:t>
      </w:r>
      <w:r w:rsidRPr="00C14168">
        <w:rPr>
          <w:rFonts w:cs="Times New Roman"/>
          <w:bCs/>
          <w:szCs w:val="24"/>
          <w:lang w:val="ru-RU"/>
        </w:rPr>
        <w:t>սպորտի</w:t>
      </w:r>
      <w:r w:rsidRPr="00C14168">
        <w:rPr>
          <w:rFonts w:cs="Times New Roman"/>
          <w:bCs/>
          <w:szCs w:val="24"/>
        </w:rPr>
        <w:t xml:space="preserve"> </w:t>
      </w:r>
      <w:r w:rsidRPr="00C14168">
        <w:rPr>
          <w:rFonts w:cs="Times New Roman"/>
          <w:bCs/>
          <w:szCs w:val="24"/>
          <w:lang w:val="ru-RU"/>
        </w:rPr>
        <w:t>նախարարություն</w:t>
      </w:r>
    </w:p>
    <w:p w14:paraId="0B744B83" w14:textId="3712C416" w:rsidR="00481E9B" w:rsidRPr="00C14168" w:rsidRDefault="00481E9B" w:rsidP="00D6269C">
      <w:pPr>
        <w:pStyle w:val="ListParagraph"/>
        <w:numPr>
          <w:ilvl w:val="0"/>
          <w:numId w:val="17"/>
        </w:numPr>
        <w:spacing w:after="80" w:line="276" w:lineRule="auto"/>
        <w:ind w:left="1080"/>
        <w:jc w:val="both"/>
        <w:rPr>
          <w:rFonts w:cs="Times New Roman"/>
          <w:bCs/>
          <w:szCs w:val="24"/>
          <w:lang w:val="ru-RU"/>
        </w:rPr>
      </w:pPr>
      <w:r w:rsidRPr="00C14168">
        <w:rPr>
          <w:rFonts w:cs="Times New Roman"/>
          <w:bCs/>
          <w:szCs w:val="24"/>
          <w:lang w:val="ru-RU"/>
        </w:rPr>
        <w:t>ՀՀ ոստիկանություն</w:t>
      </w:r>
    </w:p>
    <w:p w14:paraId="0781951E" w14:textId="11BDBE9D" w:rsidR="00481E9B" w:rsidRPr="00E5722E" w:rsidRDefault="001C3568" w:rsidP="001E0F6D">
      <w:pPr>
        <w:spacing w:after="80" w:line="276" w:lineRule="auto"/>
        <w:ind w:firstLine="720"/>
        <w:jc w:val="both"/>
        <w:rPr>
          <w:rFonts w:cs="Times New Roman"/>
          <w:bCs/>
          <w:szCs w:val="24"/>
          <w:lang w:val="ru-RU"/>
        </w:rPr>
      </w:pPr>
      <w:r>
        <w:rPr>
          <w:rFonts w:ascii="GHEA Grapalat" w:hAnsi="GHEA Grapalat" w:cs="Times New Roman"/>
          <w:bCs/>
          <w:sz w:val="24"/>
          <w:szCs w:val="24"/>
          <w:lang w:val="ru-RU"/>
        </w:rPr>
        <w:t xml:space="preserve">9. </w:t>
      </w:r>
      <w:r w:rsidR="00481E9B" w:rsidRPr="001C3568">
        <w:rPr>
          <w:rFonts w:ascii="GHEA Grapalat" w:hAnsi="GHEA Grapalat" w:cs="Times New Roman"/>
          <w:bCs/>
          <w:sz w:val="24"/>
          <w:szCs w:val="24"/>
          <w:lang w:val="ru-RU"/>
        </w:rPr>
        <w:t>ՀՀ էկոնոմիկայի</w:t>
      </w:r>
      <w:r w:rsidR="00481E9B" w:rsidRPr="00E5722E">
        <w:rPr>
          <w:rFonts w:ascii="GHEA Grapalat" w:hAnsi="GHEA Grapalat" w:cs="Times New Roman"/>
          <w:bCs/>
          <w:sz w:val="24"/>
          <w:szCs w:val="24"/>
          <w:lang w:val="ru-RU"/>
        </w:rPr>
        <w:t xml:space="preserve"> նախարարություն</w:t>
      </w:r>
    </w:p>
    <w:p w14:paraId="0E4734BE" w14:textId="538C7656" w:rsidR="00481E9B" w:rsidRPr="00E5722E" w:rsidRDefault="001C3568" w:rsidP="00D45ED0">
      <w:pPr>
        <w:spacing w:after="80" w:line="276" w:lineRule="auto"/>
        <w:ind w:left="720"/>
        <w:jc w:val="both"/>
        <w:rPr>
          <w:rFonts w:cs="Times New Roman"/>
          <w:bCs/>
          <w:szCs w:val="24"/>
          <w:lang w:val="ru-RU"/>
        </w:rPr>
      </w:pPr>
      <w:r>
        <w:rPr>
          <w:rFonts w:ascii="GHEA Grapalat" w:hAnsi="GHEA Grapalat" w:cs="Times New Roman"/>
          <w:bCs/>
          <w:sz w:val="24"/>
          <w:szCs w:val="24"/>
          <w:lang w:val="ru-RU"/>
        </w:rPr>
        <w:lastRenderedPageBreak/>
        <w:t xml:space="preserve">10. </w:t>
      </w:r>
      <w:r w:rsidR="00481E9B" w:rsidRPr="00E5722E">
        <w:rPr>
          <w:rFonts w:ascii="GHEA Grapalat" w:hAnsi="GHEA Grapalat" w:cs="Times New Roman"/>
          <w:bCs/>
          <w:sz w:val="24"/>
          <w:szCs w:val="24"/>
          <w:lang w:val="ru-RU"/>
        </w:rPr>
        <w:t>ՀՀ  տարածքային կառավարման և ենթակառուցվածքների նախարարության ջրային կոմիտե</w:t>
      </w:r>
      <w:r w:rsidR="0063035B" w:rsidRPr="00E5722E">
        <w:rPr>
          <w:rFonts w:ascii="GHEA Grapalat" w:hAnsi="GHEA Grapalat" w:cs="Times New Roman"/>
          <w:bCs/>
          <w:sz w:val="24"/>
          <w:szCs w:val="24"/>
          <w:lang w:val="ru-RU"/>
        </w:rPr>
        <w:t>:</w:t>
      </w:r>
    </w:p>
    <w:p w14:paraId="7A67CFA3" w14:textId="4A2030F7" w:rsidR="0063035B" w:rsidRPr="001B64B0" w:rsidRDefault="0063035B" w:rsidP="00B035D9">
      <w:pPr>
        <w:spacing w:after="80" w:line="276" w:lineRule="auto"/>
        <w:ind w:firstLine="360"/>
        <w:jc w:val="both"/>
        <w:rPr>
          <w:rFonts w:ascii="GHEA Grapalat" w:hAnsi="GHEA Grapalat" w:cs="Times New Roman"/>
          <w:bCs/>
          <w:sz w:val="24"/>
          <w:szCs w:val="24"/>
          <w:lang w:val="ru-RU"/>
        </w:rPr>
      </w:pPr>
      <w:proofErr w:type="spellStart"/>
      <w:r w:rsidRPr="0063035B">
        <w:rPr>
          <w:rFonts w:ascii="GHEA Grapalat" w:hAnsi="GHEA Grapalat" w:cs="Times New Roman"/>
          <w:bCs/>
          <w:sz w:val="24"/>
          <w:szCs w:val="24"/>
          <w:lang w:val="en-US"/>
        </w:rPr>
        <w:t>Հաշվեքննության</w:t>
      </w:r>
      <w:proofErr w:type="spellEnd"/>
      <w:r w:rsidRPr="001B64B0">
        <w:rPr>
          <w:rFonts w:ascii="GHEA Grapalat" w:hAnsi="GHEA Grapalat" w:cs="Times New Roman"/>
          <w:bCs/>
          <w:sz w:val="24"/>
          <w:szCs w:val="24"/>
          <w:lang w:val="ru-RU"/>
        </w:rPr>
        <w:t xml:space="preserve"> </w:t>
      </w:r>
      <w:proofErr w:type="spellStart"/>
      <w:r w:rsidRPr="0063035B">
        <w:rPr>
          <w:rFonts w:ascii="GHEA Grapalat" w:hAnsi="GHEA Grapalat" w:cs="Times New Roman"/>
          <w:bCs/>
          <w:sz w:val="24"/>
          <w:szCs w:val="24"/>
          <w:lang w:val="en-US"/>
        </w:rPr>
        <w:t>ընդհանուր</w:t>
      </w:r>
      <w:proofErr w:type="spellEnd"/>
      <w:r w:rsidRPr="001B64B0">
        <w:rPr>
          <w:rFonts w:ascii="GHEA Grapalat" w:hAnsi="GHEA Grapalat" w:cs="Times New Roman"/>
          <w:bCs/>
          <w:sz w:val="24"/>
          <w:szCs w:val="24"/>
          <w:lang w:val="ru-RU"/>
        </w:rPr>
        <w:t xml:space="preserve"> </w:t>
      </w:r>
      <w:proofErr w:type="spellStart"/>
      <w:r w:rsidRPr="0063035B">
        <w:rPr>
          <w:rFonts w:ascii="GHEA Grapalat" w:hAnsi="GHEA Grapalat" w:cs="Times New Roman"/>
          <w:bCs/>
          <w:sz w:val="24"/>
          <w:szCs w:val="24"/>
          <w:lang w:val="en-US"/>
        </w:rPr>
        <w:t>ծածկույթը</w:t>
      </w:r>
      <w:proofErr w:type="spellEnd"/>
      <w:r w:rsidRPr="0063035B">
        <w:rPr>
          <w:rFonts w:ascii="GHEA Grapalat" w:hAnsi="GHEA Grapalat" w:cs="Times New Roman"/>
          <w:bCs/>
          <w:sz w:val="24"/>
          <w:szCs w:val="24"/>
          <w:lang w:val="en-US"/>
        </w:rPr>
        <w:t>՝</w:t>
      </w:r>
      <w:r w:rsidRPr="001B64B0">
        <w:rPr>
          <w:rFonts w:ascii="GHEA Grapalat" w:hAnsi="GHEA Grapalat" w:cs="Times New Roman"/>
          <w:bCs/>
          <w:sz w:val="24"/>
          <w:szCs w:val="24"/>
          <w:lang w:val="ru-RU"/>
        </w:rPr>
        <w:t xml:space="preserve"> 2 052 861 769</w:t>
      </w:r>
      <w:proofErr w:type="gramStart"/>
      <w:r w:rsidRPr="001B64B0">
        <w:rPr>
          <w:rFonts w:ascii="GHEA Grapalat" w:hAnsi="GHEA Grapalat" w:cs="Times New Roman"/>
          <w:bCs/>
          <w:sz w:val="24"/>
          <w:szCs w:val="24"/>
          <w:lang w:val="ru-RU"/>
        </w:rPr>
        <w:t>,40</w:t>
      </w:r>
      <w:proofErr w:type="gramEnd"/>
      <w:r w:rsidRPr="001B64B0">
        <w:rPr>
          <w:rFonts w:ascii="GHEA Grapalat" w:hAnsi="GHEA Grapalat" w:cs="Times New Roman"/>
          <w:bCs/>
          <w:sz w:val="24"/>
          <w:szCs w:val="24"/>
          <w:lang w:val="ru-RU"/>
        </w:rPr>
        <w:t xml:space="preserve"> </w:t>
      </w:r>
      <w:proofErr w:type="spellStart"/>
      <w:r w:rsidRPr="0063035B">
        <w:rPr>
          <w:rFonts w:ascii="GHEA Grapalat" w:hAnsi="GHEA Grapalat" w:cs="Times New Roman"/>
          <w:bCs/>
          <w:sz w:val="24"/>
          <w:szCs w:val="24"/>
          <w:lang w:val="en-US"/>
        </w:rPr>
        <w:t>հազ</w:t>
      </w:r>
      <w:proofErr w:type="spellEnd"/>
      <w:r w:rsidRPr="001B64B0">
        <w:rPr>
          <w:rFonts w:ascii="GHEA Grapalat" w:hAnsi="GHEA Grapalat" w:cs="Times New Roman"/>
          <w:bCs/>
          <w:sz w:val="24"/>
          <w:szCs w:val="24"/>
          <w:lang w:val="ru-RU"/>
        </w:rPr>
        <w:t xml:space="preserve">. </w:t>
      </w:r>
      <w:proofErr w:type="spellStart"/>
      <w:proofErr w:type="gramStart"/>
      <w:r w:rsidRPr="0063035B">
        <w:rPr>
          <w:rFonts w:ascii="GHEA Grapalat" w:hAnsi="GHEA Grapalat" w:cs="Times New Roman"/>
          <w:bCs/>
          <w:sz w:val="24"/>
          <w:szCs w:val="24"/>
          <w:lang w:val="en-US"/>
        </w:rPr>
        <w:t>դրամ</w:t>
      </w:r>
      <w:proofErr w:type="spellEnd"/>
      <w:proofErr w:type="gramEnd"/>
      <w:r w:rsidRPr="001B64B0">
        <w:rPr>
          <w:rFonts w:ascii="GHEA Grapalat" w:hAnsi="GHEA Grapalat" w:cs="Times New Roman"/>
          <w:bCs/>
          <w:sz w:val="24"/>
          <w:szCs w:val="24"/>
          <w:lang w:val="ru-RU"/>
        </w:rPr>
        <w:t>:</w:t>
      </w:r>
    </w:p>
    <w:p w14:paraId="0C9418C7" w14:textId="1DCB1A13" w:rsidR="005A0497" w:rsidRPr="00E5722E" w:rsidRDefault="00737592" w:rsidP="00B035D9">
      <w:pPr>
        <w:spacing w:after="80" w:line="276" w:lineRule="auto"/>
        <w:ind w:firstLine="360"/>
        <w:jc w:val="both"/>
        <w:rPr>
          <w:rFonts w:ascii="GHEA Grapalat" w:hAnsi="GHEA Grapalat" w:cs="Times New Roman"/>
          <w:bCs/>
          <w:sz w:val="24"/>
          <w:szCs w:val="24"/>
          <w:lang w:val="ru-RU"/>
        </w:rPr>
      </w:pPr>
      <w:proofErr w:type="spellStart"/>
      <w:r w:rsidRPr="00C14168">
        <w:rPr>
          <w:rFonts w:ascii="GHEA Grapalat" w:hAnsi="GHEA Grapalat" w:cs="Times New Roman"/>
          <w:bCs/>
          <w:sz w:val="24"/>
          <w:szCs w:val="24"/>
          <w:lang w:val="en-US"/>
        </w:rPr>
        <w:t>Հաշվեքննության</w:t>
      </w:r>
      <w:proofErr w:type="spellEnd"/>
      <w:r w:rsidR="005B6E3C" w:rsidRPr="00E5722E">
        <w:rPr>
          <w:rFonts w:ascii="GHEA Grapalat" w:hAnsi="GHEA Grapalat" w:cs="Times New Roman"/>
          <w:bCs/>
          <w:sz w:val="24"/>
          <w:szCs w:val="24"/>
          <w:lang w:val="ru-RU"/>
        </w:rPr>
        <w:t xml:space="preserve"> </w:t>
      </w:r>
      <w:proofErr w:type="spellStart"/>
      <w:r w:rsidR="00B07033" w:rsidRPr="00C14168">
        <w:rPr>
          <w:rFonts w:ascii="GHEA Grapalat" w:hAnsi="GHEA Grapalat" w:cs="Times New Roman"/>
          <w:bCs/>
          <w:sz w:val="24"/>
          <w:szCs w:val="24"/>
          <w:lang w:val="en-US"/>
        </w:rPr>
        <w:t>վերոնշյալ</w:t>
      </w:r>
      <w:proofErr w:type="spellEnd"/>
      <w:r w:rsidR="00B07033" w:rsidRPr="00E5722E">
        <w:rPr>
          <w:rFonts w:ascii="GHEA Grapalat" w:hAnsi="GHEA Grapalat" w:cs="Times New Roman"/>
          <w:bCs/>
          <w:sz w:val="24"/>
          <w:szCs w:val="24"/>
          <w:lang w:val="ru-RU"/>
        </w:rPr>
        <w:t xml:space="preserve"> </w:t>
      </w:r>
      <w:proofErr w:type="spellStart"/>
      <w:r w:rsidR="005B6E3C" w:rsidRPr="00C14168">
        <w:rPr>
          <w:rFonts w:ascii="GHEA Grapalat" w:hAnsi="GHEA Grapalat" w:cs="Times New Roman"/>
          <w:bCs/>
          <w:sz w:val="24"/>
          <w:szCs w:val="24"/>
          <w:lang w:val="en-US"/>
        </w:rPr>
        <w:t>ծածկույթ</w:t>
      </w:r>
      <w:r w:rsidRPr="00C14168">
        <w:rPr>
          <w:rFonts w:ascii="GHEA Grapalat" w:hAnsi="GHEA Grapalat" w:cs="Times New Roman"/>
          <w:bCs/>
          <w:sz w:val="24"/>
          <w:szCs w:val="24"/>
          <w:lang w:val="en-US"/>
        </w:rPr>
        <w:t>ից</w:t>
      </w:r>
      <w:proofErr w:type="spellEnd"/>
      <w:r w:rsidRPr="00E5722E">
        <w:rPr>
          <w:rFonts w:ascii="GHEA Grapalat" w:hAnsi="GHEA Grapalat" w:cs="Times New Roman"/>
          <w:bCs/>
          <w:sz w:val="24"/>
          <w:szCs w:val="24"/>
          <w:lang w:val="ru-RU"/>
        </w:rPr>
        <w:t xml:space="preserve"> </w:t>
      </w:r>
      <w:proofErr w:type="spellStart"/>
      <w:r w:rsidRPr="00C14168">
        <w:rPr>
          <w:rFonts w:ascii="GHEA Grapalat" w:hAnsi="GHEA Grapalat" w:cs="Times New Roman"/>
          <w:bCs/>
          <w:sz w:val="24"/>
          <w:szCs w:val="24"/>
          <w:lang w:val="en-US"/>
        </w:rPr>
        <w:t>դուրս</w:t>
      </w:r>
      <w:proofErr w:type="spellEnd"/>
      <w:r w:rsidRPr="00E5722E">
        <w:rPr>
          <w:rFonts w:ascii="GHEA Grapalat" w:hAnsi="GHEA Grapalat" w:cs="Times New Roman"/>
          <w:bCs/>
          <w:sz w:val="24"/>
          <w:szCs w:val="24"/>
          <w:lang w:val="ru-RU"/>
        </w:rPr>
        <w:t xml:space="preserve"> </w:t>
      </w:r>
      <w:proofErr w:type="spellStart"/>
      <w:r w:rsidRPr="00C14168">
        <w:rPr>
          <w:rFonts w:ascii="GHEA Grapalat" w:hAnsi="GHEA Grapalat" w:cs="Times New Roman"/>
          <w:bCs/>
          <w:sz w:val="24"/>
          <w:szCs w:val="24"/>
          <w:lang w:val="en-US"/>
        </w:rPr>
        <w:t>գտնվող</w:t>
      </w:r>
      <w:proofErr w:type="spellEnd"/>
      <w:r w:rsidRPr="00E5722E">
        <w:rPr>
          <w:rFonts w:ascii="GHEA Grapalat" w:hAnsi="GHEA Grapalat" w:cs="Times New Roman"/>
          <w:bCs/>
          <w:sz w:val="24"/>
          <w:szCs w:val="24"/>
          <w:lang w:val="ru-RU"/>
        </w:rPr>
        <w:t xml:space="preserve"> </w:t>
      </w:r>
      <w:proofErr w:type="spellStart"/>
      <w:r w:rsidRPr="00C14168">
        <w:rPr>
          <w:rFonts w:ascii="GHEA Grapalat" w:hAnsi="GHEA Grapalat" w:cs="Times New Roman"/>
          <w:bCs/>
          <w:sz w:val="24"/>
          <w:szCs w:val="24"/>
          <w:lang w:val="en-US"/>
        </w:rPr>
        <w:t>պետական</w:t>
      </w:r>
      <w:proofErr w:type="spellEnd"/>
      <w:r w:rsidRPr="00E5722E">
        <w:rPr>
          <w:rFonts w:ascii="GHEA Grapalat" w:hAnsi="GHEA Grapalat" w:cs="Times New Roman"/>
          <w:bCs/>
          <w:sz w:val="24"/>
          <w:szCs w:val="24"/>
          <w:lang w:val="ru-RU"/>
        </w:rPr>
        <w:t xml:space="preserve"> </w:t>
      </w:r>
      <w:proofErr w:type="spellStart"/>
      <w:r w:rsidRPr="00C14168">
        <w:rPr>
          <w:rFonts w:ascii="GHEA Grapalat" w:hAnsi="GHEA Grapalat" w:cs="Times New Roman"/>
          <w:bCs/>
          <w:sz w:val="24"/>
          <w:szCs w:val="24"/>
          <w:lang w:val="en-US"/>
        </w:rPr>
        <w:t>մարմիններում</w:t>
      </w:r>
      <w:proofErr w:type="spellEnd"/>
      <w:r w:rsidRPr="00E5722E">
        <w:rPr>
          <w:rFonts w:ascii="GHEA Grapalat" w:hAnsi="GHEA Grapalat" w:cs="Times New Roman"/>
          <w:bCs/>
          <w:sz w:val="24"/>
          <w:szCs w:val="24"/>
          <w:lang w:val="ru-RU"/>
        </w:rPr>
        <w:t xml:space="preserve"> </w:t>
      </w:r>
      <w:proofErr w:type="spellStart"/>
      <w:r w:rsidR="005B6E3C" w:rsidRPr="00C14168">
        <w:rPr>
          <w:rFonts w:ascii="GHEA Grapalat" w:hAnsi="GHEA Grapalat" w:cs="Times New Roman"/>
          <w:bCs/>
          <w:sz w:val="24"/>
          <w:szCs w:val="24"/>
          <w:lang w:val="en-US"/>
        </w:rPr>
        <w:t>ֆինանսական</w:t>
      </w:r>
      <w:proofErr w:type="spellEnd"/>
      <w:r w:rsidR="00371AB6" w:rsidRPr="00E5722E">
        <w:rPr>
          <w:rFonts w:ascii="GHEA Grapalat" w:hAnsi="GHEA Grapalat" w:cs="Times New Roman"/>
          <w:bCs/>
          <w:sz w:val="24"/>
          <w:szCs w:val="24"/>
          <w:lang w:val="ru-RU"/>
        </w:rPr>
        <w:t xml:space="preserve"> </w:t>
      </w:r>
      <w:r w:rsidR="00371AB6" w:rsidRPr="00C14168">
        <w:rPr>
          <w:rFonts w:ascii="GHEA Grapalat" w:hAnsi="GHEA Grapalat" w:cs="Times New Roman"/>
          <w:bCs/>
          <w:sz w:val="24"/>
          <w:szCs w:val="24"/>
          <w:lang w:val="en-US"/>
        </w:rPr>
        <w:t>և</w:t>
      </w:r>
      <w:r w:rsidR="008C29C5" w:rsidRPr="00E5722E">
        <w:rPr>
          <w:rFonts w:ascii="GHEA Grapalat" w:hAnsi="GHEA Grapalat" w:cs="Times New Roman"/>
          <w:bCs/>
          <w:sz w:val="24"/>
          <w:szCs w:val="24"/>
          <w:lang w:val="ru-RU"/>
        </w:rPr>
        <w:t>/</w:t>
      </w:r>
      <w:proofErr w:type="spellStart"/>
      <w:r w:rsidR="008C29C5" w:rsidRPr="00C14168">
        <w:rPr>
          <w:rFonts w:ascii="GHEA Grapalat" w:hAnsi="GHEA Grapalat" w:cs="Times New Roman"/>
          <w:bCs/>
          <w:sz w:val="24"/>
          <w:szCs w:val="24"/>
          <w:lang w:val="en-US"/>
        </w:rPr>
        <w:t>կամ</w:t>
      </w:r>
      <w:proofErr w:type="spellEnd"/>
      <w:r w:rsidR="008C29C5" w:rsidRPr="00E5722E">
        <w:rPr>
          <w:rFonts w:ascii="GHEA Grapalat" w:hAnsi="GHEA Grapalat" w:cs="Times New Roman"/>
          <w:bCs/>
          <w:sz w:val="24"/>
          <w:szCs w:val="24"/>
          <w:lang w:val="ru-RU"/>
        </w:rPr>
        <w:t xml:space="preserve"> </w:t>
      </w:r>
      <w:proofErr w:type="spellStart"/>
      <w:r w:rsidR="001F1146" w:rsidRPr="00C14168">
        <w:rPr>
          <w:rFonts w:ascii="GHEA Grapalat" w:hAnsi="GHEA Grapalat" w:cs="Times New Roman"/>
          <w:bCs/>
          <w:sz w:val="24"/>
          <w:szCs w:val="24"/>
          <w:lang w:val="en-US"/>
        </w:rPr>
        <w:t>համապատասխանության</w:t>
      </w:r>
      <w:proofErr w:type="spellEnd"/>
      <w:r w:rsidR="005B6E3C" w:rsidRPr="00E5722E">
        <w:rPr>
          <w:rFonts w:ascii="GHEA Grapalat" w:hAnsi="GHEA Grapalat" w:cs="Times New Roman"/>
          <w:bCs/>
          <w:sz w:val="24"/>
          <w:szCs w:val="24"/>
          <w:lang w:val="ru-RU"/>
        </w:rPr>
        <w:t xml:space="preserve"> </w:t>
      </w:r>
      <w:proofErr w:type="spellStart"/>
      <w:r w:rsidRPr="00C14168">
        <w:rPr>
          <w:rFonts w:ascii="GHEA Grapalat" w:hAnsi="GHEA Grapalat" w:cs="Times New Roman"/>
          <w:bCs/>
          <w:sz w:val="24"/>
          <w:szCs w:val="24"/>
          <w:lang w:val="en-US"/>
        </w:rPr>
        <w:t>հաշվեքննություններն</w:t>
      </w:r>
      <w:proofErr w:type="spellEnd"/>
      <w:r w:rsidRPr="00E5722E">
        <w:rPr>
          <w:rFonts w:ascii="GHEA Grapalat" w:hAnsi="GHEA Grapalat" w:cs="Times New Roman"/>
          <w:bCs/>
          <w:sz w:val="24"/>
          <w:szCs w:val="24"/>
          <w:lang w:val="ru-RU"/>
        </w:rPr>
        <w:t xml:space="preserve"> </w:t>
      </w:r>
      <w:proofErr w:type="spellStart"/>
      <w:r w:rsidRPr="00C14168">
        <w:rPr>
          <w:rFonts w:ascii="GHEA Grapalat" w:hAnsi="GHEA Grapalat" w:cs="Times New Roman"/>
          <w:bCs/>
          <w:sz w:val="24"/>
          <w:szCs w:val="24"/>
          <w:lang w:val="en-US"/>
        </w:rPr>
        <w:t>իրականացվում</w:t>
      </w:r>
      <w:proofErr w:type="spellEnd"/>
      <w:r w:rsidRPr="00E5722E">
        <w:rPr>
          <w:rFonts w:ascii="GHEA Grapalat" w:hAnsi="GHEA Grapalat" w:cs="Times New Roman"/>
          <w:bCs/>
          <w:sz w:val="24"/>
          <w:szCs w:val="24"/>
          <w:lang w:val="ru-RU"/>
        </w:rPr>
        <w:t xml:space="preserve"> </w:t>
      </w:r>
      <w:proofErr w:type="spellStart"/>
      <w:r w:rsidRPr="00C14168">
        <w:rPr>
          <w:rFonts w:ascii="GHEA Grapalat" w:hAnsi="GHEA Grapalat" w:cs="Times New Roman"/>
          <w:bCs/>
          <w:sz w:val="24"/>
          <w:szCs w:val="24"/>
          <w:lang w:val="en-US"/>
        </w:rPr>
        <w:t>են</w:t>
      </w:r>
      <w:proofErr w:type="spellEnd"/>
      <w:r w:rsidRPr="00E5722E">
        <w:rPr>
          <w:rFonts w:ascii="GHEA Grapalat" w:hAnsi="GHEA Grapalat" w:cs="Times New Roman"/>
          <w:bCs/>
          <w:sz w:val="24"/>
          <w:szCs w:val="24"/>
          <w:lang w:val="ru-RU"/>
        </w:rPr>
        <w:t xml:space="preserve"> </w:t>
      </w:r>
      <w:proofErr w:type="spellStart"/>
      <w:r w:rsidRPr="00C14168">
        <w:rPr>
          <w:rFonts w:ascii="GHEA Grapalat" w:hAnsi="GHEA Grapalat" w:cs="Times New Roman"/>
          <w:bCs/>
          <w:sz w:val="24"/>
          <w:szCs w:val="24"/>
          <w:lang w:val="en-US"/>
        </w:rPr>
        <w:t>գործունեության</w:t>
      </w:r>
      <w:proofErr w:type="spellEnd"/>
      <w:r w:rsidRPr="00E5722E">
        <w:rPr>
          <w:rFonts w:ascii="GHEA Grapalat" w:hAnsi="GHEA Grapalat" w:cs="Times New Roman"/>
          <w:bCs/>
          <w:sz w:val="24"/>
          <w:szCs w:val="24"/>
          <w:lang w:val="ru-RU"/>
        </w:rPr>
        <w:t xml:space="preserve"> </w:t>
      </w:r>
      <w:proofErr w:type="spellStart"/>
      <w:r w:rsidRPr="00C14168">
        <w:rPr>
          <w:rFonts w:ascii="GHEA Grapalat" w:hAnsi="GHEA Grapalat" w:cs="Times New Roman"/>
          <w:bCs/>
          <w:sz w:val="24"/>
          <w:szCs w:val="24"/>
          <w:lang w:val="en-US"/>
        </w:rPr>
        <w:t>ծրագրի</w:t>
      </w:r>
      <w:proofErr w:type="spellEnd"/>
      <w:r w:rsidRPr="00E5722E">
        <w:rPr>
          <w:rFonts w:ascii="GHEA Grapalat" w:hAnsi="GHEA Grapalat" w:cs="Times New Roman"/>
          <w:bCs/>
          <w:sz w:val="24"/>
          <w:szCs w:val="24"/>
          <w:lang w:val="ru-RU"/>
        </w:rPr>
        <w:t xml:space="preserve"> 2-</w:t>
      </w:r>
      <w:proofErr w:type="spellStart"/>
      <w:r w:rsidRPr="00C14168">
        <w:rPr>
          <w:rFonts w:ascii="GHEA Grapalat" w:hAnsi="GHEA Grapalat" w:cs="Times New Roman"/>
          <w:bCs/>
          <w:sz w:val="24"/>
          <w:szCs w:val="24"/>
          <w:lang w:val="en-US"/>
        </w:rPr>
        <w:t>րդ</w:t>
      </w:r>
      <w:proofErr w:type="spellEnd"/>
      <w:r w:rsidRPr="00E5722E">
        <w:rPr>
          <w:rFonts w:ascii="GHEA Grapalat" w:hAnsi="GHEA Grapalat" w:cs="Times New Roman"/>
          <w:bCs/>
          <w:sz w:val="24"/>
          <w:szCs w:val="24"/>
          <w:lang w:val="ru-RU"/>
        </w:rPr>
        <w:t xml:space="preserve"> </w:t>
      </w:r>
      <w:proofErr w:type="spellStart"/>
      <w:r w:rsidRPr="00C14168">
        <w:rPr>
          <w:rFonts w:ascii="GHEA Grapalat" w:hAnsi="GHEA Grapalat" w:cs="Times New Roman"/>
          <w:bCs/>
          <w:sz w:val="24"/>
          <w:szCs w:val="24"/>
          <w:lang w:val="en-US"/>
        </w:rPr>
        <w:t>մասի</w:t>
      </w:r>
      <w:proofErr w:type="spellEnd"/>
      <w:r w:rsidRPr="00E5722E">
        <w:rPr>
          <w:rFonts w:ascii="GHEA Grapalat" w:hAnsi="GHEA Grapalat" w:cs="Times New Roman"/>
          <w:bCs/>
          <w:sz w:val="24"/>
          <w:szCs w:val="24"/>
          <w:lang w:val="ru-RU"/>
        </w:rPr>
        <w:t xml:space="preserve"> </w:t>
      </w:r>
      <w:proofErr w:type="spellStart"/>
      <w:r w:rsidRPr="00C14168">
        <w:rPr>
          <w:rFonts w:ascii="GHEA Grapalat" w:hAnsi="GHEA Grapalat" w:cs="Times New Roman"/>
          <w:bCs/>
          <w:sz w:val="24"/>
          <w:szCs w:val="24"/>
          <w:lang w:val="en-US"/>
        </w:rPr>
        <w:t>շրջանակներում</w:t>
      </w:r>
      <w:proofErr w:type="spellEnd"/>
      <w:r w:rsidRPr="00E5722E">
        <w:rPr>
          <w:rFonts w:ascii="GHEA Grapalat" w:hAnsi="GHEA Grapalat" w:cs="Times New Roman"/>
          <w:bCs/>
          <w:sz w:val="24"/>
          <w:szCs w:val="24"/>
          <w:lang w:val="ru-RU"/>
        </w:rPr>
        <w:t xml:space="preserve"> </w:t>
      </w:r>
      <w:r w:rsidR="00CC3BD3" w:rsidRPr="00E5722E">
        <w:rPr>
          <w:rFonts w:ascii="GHEA Grapalat" w:hAnsi="GHEA Grapalat" w:cs="Times New Roman"/>
          <w:bCs/>
          <w:sz w:val="24"/>
          <w:szCs w:val="24"/>
          <w:lang w:val="ru-RU"/>
        </w:rPr>
        <w:t>(</w:t>
      </w:r>
      <w:proofErr w:type="spellStart"/>
      <w:r w:rsidR="00CC3BD3" w:rsidRPr="00C14168">
        <w:rPr>
          <w:rFonts w:ascii="GHEA Grapalat" w:hAnsi="GHEA Grapalat" w:cs="Times New Roman"/>
          <w:bCs/>
          <w:sz w:val="24"/>
          <w:szCs w:val="24"/>
          <w:lang w:val="en-US"/>
        </w:rPr>
        <w:t>տես</w:t>
      </w:r>
      <w:proofErr w:type="spellEnd"/>
      <w:r w:rsidR="00CC3BD3" w:rsidRPr="00C14168">
        <w:rPr>
          <w:rFonts w:ascii="GHEA Grapalat" w:hAnsi="GHEA Grapalat" w:cs="Times New Roman"/>
          <w:bCs/>
          <w:sz w:val="24"/>
          <w:szCs w:val="24"/>
          <w:lang w:val="en-US"/>
        </w:rPr>
        <w:t>՝</w:t>
      </w:r>
      <w:r w:rsidR="00CC3BD3" w:rsidRPr="00E5722E">
        <w:rPr>
          <w:rFonts w:ascii="GHEA Grapalat" w:hAnsi="GHEA Grapalat" w:cs="Times New Roman"/>
          <w:bCs/>
          <w:sz w:val="24"/>
          <w:szCs w:val="24"/>
          <w:lang w:val="ru-RU"/>
        </w:rPr>
        <w:t xml:space="preserve"> </w:t>
      </w:r>
      <w:proofErr w:type="spellStart"/>
      <w:r w:rsidR="00CC3BD3" w:rsidRPr="00C14168">
        <w:rPr>
          <w:rFonts w:ascii="GHEA Grapalat" w:hAnsi="GHEA Grapalat" w:cs="Times New Roman"/>
          <w:bCs/>
          <w:sz w:val="24"/>
          <w:szCs w:val="24"/>
          <w:lang w:val="en-US"/>
        </w:rPr>
        <w:t>հաջորդ</w:t>
      </w:r>
      <w:proofErr w:type="spellEnd"/>
      <w:r w:rsidR="00CC3BD3" w:rsidRPr="00E5722E">
        <w:rPr>
          <w:rFonts w:ascii="GHEA Grapalat" w:hAnsi="GHEA Grapalat" w:cs="Times New Roman"/>
          <w:bCs/>
          <w:sz w:val="24"/>
          <w:szCs w:val="24"/>
          <w:lang w:val="ru-RU"/>
        </w:rPr>
        <w:t xml:space="preserve"> </w:t>
      </w:r>
      <w:proofErr w:type="spellStart"/>
      <w:r w:rsidR="00CC3BD3" w:rsidRPr="00C14168">
        <w:rPr>
          <w:rFonts w:ascii="GHEA Grapalat" w:hAnsi="GHEA Grapalat" w:cs="Times New Roman"/>
          <w:bCs/>
          <w:sz w:val="24"/>
          <w:szCs w:val="24"/>
          <w:lang w:val="en-US"/>
        </w:rPr>
        <w:t>գլուխը</w:t>
      </w:r>
      <w:proofErr w:type="spellEnd"/>
      <w:r w:rsidR="00CC3BD3" w:rsidRPr="00E5722E">
        <w:rPr>
          <w:rFonts w:ascii="GHEA Grapalat" w:hAnsi="GHEA Grapalat" w:cs="Times New Roman"/>
          <w:bCs/>
          <w:sz w:val="24"/>
          <w:szCs w:val="24"/>
          <w:lang w:val="ru-RU"/>
        </w:rPr>
        <w:t>):</w:t>
      </w:r>
    </w:p>
    <w:p w14:paraId="2CEB5038" w14:textId="77777777" w:rsidR="0063035B" w:rsidRPr="0028763E" w:rsidRDefault="0063035B" w:rsidP="00D6269C">
      <w:pPr>
        <w:spacing w:after="80" w:line="276" w:lineRule="auto"/>
        <w:ind w:firstLine="720"/>
        <w:jc w:val="both"/>
        <w:rPr>
          <w:rFonts w:ascii="GHEA Grapalat" w:hAnsi="GHEA Grapalat" w:cs="Times New Roman"/>
          <w:bCs/>
          <w:sz w:val="24"/>
          <w:szCs w:val="24"/>
          <w:lang w:val="ru-RU"/>
        </w:rPr>
      </w:pPr>
    </w:p>
    <w:p w14:paraId="7B2498E6" w14:textId="3FF36B77" w:rsidR="002425F1" w:rsidRPr="0028763E" w:rsidRDefault="001C3568" w:rsidP="0028763E">
      <w:pPr>
        <w:tabs>
          <w:tab w:val="left" w:pos="426"/>
        </w:tabs>
        <w:spacing w:after="80" w:line="276" w:lineRule="auto"/>
        <w:jc w:val="both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 w:rsidRPr="0028763E">
        <w:rPr>
          <w:rFonts w:ascii="GHEA Grapalat" w:hAnsi="GHEA Grapalat" w:cs="Times New Roman"/>
          <w:b/>
          <w:bCs/>
          <w:sz w:val="24"/>
          <w:szCs w:val="24"/>
          <w:lang w:val="ru-RU"/>
        </w:rPr>
        <w:t xml:space="preserve">3. </w:t>
      </w:r>
      <w:r w:rsidR="009B1DDC" w:rsidRPr="0028763E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2023 </w:t>
      </w:r>
      <w:r w:rsidR="002425F1" w:rsidRPr="0028763E">
        <w:rPr>
          <w:rFonts w:ascii="GHEA Grapalat" w:hAnsi="GHEA Grapalat" w:cs="Sylfaen"/>
          <w:b/>
          <w:bCs/>
          <w:sz w:val="24"/>
          <w:szCs w:val="24"/>
          <w:lang w:val="hy-AM"/>
        </w:rPr>
        <w:t>Թ</w:t>
      </w:r>
      <w:r w:rsidR="009B1DDC" w:rsidRPr="0028763E">
        <w:rPr>
          <w:rFonts w:ascii="GHEA Grapalat" w:hAnsi="GHEA Grapalat" w:cs="Sylfaen"/>
          <w:b/>
          <w:bCs/>
          <w:sz w:val="24"/>
          <w:szCs w:val="24"/>
          <w:lang w:val="hy-AM"/>
        </w:rPr>
        <w:t>ՎԱԿԱՆ</w:t>
      </w:r>
      <w:r w:rsidR="002425F1" w:rsidRPr="0028763E">
        <w:rPr>
          <w:rFonts w:ascii="GHEA Grapalat" w:hAnsi="GHEA Grapalat" w:cs="Sylfaen"/>
          <w:b/>
          <w:bCs/>
          <w:sz w:val="24"/>
          <w:szCs w:val="24"/>
          <w:lang w:val="hy-AM"/>
        </w:rPr>
        <w:t>Ի</w:t>
      </w:r>
      <w:r w:rsidR="002425F1" w:rsidRPr="0028763E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 w:rsidR="002425F1" w:rsidRPr="0028763E">
        <w:rPr>
          <w:rFonts w:ascii="GHEA Grapalat" w:hAnsi="GHEA Grapalat" w:cs="Sylfaen"/>
          <w:b/>
          <w:bCs/>
          <w:sz w:val="24"/>
          <w:szCs w:val="24"/>
          <w:lang w:val="hy-AM"/>
        </w:rPr>
        <w:t>ԳՈՐԾՈՒՆԵՈՒԹՅԱՆ</w:t>
      </w:r>
      <w:r w:rsidR="002425F1" w:rsidRPr="0028763E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 w:rsidR="002425F1" w:rsidRPr="0028763E">
        <w:rPr>
          <w:rFonts w:ascii="GHEA Grapalat" w:hAnsi="GHEA Grapalat" w:cs="Sylfaen"/>
          <w:b/>
          <w:bCs/>
          <w:sz w:val="24"/>
          <w:szCs w:val="24"/>
          <w:lang w:val="hy-AM"/>
        </w:rPr>
        <w:t>ԾՐԱԳՐԻ</w:t>
      </w:r>
      <w:r w:rsidR="002425F1" w:rsidRPr="0028763E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2-</w:t>
      </w:r>
      <w:r w:rsidR="002425F1" w:rsidRPr="0028763E">
        <w:rPr>
          <w:rFonts w:ascii="GHEA Grapalat" w:hAnsi="GHEA Grapalat" w:cs="Sylfaen"/>
          <w:b/>
          <w:bCs/>
          <w:sz w:val="24"/>
          <w:szCs w:val="24"/>
          <w:lang w:val="hy-AM"/>
        </w:rPr>
        <w:t>ՐԴ</w:t>
      </w:r>
      <w:r w:rsidR="002425F1" w:rsidRPr="0028763E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 w:rsidR="002425F1" w:rsidRPr="0028763E">
        <w:rPr>
          <w:rFonts w:ascii="GHEA Grapalat" w:hAnsi="GHEA Grapalat" w:cs="Sylfaen"/>
          <w:b/>
          <w:bCs/>
          <w:sz w:val="24"/>
          <w:szCs w:val="24"/>
          <w:lang w:val="hy-AM"/>
        </w:rPr>
        <w:t>ՄԱՍԻ</w:t>
      </w:r>
      <w:r w:rsidR="002425F1" w:rsidRPr="0028763E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 w:rsidR="002425F1" w:rsidRPr="0028763E">
        <w:rPr>
          <w:rFonts w:ascii="GHEA Grapalat" w:hAnsi="GHEA Grapalat" w:cs="Sylfaen"/>
          <w:b/>
          <w:bCs/>
          <w:sz w:val="24"/>
          <w:szCs w:val="24"/>
          <w:lang w:val="hy-AM"/>
        </w:rPr>
        <w:t>ՀԱՄԱՐ</w:t>
      </w:r>
      <w:r w:rsidR="002425F1" w:rsidRPr="0028763E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 w:rsidR="002425F1" w:rsidRPr="0028763E">
        <w:rPr>
          <w:rFonts w:ascii="GHEA Grapalat" w:hAnsi="GHEA Grapalat" w:cs="Sylfaen"/>
          <w:b/>
          <w:bCs/>
          <w:sz w:val="24"/>
          <w:szCs w:val="24"/>
          <w:lang w:val="hy-AM"/>
        </w:rPr>
        <w:t>ՖԻՆԱՆՍԱԿԱՆ</w:t>
      </w:r>
      <w:r w:rsidR="002425F1" w:rsidRPr="0028763E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 w:rsidR="002425F1" w:rsidRPr="0028763E">
        <w:rPr>
          <w:rFonts w:ascii="GHEA Grapalat" w:hAnsi="GHEA Grapalat" w:cs="Sylfaen"/>
          <w:b/>
          <w:bCs/>
          <w:sz w:val="24"/>
          <w:szCs w:val="24"/>
          <w:lang w:val="hy-AM"/>
        </w:rPr>
        <w:t>ԵՎ</w:t>
      </w:r>
      <w:r w:rsidR="002425F1" w:rsidRPr="0028763E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 w:rsidR="002425F1" w:rsidRPr="0028763E">
        <w:rPr>
          <w:rFonts w:ascii="GHEA Grapalat" w:hAnsi="GHEA Grapalat" w:cs="Sylfaen"/>
          <w:b/>
          <w:bCs/>
          <w:sz w:val="24"/>
          <w:szCs w:val="24"/>
          <w:lang w:val="hy-AM"/>
        </w:rPr>
        <w:t>ՀԱՄԱՊԱՏԱՍԽԱՆՈՒԹՅԱՆ</w:t>
      </w:r>
      <w:r w:rsidR="002425F1" w:rsidRPr="0028763E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 w:rsidR="002425F1" w:rsidRPr="0028763E">
        <w:rPr>
          <w:rFonts w:ascii="GHEA Grapalat" w:hAnsi="GHEA Grapalat" w:cs="Sylfaen"/>
          <w:b/>
          <w:bCs/>
          <w:sz w:val="24"/>
          <w:szCs w:val="24"/>
          <w:lang w:val="hy-AM"/>
        </w:rPr>
        <w:t>ՀԱՇՎԵՔՆՆՈՒԹՅ</w:t>
      </w:r>
      <w:r w:rsidR="00BD0F6B" w:rsidRPr="0028763E">
        <w:rPr>
          <w:rFonts w:ascii="GHEA Grapalat" w:hAnsi="GHEA Grapalat" w:cs="Sylfaen"/>
          <w:b/>
          <w:bCs/>
          <w:sz w:val="24"/>
          <w:szCs w:val="24"/>
          <w:lang w:val="hy-AM"/>
        </w:rPr>
        <w:t>ՈՒՆՆԵՐ</w:t>
      </w:r>
    </w:p>
    <w:p w14:paraId="43455329" w14:textId="46E81F83" w:rsidR="002425F1" w:rsidRPr="00C14168" w:rsidRDefault="003F0A29" w:rsidP="00B035D9">
      <w:pPr>
        <w:spacing w:after="80" w:line="276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C14168">
        <w:rPr>
          <w:rFonts w:ascii="GHEA Grapalat" w:hAnsi="GHEA Grapalat" w:cs="Sylfaen"/>
          <w:sz w:val="24"/>
          <w:szCs w:val="24"/>
          <w:lang w:val="hy-AM"/>
        </w:rPr>
        <w:t xml:space="preserve">ՀՀ հաշվեքննիչ պալատի 2018 թվականի նոյեմբերի 22-ի թիվ 16/4 որոշմամբ հաստատված </w:t>
      </w:r>
      <w:r w:rsidR="00CA45F7" w:rsidRPr="00C14168">
        <w:rPr>
          <w:rFonts w:ascii="GHEA Grapalat" w:hAnsi="GHEA Grapalat" w:cs="Sylfaen"/>
          <w:sz w:val="24"/>
          <w:szCs w:val="24"/>
          <w:lang w:val="hy-AM"/>
        </w:rPr>
        <w:t>«Գործունեության ծրագրի կազմման համար հիմք հանդիսացող ռ</w:t>
      </w:r>
      <w:r w:rsidRPr="00C14168">
        <w:rPr>
          <w:rFonts w:ascii="GHEA Grapalat" w:hAnsi="GHEA Grapalat" w:cs="Sylfaen"/>
          <w:sz w:val="24"/>
          <w:szCs w:val="24"/>
          <w:lang w:val="hy-AM"/>
        </w:rPr>
        <w:t>իսկերի վրա հիմնված մեթոդաբանության</w:t>
      </w:r>
      <w:r w:rsidR="00D55D96" w:rsidRPr="00C14168">
        <w:rPr>
          <w:rFonts w:ascii="GHEA Grapalat" w:hAnsi="GHEA Grapalat" w:cs="Sylfaen"/>
          <w:sz w:val="24"/>
          <w:szCs w:val="24"/>
          <w:lang w:val="hy-AM"/>
        </w:rPr>
        <w:t>»</w:t>
      </w:r>
      <w:r w:rsidRPr="00C14168">
        <w:rPr>
          <w:rFonts w:ascii="GHEA Grapalat" w:hAnsi="GHEA Grapalat" w:cs="Sylfaen"/>
          <w:sz w:val="24"/>
          <w:szCs w:val="24"/>
          <w:lang w:val="hy-AM"/>
        </w:rPr>
        <w:t xml:space="preserve"> (այսուհետև՝ </w:t>
      </w:r>
      <w:r w:rsidR="00D55D96" w:rsidRPr="00C14168">
        <w:rPr>
          <w:rFonts w:ascii="GHEA Grapalat" w:hAnsi="GHEA Grapalat" w:cs="Sylfaen"/>
          <w:sz w:val="24"/>
          <w:szCs w:val="24"/>
          <w:lang w:val="hy-AM"/>
        </w:rPr>
        <w:t>Մ</w:t>
      </w:r>
      <w:r w:rsidRPr="00C14168">
        <w:rPr>
          <w:rFonts w:ascii="GHEA Grapalat" w:hAnsi="GHEA Grapalat" w:cs="Sylfaen"/>
          <w:sz w:val="24"/>
          <w:szCs w:val="24"/>
          <w:lang w:val="hy-AM"/>
        </w:rPr>
        <w:t xml:space="preserve">եթոդաբանություն) </w:t>
      </w:r>
      <w:r w:rsidR="00D55D96" w:rsidRPr="00C14168">
        <w:rPr>
          <w:rFonts w:ascii="GHEA Grapalat" w:hAnsi="GHEA Grapalat" w:cs="Sylfaen"/>
          <w:sz w:val="24"/>
          <w:szCs w:val="24"/>
          <w:lang w:val="hy-AM"/>
        </w:rPr>
        <w:t>համաձայն՝ ֆ</w:t>
      </w:r>
      <w:r w:rsidR="002425F1" w:rsidRPr="00C14168">
        <w:rPr>
          <w:rFonts w:ascii="GHEA Grapalat" w:hAnsi="GHEA Grapalat" w:cs="Sylfaen"/>
          <w:sz w:val="24"/>
          <w:szCs w:val="24"/>
          <w:lang w:val="hy-AM"/>
        </w:rPr>
        <w:t>ինանսական</w:t>
      </w:r>
      <w:r w:rsidR="002425F1" w:rsidRPr="00C14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25F1" w:rsidRPr="00C14168">
        <w:rPr>
          <w:rFonts w:ascii="GHEA Grapalat" w:hAnsi="GHEA Grapalat" w:cs="Sylfaen"/>
          <w:sz w:val="24"/>
          <w:szCs w:val="24"/>
          <w:lang w:val="hy-AM"/>
        </w:rPr>
        <w:t>և</w:t>
      </w:r>
      <w:r w:rsidR="00142596" w:rsidRPr="00C14168">
        <w:rPr>
          <w:rFonts w:ascii="GHEA Grapalat" w:hAnsi="GHEA Grapalat" w:cs="Sylfaen"/>
          <w:sz w:val="24"/>
          <w:szCs w:val="24"/>
          <w:lang w:val="hy-AM"/>
        </w:rPr>
        <w:t>/կամ</w:t>
      </w:r>
      <w:r w:rsidR="002425F1" w:rsidRPr="00C14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25F1" w:rsidRPr="00C14168">
        <w:rPr>
          <w:rFonts w:ascii="GHEA Grapalat" w:hAnsi="GHEA Grapalat" w:cs="Sylfaen"/>
          <w:sz w:val="24"/>
          <w:szCs w:val="24"/>
          <w:lang w:val="hy-AM"/>
        </w:rPr>
        <w:t>համապատասխանության</w:t>
      </w:r>
      <w:r w:rsidR="002425F1" w:rsidRPr="00C14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25F1" w:rsidRPr="00C14168">
        <w:rPr>
          <w:rFonts w:ascii="GHEA Grapalat" w:hAnsi="GHEA Grapalat" w:cs="Sylfaen"/>
          <w:sz w:val="24"/>
          <w:szCs w:val="24"/>
          <w:lang w:val="hy-AM"/>
        </w:rPr>
        <w:t>հաշվեքննությունների</w:t>
      </w:r>
      <w:r w:rsidR="00142596" w:rsidRPr="00C14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25F1" w:rsidRPr="00C14168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2425F1" w:rsidRPr="00C14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25F1" w:rsidRPr="00C14168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2425F1" w:rsidRPr="00C14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25F1" w:rsidRPr="00C14168">
        <w:rPr>
          <w:rFonts w:ascii="GHEA Grapalat" w:hAnsi="GHEA Grapalat" w:cs="Sylfaen"/>
          <w:sz w:val="24"/>
          <w:szCs w:val="24"/>
          <w:lang w:val="hy-AM"/>
        </w:rPr>
        <w:t>են</w:t>
      </w:r>
      <w:r w:rsidR="002425F1" w:rsidRPr="00C14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25F1" w:rsidRPr="00C14168">
        <w:rPr>
          <w:rFonts w:ascii="GHEA Grapalat" w:hAnsi="GHEA Grapalat" w:cs="Sylfaen"/>
          <w:sz w:val="24"/>
          <w:szCs w:val="24"/>
          <w:lang w:val="hy-AM"/>
        </w:rPr>
        <w:t>ռիսկայնության</w:t>
      </w:r>
      <w:r w:rsidR="002425F1" w:rsidRPr="00C14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25F1" w:rsidRPr="00C14168">
        <w:rPr>
          <w:rFonts w:ascii="GHEA Grapalat" w:hAnsi="GHEA Grapalat" w:cs="Sylfaen"/>
          <w:sz w:val="24"/>
          <w:szCs w:val="24"/>
          <w:lang w:val="hy-AM"/>
        </w:rPr>
        <w:t>տարբեր</w:t>
      </w:r>
      <w:r w:rsidR="002425F1" w:rsidRPr="00C14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25F1" w:rsidRPr="00C14168">
        <w:rPr>
          <w:rFonts w:ascii="GHEA Grapalat" w:hAnsi="GHEA Grapalat" w:cs="Sylfaen"/>
          <w:sz w:val="24"/>
          <w:szCs w:val="24"/>
          <w:lang w:val="hy-AM"/>
        </w:rPr>
        <w:t>խմբեր</w:t>
      </w:r>
      <w:r w:rsidR="002425F1" w:rsidRPr="00C14168">
        <w:rPr>
          <w:rFonts w:ascii="GHEA Grapalat" w:hAnsi="GHEA Grapalat"/>
          <w:sz w:val="24"/>
          <w:szCs w:val="24"/>
          <w:lang w:val="hy-AM"/>
        </w:rPr>
        <w:t xml:space="preserve">: </w:t>
      </w:r>
      <w:r w:rsidR="002425F1" w:rsidRPr="00C14168">
        <w:rPr>
          <w:rFonts w:ascii="GHEA Grapalat" w:hAnsi="GHEA Grapalat" w:cs="Sylfaen"/>
          <w:sz w:val="24"/>
          <w:szCs w:val="24"/>
          <w:lang w:val="hy-AM"/>
        </w:rPr>
        <w:t>Մասնավորապես</w:t>
      </w:r>
      <w:r w:rsidR="00DD2AD4" w:rsidRPr="00D00AE6">
        <w:rPr>
          <w:rStyle w:val="FootnoteReference"/>
          <w:rFonts w:ascii="GHEA Grapalat" w:hAnsi="GHEA Grapalat" w:cs="Times New Roman"/>
          <w:b/>
          <w:bCs/>
          <w:szCs w:val="24"/>
          <w:lang w:val="hy-AM"/>
        </w:rPr>
        <w:t xml:space="preserve"> </w:t>
      </w:r>
      <w:r w:rsidR="00DD2AD4" w:rsidRPr="00C14168">
        <w:rPr>
          <w:rStyle w:val="FootnoteReference"/>
          <w:rFonts w:ascii="GHEA Grapalat" w:hAnsi="GHEA Grapalat" w:cs="Times New Roman"/>
          <w:b/>
          <w:bCs/>
          <w:szCs w:val="24"/>
          <w:lang w:val="hy-AM"/>
        </w:rPr>
        <w:footnoteReference w:id="2"/>
      </w:r>
      <w:r w:rsidR="002425F1" w:rsidRPr="00C14168">
        <w:rPr>
          <w:rFonts w:ascii="GHEA Grapalat" w:hAnsi="GHEA Grapalat"/>
          <w:sz w:val="24"/>
          <w:szCs w:val="24"/>
          <w:lang w:val="hy-AM"/>
        </w:rPr>
        <w:t>.</w:t>
      </w:r>
    </w:p>
    <w:p w14:paraId="55942F2C" w14:textId="5652C4F0" w:rsidR="002425F1" w:rsidRPr="00C14168" w:rsidRDefault="005271CC" w:rsidP="00D6269C">
      <w:pPr>
        <w:pStyle w:val="ListParagraph"/>
        <w:numPr>
          <w:ilvl w:val="0"/>
          <w:numId w:val="7"/>
        </w:numPr>
        <w:tabs>
          <w:tab w:val="left" w:pos="426"/>
        </w:tabs>
        <w:spacing w:after="80" w:line="276" w:lineRule="auto"/>
        <w:ind w:left="0" w:firstLine="0"/>
        <w:jc w:val="both"/>
        <w:rPr>
          <w:szCs w:val="24"/>
          <w:lang w:val="hy-AM"/>
        </w:rPr>
      </w:pPr>
      <w:r w:rsidRPr="005271CC">
        <w:rPr>
          <w:szCs w:val="24"/>
          <w:lang w:val="hy-AM"/>
        </w:rPr>
        <w:t>Գ</w:t>
      </w:r>
      <w:r w:rsidR="001F1146" w:rsidRPr="00C14168">
        <w:rPr>
          <w:szCs w:val="24"/>
          <w:lang w:val="hy-AM"/>
        </w:rPr>
        <w:t>նահատվել</w:t>
      </w:r>
      <w:r w:rsidR="002425F1" w:rsidRPr="00C14168">
        <w:rPr>
          <w:szCs w:val="24"/>
          <w:lang w:val="hy-AM"/>
        </w:rPr>
        <w:t xml:space="preserve"> </w:t>
      </w:r>
      <w:r w:rsidR="009B1DDC" w:rsidRPr="00C14168">
        <w:rPr>
          <w:szCs w:val="24"/>
          <w:lang w:val="hy-AM"/>
        </w:rPr>
        <w:t>են</w:t>
      </w:r>
      <w:r w:rsidR="002425F1" w:rsidRPr="00C14168">
        <w:rPr>
          <w:szCs w:val="24"/>
          <w:lang w:val="hy-AM"/>
        </w:rPr>
        <w:t xml:space="preserve"> </w:t>
      </w:r>
      <w:r w:rsidR="002425F1" w:rsidRPr="00C14168">
        <w:rPr>
          <w:rFonts w:eastAsia="Times New Roman" w:cs="Arial"/>
          <w:szCs w:val="24"/>
          <w:lang w:val="hy-AM"/>
        </w:rPr>
        <w:t>202</w:t>
      </w:r>
      <w:r w:rsidR="009B1DDC" w:rsidRPr="00C14168">
        <w:rPr>
          <w:rFonts w:eastAsia="Times New Roman" w:cs="Arial"/>
          <w:szCs w:val="24"/>
          <w:lang w:val="hy-AM"/>
        </w:rPr>
        <w:t>3</w:t>
      </w:r>
      <w:r w:rsidR="002425F1" w:rsidRPr="00C14168">
        <w:rPr>
          <w:rFonts w:eastAsia="Times New Roman" w:cs="Arial"/>
          <w:szCs w:val="24"/>
          <w:lang w:val="hy-AM"/>
        </w:rPr>
        <w:t xml:space="preserve"> թվականի ՀՀ պետական բյուջեի մասին օրենքի նախագծով նախատեսված գերատեսչական դասակարգմամբ ծախսերի </w:t>
      </w:r>
      <w:r w:rsidR="009B1DDC" w:rsidRPr="00C14168">
        <w:rPr>
          <w:rFonts w:eastAsia="Times New Roman" w:cs="Arial"/>
          <w:szCs w:val="24"/>
          <w:lang w:val="hy-AM"/>
        </w:rPr>
        <w:t>տեսակարար կշիռները 2023 թվականի պետական բյուջեում</w:t>
      </w:r>
      <w:r w:rsidR="002425F1" w:rsidRPr="00C14168">
        <w:rPr>
          <w:rFonts w:eastAsia="Times New Roman" w:cs="Arial"/>
          <w:szCs w:val="24"/>
          <w:lang w:val="hy-AM"/>
        </w:rPr>
        <w:t xml:space="preserve">, ըստ նվազման կարգի՝ </w:t>
      </w:r>
    </w:p>
    <w:p w14:paraId="30E29EAD" w14:textId="492665BD" w:rsidR="002425F1" w:rsidRPr="00C14168" w:rsidRDefault="002425F1" w:rsidP="00D6269C">
      <w:pPr>
        <w:pStyle w:val="ListParagraph"/>
        <w:spacing w:after="80" w:line="276" w:lineRule="auto"/>
        <w:jc w:val="both"/>
        <w:rPr>
          <w:rFonts w:eastAsia="Times New Roman" w:cs="Arial"/>
          <w:szCs w:val="24"/>
          <w:lang w:val="hy-AM"/>
        </w:rPr>
      </w:pPr>
      <w:r w:rsidRPr="00C14168">
        <w:rPr>
          <w:rFonts w:eastAsia="Times New Roman" w:cs="Arial"/>
          <w:szCs w:val="24"/>
          <w:lang w:val="hy-AM"/>
        </w:rPr>
        <w:t>- բարձր ռիսկային, 1</w:t>
      </w:r>
      <w:r w:rsidR="009B1DDC" w:rsidRPr="00C14168">
        <w:rPr>
          <w:rFonts w:eastAsia="Times New Roman" w:cs="Arial"/>
          <w:szCs w:val="24"/>
          <w:lang w:val="hy-AM"/>
        </w:rPr>
        <w:t>%-ից</w:t>
      </w:r>
      <w:r w:rsidRPr="00C14168">
        <w:rPr>
          <w:rFonts w:eastAsia="Times New Roman" w:cs="Arial"/>
          <w:szCs w:val="24"/>
          <w:lang w:val="hy-AM"/>
        </w:rPr>
        <w:t xml:space="preserve"> բարձր,</w:t>
      </w:r>
    </w:p>
    <w:p w14:paraId="00EE17B6" w14:textId="51331D15" w:rsidR="002425F1" w:rsidRPr="00C14168" w:rsidRDefault="002425F1" w:rsidP="00D6269C">
      <w:pPr>
        <w:pStyle w:val="ListParagraph"/>
        <w:spacing w:after="80" w:line="276" w:lineRule="auto"/>
        <w:jc w:val="both"/>
        <w:rPr>
          <w:rFonts w:eastAsia="Times New Roman" w:cs="Arial"/>
          <w:szCs w:val="24"/>
          <w:lang w:val="hy-AM"/>
        </w:rPr>
      </w:pPr>
      <w:r w:rsidRPr="00C14168">
        <w:rPr>
          <w:rFonts w:eastAsia="Times New Roman" w:cs="Arial"/>
          <w:szCs w:val="24"/>
          <w:lang w:val="hy-AM"/>
        </w:rPr>
        <w:t>- միջին ռիսկային</w:t>
      </w:r>
      <w:r w:rsidR="009B1DDC" w:rsidRPr="00C14168">
        <w:rPr>
          <w:rFonts w:eastAsia="Times New Roman" w:cs="Arial"/>
          <w:szCs w:val="24"/>
          <w:lang w:val="hy-AM"/>
        </w:rPr>
        <w:t>,</w:t>
      </w:r>
      <w:r w:rsidRPr="00C14168">
        <w:rPr>
          <w:rFonts w:eastAsia="Times New Roman" w:cs="Arial"/>
          <w:szCs w:val="24"/>
          <w:lang w:val="hy-AM"/>
        </w:rPr>
        <w:t xml:space="preserve"> </w:t>
      </w:r>
      <w:r w:rsidR="009B1DDC" w:rsidRPr="00C14168">
        <w:rPr>
          <w:rFonts w:eastAsia="Times New Roman" w:cs="Arial"/>
          <w:szCs w:val="24"/>
          <w:lang w:val="hy-AM"/>
        </w:rPr>
        <w:t>0.1%-ից բարձր</w:t>
      </w:r>
      <w:r w:rsidRPr="00C14168">
        <w:rPr>
          <w:rFonts w:eastAsia="Times New Roman" w:cs="Arial"/>
          <w:szCs w:val="24"/>
          <w:lang w:val="hy-AM"/>
        </w:rPr>
        <w:t>,</w:t>
      </w:r>
    </w:p>
    <w:p w14:paraId="491051D2" w14:textId="2CBF55E0" w:rsidR="002425F1" w:rsidRPr="00C14168" w:rsidRDefault="002425F1" w:rsidP="00D6269C">
      <w:pPr>
        <w:pStyle w:val="ListParagraph"/>
        <w:spacing w:after="80" w:line="276" w:lineRule="auto"/>
        <w:jc w:val="both"/>
        <w:rPr>
          <w:rFonts w:eastAsia="Times New Roman" w:cs="Arial"/>
          <w:szCs w:val="24"/>
          <w:lang w:val="hy-AM"/>
        </w:rPr>
      </w:pPr>
      <w:r w:rsidRPr="00C14168">
        <w:rPr>
          <w:rFonts w:eastAsia="Times New Roman" w:cs="Arial"/>
          <w:szCs w:val="24"/>
          <w:lang w:val="hy-AM"/>
        </w:rPr>
        <w:t xml:space="preserve">- ցածր ռիսկային, մինչև </w:t>
      </w:r>
      <w:r w:rsidR="009B1DDC" w:rsidRPr="00C14168">
        <w:rPr>
          <w:rFonts w:eastAsia="Times New Roman" w:cs="Arial"/>
          <w:szCs w:val="24"/>
          <w:lang w:val="hy-AM"/>
        </w:rPr>
        <w:t>0.1%</w:t>
      </w:r>
      <w:r w:rsidRPr="00C14168">
        <w:rPr>
          <w:rFonts w:eastAsia="Times New Roman" w:cs="Arial"/>
          <w:szCs w:val="24"/>
          <w:lang w:val="hy-AM"/>
        </w:rPr>
        <w:t>:</w:t>
      </w:r>
    </w:p>
    <w:p w14:paraId="5D8D04A7" w14:textId="64096A4C" w:rsidR="00A84C29" w:rsidRPr="00C14168" w:rsidRDefault="00B035D9" w:rsidP="00D6269C">
      <w:pPr>
        <w:pStyle w:val="ListParagraph"/>
        <w:tabs>
          <w:tab w:val="left" w:pos="426"/>
        </w:tabs>
        <w:spacing w:after="80" w:line="276" w:lineRule="auto"/>
        <w:ind w:left="0"/>
        <w:jc w:val="both"/>
        <w:rPr>
          <w:szCs w:val="24"/>
          <w:lang w:val="hy-AM"/>
        </w:rPr>
      </w:pPr>
      <w:r>
        <w:rPr>
          <w:szCs w:val="24"/>
        </w:rPr>
        <w:tab/>
      </w:r>
      <w:r w:rsidR="002425F1" w:rsidRPr="00C14168">
        <w:rPr>
          <w:szCs w:val="24"/>
          <w:lang w:val="hy-AM"/>
        </w:rPr>
        <w:t>Արդյունքում</w:t>
      </w:r>
      <w:r w:rsidR="00A84C29" w:rsidRPr="00C14168">
        <w:rPr>
          <w:szCs w:val="24"/>
          <w:lang w:val="hy-AM"/>
        </w:rPr>
        <w:t>՝</w:t>
      </w:r>
    </w:p>
    <w:p w14:paraId="121FC1AE" w14:textId="206210DA" w:rsidR="002425F1" w:rsidRPr="00C14168" w:rsidRDefault="009B1DDC" w:rsidP="00D6269C">
      <w:pPr>
        <w:pStyle w:val="ListParagraph"/>
        <w:numPr>
          <w:ilvl w:val="0"/>
          <w:numId w:val="9"/>
        </w:numPr>
        <w:spacing w:after="80" w:line="276" w:lineRule="auto"/>
        <w:ind w:left="993"/>
        <w:jc w:val="both"/>
        <w:rPr>
          <w:szCs w:val="24"/>
          <w:lang w:val="hy-AM"/>
        </w:rPr>
      </w:pPr>
      <w:r w:rsidRPr="00C14168">
        <w:rPr>
          <w:szCs w:val="24"/>
          <w:lang w:val="hy-AM"/>
        </w:rPr>
        <w:t>1%-ից</w:t>
      </w:r>
      <w:r w:rsidR="002425F1" w:rsidRPr="00C14168">
        <w:rPr>
          <w:szCs w:val="24"/>
          <w:lang w:val="hy-AM"/>
        </w:rPr>
        <w:t xml:space="preserve"> բարձր առկա է</w:t>
      </w:r>
      <w:r w:rsidRPr="00C14168">
        <w:rPr>
          <w:szCs w:val="24"/>
          <w:lang w:val="hy-AM"/>
        </w:rPr>
        <w:t xml:space="preserve"> </w:t>
      </w:r>
      <w:r w:rsidR="0022323F" w:rsidRPr="00C14168">
        <w:rPr>
          <w:szCs w:val="24"/>
          <w:lang w:val="hy-AM"/>
        </w:rPr>
        <w:t>1</w:t>
      </w:r>
      <w:r w:rsidRPr="00C14168">
        <w:rPr>
          <w:szCs w:val="24"/>
          <w:lang w:val="hy-AM"/>
        </w:rPr>
        <w:t>4</w:t>
      </w:r>
      <w:r w:rsidR="002425F1" w:rsidRPr="00C14168">
        <w:rPr>
          <w:szCs w:val="24"/>
          <w:lang w:val="hy-AM"/>
        </w:rPr>
        <w:t xml:space="preserve"> գերատեսչություն, որոնցից, համաձայն Մեթոդաբանության, </w:t>
      </w:r>
      <w:r w:rsidR="009B7D2C" w:rsidRPr="00C14168">
        <w:rPr>
          <w:szCs w:val="24"/>
          <w:lang w:val="hy-AM"/>
        </w:rPr>
        <w:t>բացառելով</w:t>
      </w:r>
      <w:r w:rsidR="002425F1" w:rsidRPr="00C14168">
        <w:rPr>
          <w:szCs w:val="24"/>
          <w:lang w:val="hy-AM"/>
        </w:rPr>
        <w:t xml:space="preserve"> այն գերատեսչությունները, որոնք արդեն ընտրվել են Ծրագրի 1-ին մասով հաշվեքննության իրականացնելու համար</w:t>
      </w:r>
      <w:r w:rsidR="00A84C29" w:rsidRPr="00C14168">
        <w:rPr>
          <w:szCs w:val="24"/>
          <w:lang w:val="hy-AM"/>
        </w:rPr>
        <w:t xml:space="preserve">՝ </w:t>
      </w:r>
      <w:r w:rsidR="002425F1" w:rsidRPr="00C14168">
        <w:rPr>
          <w:szCs w:val="24"/>
          <w:lang w:val="hy-AM"/>
        </w:rPr>
        <w:t>կստացվի</w:t>
      </w:r>
      <w:r w:rsidR="0022323F" w:rsidRPr="00C14168">
        <w:rPr>
          <w:szCs w:val="24"/>
          <w:lang w:val="hy-AM"/>
        </w:rPr>
        <w:t xml:space="preserve"> 4</w:t>
      </w:r>
      <w:r w:rsidR="002425F1" w:rsidRPr="00C14168">
        <w:rPr>
          <w:szCs w:val="24"/>
          <w:lang w:val="hy-AM"/>
        </w:rPr>
        <w:t xml:space="preserve"> գերատեսչություն</w:t>
      </w:r>
      <w:r w:rsidR="00A84C29" w:rsidRPr="00C14168">
        <w:rPr>
          <w:szCs w:val="24"/>
          <w:lang w:val="hy-AM"/>
        </w:rPr>
        <w:t>,</w:t>
      </w:r>
      <w:r w:rsidR="006379A9" w:rsidRPr="00C14168">
        <w:rPr>
          <w:szCs w:val="24"/>
          <w:lang w:val="hy-AM"/>
        </w:rPr>
        <w:t xml:space="preserve"> որից 3-ը՝ նախորդ երկու տարիներին հաշվեքննվել են, իսկ 1-ը՝ ոչ (ՀՀ քաղաքաշինության կոմիտե)։</w:t>
      </w:r>
    </w:p>
    <w:p w14:paraId="01218D9D" w14:textId="71A3EC7A" w:rsidR="00A84C29" w:rsidRPr="00C14168" w:rsidRDefault="00A84C29" w:rsidP="00D6269C">
      <w:pPr>
        <w:pStyle w:val="ListParagraph"/>
        <w:numPr>
          <w:ilvl w:val="0"/>
          <w:numId w:val="9"/>
        </w:numPr>
        <w:spacing w:after="80" w:line="276" w:lineRule="auto"/>
        <w:ind w:left="993"/>
        <w:jc w:val="both"/>
        <w:rPr>
          <w:szCs w:val="24"/>
          <w:lang w:val="hy-AM"/>
        </w:rPr>
      </w:pPr>
      <w:r w:rsidRPr="00C14168">
        <w:rPr>
          <w:rFonts w:eastAsia="Times New Roman" w:cs="Arial"/>
          <w:szCs w:val="24"/>
          <w:lang w:val="hy-AM"/>
        </w:rPr>
        <w:t>0.1%-ից բարձր առկա է 27 գերատեսչություն,</w:t>
      </w:r>
    </w:p>
    <w:p w14:paraId="212BDFC6" w14:textId="6166BC5B" w:rsidR="00A84C29" w:rsidRPr="00C14168" w:rsidRDefault="00A84C29" w:rsidP="00D6269C">
      <w:pPr>
        <w:pStyle w:val="ListParagraph"/>
        <w:numPr>
          <w:ilvl w:val="0"/>
          <w:numId w:val="9"/>
        </w:numPr>
        <w:spacing w:after="80" w:line="276" w:lineRule="auto"/>
        <w:ind w:left="993"/>
        <w:jc w:val="both"/>
        <w:rPr>
          <w:szCs w:val="24"/>
          <w:lang w:val="hy-AM"/>
        </w:rPr>
      </w:pPr>
      <w:r w:rsidRPr="00C14168">
        <w:rPr>
          <w:rFonts w:eastAsia="Times New Roman" w:cs="Arial"/>
          <w:szCs w:val="24"/>
          <w:lang w:val="hy-AM"/>
        </w:rPr>
        <w:t>մինչև 0.1% առկա է 16 գերատեսչություն։</w:t>
      </w:r>
    </w:p>
    <w:p w14:paraId="4C3FC98D" w14:textId="6BAC7C15" w:rsidR="00D8015E" w:rsidRPr="00C14168" w:rsidRDefault="002425F1" w:rsidP="00D6269C">
      <w:pPr>
        <w:pStyle w:val="ListParagraph"/>
        <w:numPr>
          <w:ilvl w:val="0"/>
          <w:numId w:val="7"/>
        </w:numPr>
        <w:tabs>
          <w:tab w:val="left" w:pos="284"/>
        </w:tabs>
        <w:spacing w:after="80" w:line="276" w:lineRule="auto"/>
        <w:ind w:left="0" w:firstLine="0"/>
        <w:jc w:val="both"/>
        <w:rPr>
          <w:szCs w:val="24"/>
          <w:lang w:val="hy-AM"/>
        </w:rPr>
      </w:pPr>
      <w:r w:rsidRPr="00C14168">
        <w:rPr>
          <w:rFonts w:cs="Sylfaen"/>
          <w:szCs w:val="24"/>
          <w:lang w:val="hy-AM"/>
        </w:rPr>
        <w:t>Ստացված</w:t>
      </w:r>
      <w:r w:rsidRPr="00C14168">
        <w:rPr>
          <w:szCs w:val="24"/>
          <w:lang w:val="hy-AM"/>
        </w:rPr>
        <w:t xml:space="preserve"> </w:t>
      </w:r>
      <w:r w:rsidRPr="00C14168">
        <w:rPr>
          <w:rFonts w:cs="Sylfaen"/>
          <w:szCs w:val="24"/>
          <w:lang w:val="hy-AM"/>
        </w:rPr>
        <w:t>գերատես</w:t>
      </w:r>
      <w:r w:rsidR="0022323F" w:rsidRPr="00C14168">
        <w:rPr>
          <w:rFonts w:cs="Sylfaen"/>
          <w:szCs w:val="24"/>
          <w:lang w:val="hy-AM"/>
        </w:rPr>
        <w:t>չ</w:t>
      </w:r>
      <w:r w:rsidRPr="00C14168">
        <w:rPr>
          <w:rFonts w:cs="Sylfaen"/>
          <w:szCs w:val="24"/>
          <w:lang w:val="hy-AM"/>
        </w:rPr>
        <w:t>ություններից</w:t>
      </w:r>
      <w:r w:rsidRPr="00C14168">
        <w:rPr>
          <w:szCs w:val="24"/>
          <w:lang w:val="hy-AM"/>
        </w:rPr>
        <w:t xml:space="preserve">, </w:t>
      </w:r>
      <w:r w:rsidRPr="00C14168">
        <w:rPr>
          <w:rFonts w:cs="Sylfaen"/>
          <w:szCs w:val="24"/>
          <w:lang w:val="hy-AM"/>
        </w:rPr>
        <w:t>համաձայն</w:t>
      </w:r>
      <w:r w:rsidRPr="00C14168">
        <w:rPr>
          <w:szCs w:val="24"/>
          <w:lang w:val="hy-AM"/>
        </w:rPr>
        <w:t xml:space="preserve"> </w:t>
      </w:r>
      <w:r w:rsidRPr="00C14168">
        <w:rPr>
          <w:rFonts w:cs="Sylfaen"/>
          <w:szCs w:val="24"/>
          <w:lang w:val="hy-AM"/>
        </w:rPr>
        <w:t>Մեթոդաբանության</w:t>
      </w:r>
      <w:r w:rsidRPr="00C14168">
        <w:rPr>
          <w:szCs w:val="24"/>
          <w:lang w:val="hy-AM"/>
        </w:rPr>
        <w:t xml:space="preserve">, </w:t>
      </w:r>
      <w:r w:rsidRPr="00C14168">
        <w:rPr>
          <w:rFonts w:cs="Sylfaen"/>
          <w:szCs w:val="24"/>
          <w:lang w:val="hy-AM"/>
        </w:rPr>
        <w:t>նախապատվությունը</w:t>
      </w:r>
      <w:r w:rsidRPr="00C14168">
        <w:rPr>
          <w:szCs w:val="24"/>
          <w:lang w:val="hy-AM"/>
        </w:rPr>
        <w:t xml:space="preserve"> </w:t>
      </w:r>
      <w:r w:rsidRPr="00C14168">
        <w:rPr>
          <w:rFonts w:cs="Sylfaen"/>
          <w:szCs w:val="24"/>
          <w:lang w:val="hy-AM"/>
        </w:rPr>
        <w:t>տրվել</w:t>
      </w:r>
      <w:r w:rsidRPr="00C14168">
        <w:rPr>
          <w:szCs w:val="24"/>
          <w:lang w:val="hy-AM"/>
        </w:rPr>
        <w:t xml:space="preserve"> </w:t>
      </w:r>
      <w:r w:rsidRPr="00C14168">
        <w:rPr>
          <w:rFonts w:cs="Sylfaen"/>
          <w:szCs w:val="24"/>
          <w:lang w:val="hy-AM"/>
        </w:rPr>
        <w:t>է</w:t>
      </w:r>
      <w:r w:rsidRPr="00C14168">
        <w:rPr>
          <w:szCs w:val="24"/>
          <w:lang w:val="hy-AM"/>
        </w:rPr>
        <w:t xml:space="preserve"> </w:t>
      </w:r>
      <w:r w:rsidRPr="00C14168">
        <w:rPr>
          <w:rFonts w:cs="Sylfaen"/>
          <w:szCs w:val="24"/>
          <w:lang w:val="hy-AM"/>
        </w:rPr>
        <w:t>այն</w:t>
      </w:r>
      <w:r w:rsidRPr="00C14168">
        <w:rPr>
          <w:szCs w:val="24"/>
          <w:lang w:val="hy-AM"/>
        </w:rPr>
        <w:t xml:space="preserve"> </w:t>
      </w:r>
      <w:r w:rsidR="0022323F" w:rsidRPr="00C14168">
        <w:rPr>
          <w:rFonts w:cs="Sylfaen"/>
          <w:szCs w:val="24"/>
          <w:lang w:val="hy-AM"/>
        </w:rPr>
        <w:t>գերատեսչությ</w:t>
      </w:r>
      <w:r w:rsidR="00A84C29" w:rsidRPr="00C14168">
        <w:rPr>
          <w:rFonts w:cs="Sylfaen"/>
          <w:szCs w:val="24"/>
          <w:lang w:val="hy-AM"/>
        </w:rPr>
        <w:t>ու</w:t>
      </w:r>
      <w:r w:rsidRPr="00C14168">
        <w:rPr>
          <w:rFonts w:cs="Sylfaen"/>
          <w:szCs w:val="24"/>
          <w:lang w:val="hy-AM"/>
        </w:rPr>
        <w:t>ն</w:t>
      </w:r>
      <w:r w:rsidR="00A84C29" w:rsidRPr="00C14168">
        <w:rPr>
          <w:rFonts w:cs="Sylfaen"/>
          <w:szCs w:val="24"/>
          <w:lang w:val="hy-AM"/>
        </w:rPr>
        <w:t>ներին</w:t>
      </w:r>
      <w:r w:rsidRPr="00C14168">
        <w:rPr>
          <w:szCs w:val="24"/>
          <w:lang w:val="hy-AM"/>
        </w:rPr>
        <w:t xml:space="preserve">, </w:t>
      </w:r>
      <w:r w:rsidR="00A84C29" w:rsidRPr="00C14168">
        <w:rPr>
          <w:rFonts w:cs="Sylfaen"/>
          <w:szCs w:val="24"/>
          <w:lang w:val="hy-AM"/>
        </w:rPr>
        <w:t>որոնք</w:t>
      </w:r>
      <w:r w:rsidRPr="00C14168">
        <w:rPr>
          <w:szCs w:val="24"/>
          <w:lang w:val="hy-AM"/>
        </w:rPr>
        <w:t xml:space="preserve"> </w:t>
      </w:r>
      <w:r w:rsidRPr="00C14168">
        <w:rPr>
          <w:rFonts w:cs="Sylfaen"/>
          <w:szCs w:val="24"/>
          <w:lang w:val="hy-AM"/>
        </w:rPr>
        <w:t>հաշվեքննության</w:t>
      </w:r>
      <w:r w:rsidRPr="00C14168">
        <w:rPr>
          <w:szCs w:val="24"/>
          <w:lang w:val="hy-AM"/>
        </w:rPr>
        <w:t xml:space="preserve"> </w:t>
      </w:r>
      <w:r w:rsidR="00A84C29" w:rsidRPr="00C14168">
        <w:rPr>
          <w:rFonts w:cs="Sylfaen"/>
          <w:szCs w:val="24"/>
          <w:lang w:val="hy-AM"/>
        </w:rPr>
        <w:t>չեն</w:t>
      </w:r>
      <w:r w:rsidRPr="00C14168">
        <w:rPr>
          <w:szCs w:val="24"/>
          <w:lang w:val="hy-AM"/>
        </w:rPr>
        <w:t xml:space="preserve"> </w:t>
      </w:r>
      <w:r w:rsidRPr="00C14168">
        <w:rPr>
          <w:rFonts w:cs="Sylfaen"/>
          <w:szCs w:val="24"/>
          <w:lang w:val="hy-AM"/>
        </w:rPr>
        <w:t>ենթարկվել</w:t>
      </w:r>
      <w:r w:rsidRPr="00C14168">
        <w:rPr>
          <w:szCs w:val="24"/>
          <w:lang w:val="hy-AM"/>
        </w:rPr>
        <w:t xml:space="preserve"> </w:t>
      </w:r>
      <w:r w:rsidRPr="00C14168">
        <w:rPr>
          <w:rFonts w:cs="Sylfaen"/>
          <w:szCs w:val="24"/>
          <w:lang w:val="hy-AM"/>
        </w:rPr>
        <w:t>նախորդ</w:t>
      </w:r>
      <w:r w:rsidRPr="00C14168">
        <w:rPr>
          <w:szCs w:val="24"/>
          <w:lang w:val="hy-AM"/>
        </w:rPr>
        <w:t xml:space="preserve"> </w:t>
      </w:r>
      <w:r w:rsidRPr="00C14168">
        <w:rPr>
          <w:rFonts w:cs="Sylfaen"/>
          <w:szCs w:val="24"/>
          <w:lang w:val="hy-AM"/>
        </w:rPr>
        <w:t>ժամանակաշրջանում</w:t>
      </w:r>
      <w:r w:rsidR="00A84C29" w:rsidRPr="00C14168">
        <w:rPr>
          <w:rFonts w:cs="Sylfaen"/>
          <w:szCs w:val="24"/>
          <w:lang w:val="hy-AM"/>
        </w:rPr>
        <w:t xml:space="preserve"> (կամ ենթարկվել են 3 տարի առաջ)</w:t>
      </w:r>
      <w:r w:rsidR="0022323F" w:rsidRPr="00C14168">
        <w:rPr>
          <w:szCs w:val="24"/>
          <w:lang w:val="hy-AM"/>
        </w:rPr>
        <w:t xml:space="preserve"> և </w:t>
      </w:r>
      <w:r w:rsidR="00A84C29" w:rsidRPr="00C14168">
        <w:rPr>
          <w:rFonts w:cs="Sylfaen"/>
          <w:szCs w:val="24"/>
          <w:lang w:val="hy-AM"/>
        </w:rPr>
        <w:t>որոնց</w:t>
      </w:r>
      <w:r w:rsidRPr="00C14168">
        <w:rPr>
          <w:szCs w:val="24"/>
          <w:lang w:val="hy-AM"/>
        </w:rPr>
        <w:t xml:space="preserve"> </w:t>
      </w:r>
      <w:r w:rsidRPr="00C14168">
        <w:rPr>
          <w:rFonts w:cs="Sylfaen"/>
          <w:szCs w:val="24"/>
          <w:lang w:val="hy-AM"/>
        </w:rPr>
        <w:t>ծրագրերի</w:t>
      </w:r>
      <w:r w:rsidRPr="00C14168">
        <w:rPr>
          <w:szCs w:val="24"/>
          <w:lang w:val="hy-AM"/>
        </w:rPr>
        <w:t xml:space="preserve"> </w:t>
      </w:r>
      <w:r w:rsidRPr="00C14168">
        <w:rPr>
          <w:rFonts w:cs="Sylfaen"/>
          <w:szCs w:val="24"/>
          <w:lang w:val="hy-AM"/>
        </w:rPr>
        <w:t>քանակը</w:t>
      </w:r>
      <w:r w:rsidRPr="00C14168">
        <w:rPr>
          <w:szCs w:val="24"/>
          <w:lang w:val="hy-AM"/>
        </w:rPr>
        <w:t xml:space="preserve"> </w:t>
      </w:r>
      <w:r w:rsidRPr="00C14168">
        <w:rPr>
          <w:rFonts w:cs="Sylfaen"/>
          <w:szCs w:val="24"/>
          <w:lang w:val="hy-AM"/>
        </w:rPr>
        <w:t>գերազանցում</w:t>
      </w:r>
      <w:r w:rsidRPr="00C14168">
        <w:rPr>
          <w:szCs w:val="24"/>
          <w:lang w:val="hy-AM"/>
        </w:rPr>
        <w:t xml:space="preserve"> </w:t>
      </w:r>
      <w:r w:rsidRPr="00C14168">
        <w:rPr>
          <w:rFonts w:cs="Sylfaen"/>
          <w:szCs w:val="24"/>
          <w:lang w:val="hy-AM"/>
        </w:rPr>
        <w:t>է</w:t>
      </w:r>
      <w:r w:rsidRPr="00C14168">
        <w:rPr>
          <w:szCs w:val="24"/>
          <w:lang w:val="hy-AM"/>
        </w:rPr>
        <w:t xml:space="preserve"> 10-</w:t>
      </w:r>
      <w:r w:rsidRPr="00C14168">
        <w:rPr>
          <w:rFonts w:cs="Sylfaen"/>
          <w:szCs w:val="24"/>
          <w:lang w:val="hy-AM"/>
        </w:rPr>
        <w:t>ը</w:t>
      </w:r>
      <w:r w:rsidR="00A84C29" w:rsidRPr="00C14168">
        <w:rPr>
          <w:rStyle w:val="FootnoteReference"/>
          <w:rFonts w:cs="Sylfaen"/>
          <w:szCs w:val="24"/>
          <w:lang w:val="hy-AM"/>
        </w:rPr>
        <w:footnoteReference w:id="3"/>
      </w:r>
      <w:r w:rsidR="00747EFB" w:rsidRPr="00C14168">
        <w:rPr>
          <w:szCs w:val="24"/>
          <w:lang w:val="hy-AM"/>
        </w:rPr>
        <w:t>:</w:t>
      </w:r>
    </w:p>
    <w:p w14:paraId="4127F8C8" w14:textId="7CE9408F" w:rsidR="00747EFB" w:rsidRPr="00C14168" w:rsidRDefault="008C29E4" w:rsidP="00D6269C">
      <w:pPr>
        <w:pStyle w:val="ListParagraph"/>
        <w:spacing w:after="80" w:line="276" w:lineRule="auto"/>
        <w:ind w:left="0" w:firstLine="720"/>
        <w:jc w:val="both"/>
        <w:rPr>
          <w:szCs w:val="24"/>
          <w:lang w:val="hy-AM"/>
        </w:rPr>
      </w:pPr>
      <w:r w:rsidRPr="00C14168">
        <w:rPr>
          <w:rFonts w:cs="Sylfaen"/>
          <w:szCs w:val="24"/>
          <w:lang w:val="hy-AM"/>
        </w:rPr>
        <w:t>Հ</w:t>
      </w:r>
      <w:r w:rsidR="00747EFB" w:rsidRPr="00C14168">
        <w:rPr>
          <w:rFonts w:cs="Sylfaen"/>
          <w:szCs w:val="24"/>
          <w:lang w:val="hy-AM"/>
        </w:rPr>
        <w:t>ամաձայն</w:t>
      </w:r>
      <w:r w:rsidR="00747EFB" w:rsidRPr="00C14168">
        <w:rPr>
          <w:szCs w:val="24"/>
          <w:lang w:val="hy-AM"/>
        </w:rPr>
        <w:t xml:space="preserve"> </w:t>
      </w:r>
      <w:r w:rsidR="00747EFB" w:rsidRPr="00C14168">
        <w:rPr>
          <w:rFonts w:cs="Sylfaen"/>
          <w:szCs w:val="24"/>
          <w:lang w:val="hy-AM"/>
        </w:rPr>
        <w:t>Մեթոդաբանության</w:t>
      </w:r>
      <w:r w:rsidR="00747EFB" w:rsidRPr="00C14168">
        <w:rPr>
          <w:szCs w:val="24"/>
          <w:lang w:val="hy-AM"/>
        </w:rPr>
        <w:t xml:space="preserve"> 17-</w:t>
      </w:r>
      <w:r w:rsidR="00747EFB" w:rsidRPr="00C14168">
        <w:rPr>
          <w:rFonts w:cs="Sylfaen"/>
          <w:szCs w:val="24"/>
          <w:lang w:val="hy-AM"/>
        </w:rPr>
        <w:t>րդ</w:t>
      </w:r>
      <w:r w:rsidR="00747EFB" w:rsidRPr="00C14168">
        <w:rPr>
          <w:szCs w:val="24"/>
          <w:lang w:val="hy-AM"/>
        </w:rPr>
        <w:t xml:space="preserve"> </w:t>
      </w:r>
      <w:r w:rsidR="00747EFB" w:rsidRPr="00C14168">
        <w:rPr>
          <w:rFonts w:cs="Sylfaen"/>
          <w:szCs w:val="24"/>
          <w:lang w:val="hy-AM"/>
        </w:rPr>
        <w:t>կետի</w:t>
      </w:r>
      <w:r w:rsidR="00747EFB" w:rsidRPr="00C14168">
        <w:rPr>
          <w:szCs w:val="24"/>
          <w:lang w:val="hy-AM"/>
        </w:rPr>
        <w:t xml:space="preserve">, </w:t>
      </w:r>
      <w:r w:rsidR="00747EFB" w:rsidRPr="00C14168">
        <w:rPr>
          <w:rFonts w:cs="Sylfaen"/>
          <w:szCs w:val="24"/>
          <w:lang w:val="hy-AM"/>
        </w:rPr>
        <w:t>ֆինանսական</w:t>
      </w:r>
      <w:r w:rsidR="00747EFB" w:rsidRPr="00C14168">
        <w:rPr>
          <w:szCs w:val="24"/>
          <w:lang w:val="hy-AM"/>
        </w:rPr>
        <w:t xml:space="preserve"> </w:t>
      </w:r>
      <w:r w:rsidR="00747EFB" w:rsidRPr="00C14168">
        <w:rPr>
          <w:rFonts w:cs="Sylfaen"/>
          <w:szCs w:val="24"/>
          <w:lang w:val="hy-AM"/>
        </w:rPr>
        <w:t>և</w:t>
      </w:r>
      <w:r w:rsidR="00023D7C" w:rsidRPr="0052121B">
        <w:rPr>
          <w:szCs w:val="24"/>
          <w:lang w:val="hy-AM"/>
        </w:rPr>
        <w:t xml:space="preserve">/կամ </w:t>
      </w:r>
      <w:r w:rsidR="00747EFB" w:rsidRPr="00C14168">
        <w:rPr>
          <w:rFonts w:cs="Sylfaen"/>
          <w:szCs w:val="24"/>
          <w:lang w:val="hy-AM"/>
        </w:rPr>
        <w:t>համապատասխանության</w:t>
      </w:r>
      <w:r w:rsidR="00747EFB" w:rsidRPr="00C14168">
        <w:rPr>
          <w:szCs w:val="24"/>
          <w:lang w:val="hy-AM"/>
        </w:rPr>
        <w:t xml:space="preserve"> </w:t>
      </w:r>
      <w:r w:rsidR="00747EFB" w:rsidRPr="00C14168">
        <w:rPr>
          <w:rFonts w:cs="Sylfaen"/>
          <w:szCs w:val="24"/>
          <w:lang w:val="hy-AM"/>
        </w:rPr>
        <w:t>հաշվեքննության</w:t>
      </w:r>
      <w:r w:rsidR="00747EFB" w:rsidRPr="00C14168">
        <w:rPr>
          <w:szCs w:val="24"/>
          <w:lang w:val="hy-AM"/>
        </w:rPr>
        <w:t xml:space="preserve"> </w:t>
      </w:r>
      <w:r w:rsidR="00747EFB" w:rsidRPr="00C14168">
        <w:rPr>
          <w:rFonts w:cs="Sylfaen"/>
          <w:szCs w:val="24"/>
          <w:lang w:val="hy-AM"/>
        </w:rPr>
        <w:t>իրականացման</w:t>
      </w:r>
      <w:r w:rsidR="00747EFB" w:rsidRPr="00C14168">
        <w:rPr>
          <w:szCs w:val="24"/>
          <w:lang w:val="hy-AM"/>
        </w:rPr>
        <w:t xml:space="preserve"> </w:t>
      </w:r>
      <w:r w:rsidR="00747EFB" w:rsidRPr="00C14168">
        <w:rPr>
          <w:rFonts w:cs="Sylfaen"/>
          <w:szCs w:val="24"/>
          <w:lang w:val="hy-AM"/>
        </w:rPr>
        <w:t>համար</w:t>
      </w:r>
      <w:r w:rsidR="00747EFB" w:rsidRPr="00C14168">
        <w:rPr>
          <w:szCs w:val="24"/>
          <w:lang w:val="hy-AM"/>
        </w:rPr>
        <w:t xml:space="preserve"> </w:t>
      </w:r>
      <w:r w:rsidR="00747EFB" w:rsidRPr="00C14168">
        <w:rPr>
          <w:rFonts w:cs="Sylfaen"/>
          <w:szCs w:val="24"/>
          <w:lang w:val="hy-AM"/>
        </w:rPr>
        <w:t>պետք</w:t>
      </w:r>
      <w:r w:rsidR="00747EFB" w:rsidRPr="00C14168">
        <w:rPr>
          <w:szCs w:val="24"/>
          <w:lang w:val="hy-AM"/>
        </w:rPr>
        <w:t xml:space="preserve"> </w:t>
      </w:r>
      <w:r w:rsidR="00747EFB" w:rsidRPr="00C14168">
        <w:rPr>
          <w:rFonts w:cs="Sylfaen"/>
          <w:szCs w:val="24"/>
          <w:lang w:val="hy-AM"/>
        </w:rPr>
        <w:t>է</w:t>
      </w:r>
      <w:r w:rsidR="00747EFB" w:rsidRPr="00C14168">
        <w:rPr>
          <w:szCs w:val="24"/>
          <w:lang w:val="hy-AM"/>
        </w:rPr>
        <w:t xml:space="preserve"> </w:t>
      </w:r>
      <w:r w:rsidR="00747EFB" w:rsidRPr="00C14168">
        <w:rPr>
          <w:rFonts w:cs="Sylfaen"/>
          <w:szCs w:val="24"/>
          <w:lang w:val="hy-AM"/>
        </w:rPr>
        <w:t>ծրագրային</w:t>
      </w:r>
      <w:r w:rsidR="00747EFB" w:rsidRPr="00C14168">
        <w:rPr>
          <w:szCs w:val="24"/>
          <w:lang w:val="hy-AM"/>
        </w:rPr>
        <w:t xml:space="preserve"> </w:t>
      </w:r>
      <w:r w:rsidR="00747EFB" w:rsidRPr="00C14168">
        <w:rPr>
          <w:rFonts w:cs="Sylfaen"/>
          <w:szCs w:val="24"/>
          <w:lang w:val="hy-AM"/>
        </w:rPr>
        <w:t>կետեր</w:t>
      </w:r>
      <w:r w:rsidR="00747EFB" w:rsidRPr="00C14168">
        <w:rPr>
          <w:szCs w:val="24"/>
          <w:lang w:val="hy-AM"/>
        </w:rPr>
        <w:t xml:space="preserve"> </w:t>
      </w:r>
      <w:r w:rsidR="00747EFB" w:rsidRPr="00C14168">
        <w:rPr>
          <w:rFonts w:cs="Sylfaen"/>
          <w:szCs w:val="24"/>
          <w:lang w:val="hy-AM"/>
        </w:rPr>
        <w:t>ընտրվեն՝</w:t>
      </w:r>
    </w:p>
    <w:p w14:paraId="357FF955" w14:textId="77777777" w:rsidR="00747EFB" w:rsidRPr="00C14168" w:rsidRDefault="00747EFB" w:rsidP="00D6269C">
      <w:pPr>
        <w:pStyle w:val="ListParagraph"/>
        <w:spacing w:after="80" w:line="276" w:lineRule="auto"/>
        <w:jc w:val="both"/>
        <w:rPr>
          <w:szCs w:val="24"/>
          <w:lang w:val="hy-AM"/>
        </w:rPr>
      </w:pPr>
      <w:r w:rsidRPr="00C14168">
        <w:rPr>
          <w:szCs w:val="24"/>
          <w:lang w:val="hy-AM"/>
        </w:rPr>
        <w:lastRenderedPageBreak/>
        <w:t xml:space="preserve">- բարձր ռիսկային խմբից յուրաքանչյուր տարի միմյանց չկրկնող առնվազն մեկ, </w:t>
      </w:r>
    </w:p>
    <w:p w14:paraId="098D0235" w14:textId="77777777" w:rsidR="00747EFB" w:rsidRPr="00C14168" w:rsidRDefault="00747EFB" w:rsidP="00D6269C">
      <w:pPr>
        <w:pStyle w:val="ListParagraph"/>
        <w:spacing w:after="80" w:line="276" w:lineRule="auto"/>
        <w:jc w:val="both"/>
        <w:rPr>
          <w:szCs w:val="24"/>
          <w:lang w:val="hy-AM"/>
        </w:rPr>
      </w:pPr>
      <w:r w:rsidRPr="00C14168">
        <w:rPr>
          <w:szCs w:val="24"/>
          <w:lang w:val="hy-AM"/>
        </w:rPr>
        <w:t>- միջին ռիսկային խմբից հինգ տարվա ընթացքում միմյանց չկրկնող առնվազն երկու,</w:t>
      </w:r>
    </w:p>
    <w:p w14:paraId="019A53F2" w14:textId="642A0792" w:rsidR="00747EFB" w:rsidRPr="00C14168" w:rsidRDefault="00747EFB" w:rsidP="00D6269C">
      <w:pPr>
        <w:pStyle w:val="ListParagraph"/>
        <w:spacing w:after="80" w:line="276" w:lineRule="auto"/>
        <w:jc w:val="both"/>
        <w:rPr>
          <w:szCs w:val="24"/>
          <w:lang w:val="hy-AM"/>
        </w:rPr>
      </w:pPr>
      <w:r w:rsidRPr="00C14168">
        <w:rPr>
          <w:szCs w:val="24"/>
          <w:lang w:val="hy-AM"/>
        </w:rPr>
        <w:t>- ցածր ռիսկային խմբից հինգ տարվա ընթացքում միմյանց չկրկնող առնվազն մեկ հաշվեքննություն</w:t>
      </w:r>
      <w:r w:rsidR="008C29E4" w:rsidRPr="00C14168">
        <w:rPr>
          <w:szCs w:val="24"/>
          <w:lang w:val="hy-AM"/>
        </w:rPr>
        <w:t>։</w:t>
      </w:r>
    </w:p>
    <w:p w14:paraId="704CEFC8" w14:textId="050C9F0E" w:rsidR="002425F1" w:rsidRPr="0094497E" w:rsidRDefault="002425F1" w:rsidP="00D6269C">
      <w:pPr>
        <w:pStyle w:val="ListParagraph"/>
        <w:spacing w:after="80" w:line="276" w:lineRule="auto"/>
        <w:ind w:left="0" w:firstLine="720"/>
        <w:jc w:val="both"/>
        <w:rPr>
          <w:szCs w:val="24"/>
          <w:lang w:val="hy-AM"/>
        </w:rPr>
      </w:pPr>
      <w:r w:rsidRPr="0094497E">
        <w:rPr>
          <w:rFonts w:cs="Sylfaen"/>
          <w:szCs w:val="24"/>
          <w:lang w:val="hy-AM"/>
        </w:rPr>
        <w:t xml:space="preserve">Հաշվի առնելով </w:t>
      </w:r>
      <w:r w:rsidR="008C29E4" w:rsidRPr="0094497E">
        <w:rPr>
          <w:rFonts w:cs="Sylfaen"/>
          <w:szCs w:val="24"/>
          <w:lang w:val="hy-AM"/>
        </w:rPr>
        <w:t>վերոնշյալը՝ 2023 թվականի տարեկան ծրագրի 2-րդ</w:t>
      </w:r>
      <w:r w:rsidR="008C29E4" w:rsidRPr="0094497E">
        <w:rPr>
          <w:szCs w:val="24"/>
          <w:lang w:val="hy-AM"/>
        </w:rPr>
        <w:t xml:space="preserve"> մասում յուրաքանչյուր ռիսկային խմբից նախատեսվ</w:t>
      </w:r>
      <w:r w:rsidR="0094497E" w:rsidRPr="00073260">
        <w:rPr>
          <w:szCs w:val="24"/>
          <w:lang w:val="hy-AM"/>
        </w:rPr>
        <w:t>ած</w:t>
      </w:r>
      <w:r w:rsidR="008C29E4" w:rsidRPr="0094497E">
        <w:rPr>
          <w:szCs w:val="24"/>
          <w:lang w:val="hy-AM"/>
        </w:rPr>
        <w:t xml:space="preserve"> է ներառել մեկական ծրագրային կետ.</w:t>
      </w:r>
      <w:r w:rsidRPr="0094497E">
        <w:rPr>
          <w:szCs w:val="24"/>
          <w:lang w:val="hy-AM"/>
        </w:rPr>
        <w:t xml:space="preserve"> ընտրանքի արդյունքում</w:t>
      </w:r>
      <w:r w:rsidR="008C29E4" w:rsidRPr="0094497E">
        <w:rPr>
          <w:szCs w:val="24"/>
          <w:lang w:val="hy-AM"/>
        </w:rPr>
        <w:t xml:space="preserve"> այդ կետերն են.</w:t>
      </w:r>
    </w:p>
    <w:p w14:paraId="17C0F483" w14:textId="7C0F8B04" w:rsidR="008C29E4" w:rsidRPr="00230510" w:rsidRDefault="008C29E4" w:rsidP="00D6269C">
      <w:pPr>
        <w:pStyle w:val="ListParagraph"/>
        <w:numPr>
          <w:ilvl w:val="0"/>
          <w:numId w:val="10"/>
        </w:numPr>
        <w:spacing w:after="80" w:line="276" w:lineRule="auto"/>
        <w:jc w:val="both"/>
        <w:rPr>
          <w:szCs w:val="24"/>
          <w:u w:val="single"/>
          <w:lang w:val="hy-AM"/>
        </w:rPr>
      </w:pPr>
      <w:r w:rsidRPr="00230510">
        <w:rPr>
          <w:szCs w:val="24"/>
          <w:u w:val="single"/>
          <w:lang w:val="hy-AM"/>
        </w:rPr>
        <w:t>ՀՀ քաղաքաշինության կոմիտե /բարձր/</w:t>
      </w:r>
    </w:p>
    <w:p w14:paraId="14F96B8F" w14:textId="746886BF" w:rsidR="008C29E4" w:rsidRPr="00230510" w:rsidRDefault="008C29E4" w:rsidP="00D6269C">
      <w:pPr>
        <w:pStyle w:val="ListParagraph"/>
        <w:numPr>
          <w:ilvl w:val="0"/>
          <w:numId w:val="10"/>
        </w:numPr>
        <w:spacing w:after="80" w:line="276" w:lineRule="auto"/>
        <w:jc w:val="both"/>
        <w:rPr>
          <w:szCs w:val="24"/>
          <w:u w:val="single"/>
          <w:lang w:val="hy-AM"/>
        </w:rPr>
      </w:pPr>
      <w:r w:rsidRPr="00230510">
        <w:rPr>
          <w:szCs w:val="24"/>
          <w:u w:val="single"/>
          <w:lang w:val="hy-AM"/>
        </w:rPr>
        <w:t>Շիրակի մարզպետարան /միջին/</w:t>
      </w:r>
    </w:p>
    <w:p w14:paraId="2DA66425" w14:textId="0A355BA4" w:rsidR="008C29E4" w:rsidRPr="00A775AE" w:rsidRDefault="008C29E4" w:rsidP="00D6269C">
      <w:pPr>
        <w:pStyle w:val="ListParagraph"/>
        <w:numPr>
          <w:ilvl w:val="0"/>
          <w:numId w:val="10"/>
        </w:numPr>
        <w:spacing w:after="80" w:line="276" w:lineRule="auto"/>
        <w:jc w:val="both"/>
        <w:rPr>
          <w:szCs w:val="24"/>
          <w:u w:val="single"/>
          <w:lang w:val="hy-AM"/>
        </w:rPr>
      </w:pPr>
      <w:r w:rsidRPr="00230510">
        <w:rPr>
          <w:szCs w:val="24"/>
          <w:u w:val="single"/>
          <w:lang w:val="hy-AM"/>
        </w:rPr>
        <w:t>ՀՀ տարածքային կառավարման և ենթակառուցվածքների նախարարության միգրացիոն ծառայություն /ցածր/։</w:t>
      </w:r>
    </w:p>
    <w:p w14:paraId="7710B9FB" w14:textId="7FEA28E7" w:rsidR="00A775AE" w:rsidRPr="0052121B" w:rsidRDefault="00023D7C" w:rsidP="00562EF0">
      <w:pPr>
        <w:spacing w:after="8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23D7C">
        <w:rPr>
          <w:rFonts w:ascii="GHEA Grapalat" w:hAnsi="GHEA Grapalat"/>
          <w:sz w:val="24"/>
          <w:szCs w:val="24"/>
          <w:lang w:val="hy-AM"/>
        </w:rPr>
        <w:t xml:space="preserve">Վերոնշյալ կետերից բարձր և միջին ռիսկայնության ծրագրային կետերի </w:t>
      </w:r>
      <w:r w:rsidR="0052121B" w:rsidRPr="0052121B">
        <w:rPr>
          <w:rFonts w:ascii="GHEA Grapalat" w:hAnsi="GHEA Grapalat"/>
          <w:sz w:val="24"/>
          <w:szCs w:val="24"/>
          <w:lang w:val="hy-AM"/>
        </w:rPr>
        <w:t>նկատմամբ կիրականացվի ֆինանսական և համապատասխանության հաշվեքննությունների, իսկ ցածր ռիսկայնության ծրագրային կետի նկատմամբ</w:t>
      </w:r>
      <w:r w:rsidR="0052121B" w:rsidRPr="008A12A4">
        <w:rPr>
          <w:rFonts w:ascii="GHEA Grapalat" w:hAnsi="GHEA Grapalat"/>
          <w:sz w:val="24"/>
          <w:szCs w:val="24"/>
          <w:lang w:val="hy-AM"/>
        </w:rPr>
        <w:t>՝</w:t>
      </w:r>
      <w:r w:rsidR="0052121B" w:rsidRPr="0052121B">
        <w:rPr>
          <w:rFonts w:ascii="GHEA Grapalat" w:hAnsi="GHEA Grapalat"/>
          <w:sz w:val="24"/>
          <w:szCs w:val="24"/>
          <w:lang w:val="hy-AM"/>
        </w:rPr>
        <w:t xml:space="preserve"> ֆինանսական </w:t>
      </w:r>
      <w:r w:rsidR="008A12A4" w:rsidRPr="00562EF0">
        <w:rPr>
          <w:rFonts w:ascii="GHEA Grapalat" w:hAnsi="GHEA Grapalat"/>
          <w:sz w:val="24"/>
          <w:szCs w:val="24"/>
          <w:lang w:val="hy-AM"/>
        </w:rPr>
        <w:t>հաշվեքննության</w:t>
      </w:r>
      <w:r w:rsidR="0052121B" w:rsidRPr="0052121B">
        <w:rPr>
          <w:rFonts w:ascii="GHEA Grapalat" w:hAnsi="GHEA Grapalat"/>
          <w:sz w:val="24"/>
          <w:szCs w:val="24"/>
          <w:lang w:val="hy-AM"/>
        </w:rPr>
        <w:t xml:space="preserve"> տեսակները:</w:t>
      </w:r>
    </w:p>
    <w:p w14:paraId="3C0962A4" w14:textId="2C6F3EB9" w:rsidR="008C29E4" w:rsidRPr="00B05850" w:rsidRDefault="00B035D9" w:rsidP="00D6269C">
      <w:pPr>
        <w:pStyle w:val="ListParagraph"/>
        <w:spacing w:after="80" w:line="276" w:lineRule="auto"/>
        <w:ind w:left="0" w:firstLine="720"/>
        <w:jc w:val="both"/>
        <w:rPr>
          <w:szCs w:val="24"/>
          <w:lang w:val="hy-AM"/>
        </w:rPr>
      </w:pPr>
      <w:r w:rsidRPr="00023D7C">
        <w:rPr>
          <w:rFonts w:cs="Sylfaen"/>
          <w:szCs w:val="24"/>
          <w:lang w:val="hy-AM"/>
        </w:rPr>
        <w:t>Հ</w:t>
      </w:r>
      <w:r w:rsidR="008C29E4" w:rsidRPr="00023D7C">
        <w:rPr>
          <w:szCs w:val="24"/>
          <w:lang w:val="hy-AM"/>
        </w:rPr>
        <w:t>արկ է նշել, որ 2022 թվականի տարեկան ծրագրի 2-րդ մասով նախատեսված</w:t>
      </w:r>
      <w:r w:rsidR="008C29E4" w:rsidRPr="0094497E">
        <w:rPr>
          <w:szCs w:val="24"/>
          <w:lang w:val="hy-AM"/>
        </w:rPr>
        <w:t xml:space="preserve"> </w:t>
      </w:r>
      <w:r w:rsidR="008C29E4" w:rsidRPr="00012D18">
        <w:rPr>
          <w:szCs w:val="24"/>
          <w:u w:val="single"/>
          <w:lang w:val="hy-AM"/>
        </w:rPr>
        <w:t>Գեղարքունիքի մարզպետարանի</w:t>
      </w:r>
      <w:r w:rsidR="008C29E4" w:rsidRPr="0094497E">
        <w:rPr>
          <w:szCs w:val="24"/>
          <w:lang w:val="hy-AM"/>
        </w:rPr>
        <w:t xml:space="preserve"> ֆինանսատնտեսական գործունեության նկատմամբ հաշվեքննությունը կասեցվել էր</w:t>
      </w:r>
      <w:r w:rsidR="00BC7D48">
        <w:rPr>
          <w:rStyle w:val="FootnoteReference"/>
          <w:szCs w:val="24"/>
          <w:lang w:val="hy-AM"/>
        </w:rPr>
        <w:footnoteReference w:id="4"/>
      </w:r>
      <w:r w:rsidR="0026579D" w:rsidRPr="0094497E">
        <w:rPr>
          <w:szCs w:val="24"/>
          <w:lang w:val="hy-AM"/>
        </w:rPr>
        <w:t>։ Ուստի</w:t>
      </w:r>
      <w:r w:rsidR="00BC7D48" w:rsidRPr="00D45ED0">
        <w:rPr>
          <w:szCs w:val="24"/>
          <w:lang w:val="hy-AM"/>
        </w:rPr>
        <w:t>, հաշվի առնելով</w:t>
      </w:r>
      <w:r w:rsidR="000A2C91" w:rsidRPr="00D45ED0">
        <w:rPr>
          <w:szCs w:val="24"/>
          <w:lang w:val="hy-AM"/>
        </w:rPr>
        <w:t>, որ այս ծրագրային կետը</w:t>
      </w:r>
      <w:r w:rsidR="00A441FC" w:rsidRPr="00D45ED0">
        <w:rPr>
          <w:szCs w:val="24"/>
          <w:lang w:val="hy-AM"/>
        </w:rPr>
        <w:t xml:space="preserve"> 2022 թվականի բյուջետային հատկացումների ցուցանիշներով</w:t>
      </w:r>
      <w:r w:rsidR="000A2C91" w:rsidRPr="00D45ED0">
        <w:rPr>
          <w:szCs w:val="24"/>
          <w:lang w:val="hy-AM"/>
        </w:rPr>
        <w:t xml:space="preserve"> շարունակում է մնալ ռիսկայինների ցանկում, </w:t>
      </w:r>
      <w:r w:rsidR="0026579D" w:rsidRPr="0094497E">
        <w:rPr>
          <w:szCs w:val="24"/>
          <w:lang w:val="hy-AM"/>
        </w:rPr>
        <w:t xml:space="preserve"> առաջարկվում է </w:t>
      </w:r>
      <w:r w:rsidR="008C5FA5" w:rsidRPr="00D45ED0">
        <w:rPr>
          <w:szCs w:val="24"/>
          <w:lang w:val="hy-AM"/>
        </w:rPr>
        <w:t>այն</w:t>
      </w:r>
      <w:r w:rsidR="003303D5" w:rsidRPr="00D45ED0">
        <w:rPr>
          <w:szCs w:val="24"/>
          <w:lang w:val="hy-AM"/>
        </w:rPr>
        <w:t xml:space="preserve"> ևս</w:t>
      </w:r>
      <w:r w:rsidR="0026579D" w:rsidRPr="0094497E">
        <w:rPr>
          <w:szCs w:val="24"/>
          <w:lang w:val="hy-AM"/>
        </w:rPr>
        <w:t xml:space="preserve"> ներառել 2023 թվականի տարեկան ծրագրի 2-րդ մասում և հաստատել նոր հաշվեքննության առաջադրանք</w:t>
      </w:r>
      <w:r w:rsidR="00A775AE">
        <w:rPr>
          <w:szCs w:val="24"/>
          <w:lang w:val="hy-AM"/>
        </w:rPr>
        <w:t xml:space="preserve">` </w:t>
      </w:r>
      <w:r w:rsidR="00A775AE" w:rsidRPr="0094497E">
        <w:rPr>
          <w:szCs w:val="24"/>
          <w:lang w:val="hy-AM"/>
        </w:rPr>
        <w:t xml:space="preserve">2022 թվականի </w:t>
      </w:r>
      <w:r w:rsidR="00A775AE" w:rsidRPr="00B05850">
        <w:rPr>
          <w:szCs w:val="24"/>
          <w:lang w:val="hy-AM"/>
        </w:rPr>
        <w:t xml:space="preserve">ֆինանսատնտեսական </w:t>
      </w:r>
      <w:r w:rsidR="00A775AE" w:rsidRPr="0094497E">
        <w:rPr>
          <w:szCs w:val="24"/>
          <w:lang w:val="hy-AM"/>
        </w:rPr>
        <w:t>գործունեության նկատմամբ</w:t>
      </w:r>
      <w:r w:rsidR="00A775AE" w:rsidRPr="00A775AE">
        <w:rPr>
          <w:szCs w:val="24"/>
          <w:lang w:val="hy-AM"/>
        </w:rPr>
        <w:t xml:space="preserve"> ֆինանսական և համապատասխանության հաշվեքննություներ</w:t>
      </w:r>
      <w:r w:rsidR="0026579D" w:rsidRPr="0094497E">
        <w:rPr>
          <w:szCs w:val="24"/>
          <w:lang w:val="hy-AM"/>
        </w:rPr>
        <w:t xml:space="preserve"> </w:t>
      </w:r>
      <w:r w:rsidR="008C29E4" w:rsidRPr="0094497E">
        <w:rPr>
          <w:szCs w:val="24"/>
          <w:lang w:val="hy-AM"/>
        </w:rPr>
        <w:t>։</w:t>
      </w:r>
    </w:p>
    <w:p w14:paraId="78ED6822" w14:textId="77777777" w:rsidR="0026579D" w:rsidRPr="00C14168" w:rsidRDefault="0026579D" w:rsidP="00D6269C">
      <w:pPr>
        <w:pStyle w:val="ListParagraph"/>
        <w:spacing w:after="80" w:line="276" w:lineRule="auto"/>
        <w:ind w:left="0" w:firstLine="720"/>
        <w:jc w:val="both"/>
        <w:rPr>
          <w:b/>
          <w:szCs w:val="24"/>
          <w:lang w:val="hy-AM"/>
        </w:rPr>
      </w:pPr>
    </w:p>
    <w:p w14:paraId="15810B24" w14:textId="235A5106" w:rsidR="005A3EE5" w:rsidRPr="00617E1A" w:rsidRDefault="001C3568" w:rsidP="00E5722E">
      <w:pPr>
        <w:pStyle w:val="ListParagraph"/>
        <w:tabs>
          <w:tab w:val="left" w:pos="426"/>
        </w:tabs>
        <w:spacing w:after="80" w:line="276" w:lineRule="auto"/>
        <w:ind w:left="0"/>
        <w:jc w:val="both"/>
        <w:rPr>
          <w:rFonts w:cs="Times New Roman"/>
          <w:b/>
          <w:bCs/>
          <w:szCs w:val="24"/>
          <w:lang w:val="hy-AM"/>
        </w:rPr>
      </w:pPr>
      <w:r w:rsidRPr="00617E1A">
        <w:rPr>
          <w:rFonts w:cs="Times New Roman"/>
          <w:b/>
          <w:bCs/>
          <w:szCs w:val="24"/>
          <w:lang w:val="hy-AM"/>
        </w:rPr>
        <w:t xml:space="preserve">4. </w:t>
      </w:r>
      <w:r w:rsidR="005A3EE5" w:rsidRPr="00617E1A">
        <w:rPr>
          <w:rFonts w:cs="Times New Roman"/>
          <w:b/>
          <w:bCs/>
          <w:szCs w:val="24"/>
          <w:lang w:val="hy-AM"/>
        </w:rPr>
        <w:t>2023</w:t>
      </w:r>
      <w:r w:rsidR="00F30F23" w:rsidRPr="00617E1A">
        <w:rPr>
          <w:rFonts w:cs="Times New Roman"/>
          <w:b/>
          <w:bCs/>
          <w:szCs w:val="24"/>
          <w:lang w:val="hy-AM"/>
        </w:rPr>
        <w:t xml:space="preserve"> </w:t>
      </w:r>
      <w:r w:rsidR="005A3EE5" w:rsidRPr="00617E1A">
        <w:rPr>
          <w:rFonts w:cs="Times New Roman"/>
          <w:b/>
          <w:bCs/>
          <w:szCs w:val="24"/>
          <w:lang w:val="hy-AM"/>
        </w:rPr>
        <w:t xml:space="preserve">Թ-Ի ԳՈՐԾՈՒՆԵՈՒԹՅԱՆ ԾՐԱԳՐԻ 2-ՐԴ ՄԱՍԻ ՀԱՄԱՐ </w:t>
      </w:r>
      <w:r w:rsidR="001F1146" w:rsidRPr="00617E1A">
        <w:rPr>
          <w:rFonts w:cs="Times New Roman"/>
          <w:b/>
          <w:bCs/>
          <w:szCs w:val="24"/>
          <w:lang w:val="hy-AM"/>
        </w:rPr>
        <w:t>ՀԱՄԱՅՆՔՆԵՐՈՒՄ</w:t>
      </w:r>
      <w:r w:rsidR="005A3EE5" w:rsidRPr="00617E1A">
        <w:rPr>
          <w:rFonts w:cs="Times New Roman"/>
          <w:b/>
          <w:bCs/>
          <w:szCs w:val="24"/>
          <w:lang w:val="hy-AM"/>
        </w:rPr>
        <w:t xml:space="preserve">  ՖԻՆԱՆՍԱԿԱՆ ԵՎ ՀԱՄԱՊԱՏԱՍԽԱՆՈՒԹՅԱՆ ՀԱՇՎԵՔՆՆՈՒԹՅ</w:t>
      </w:r>
      <w:r w:rsidR="00EC3233" w:rsidRPr="00617E1A">
        <w:rPr>
          <w:rFonts w:cs="Times New Roman"/>
          <w:b/>
          <w:bCs/>
          <w:szCs w:val="24"/>
          <w:lang w:val="hy-AM"/>
        </w:rPr>
        <w:t>ՈՒՆ</w:t>
      </w:r>
      <w:r w:rsidR="00AC2097" w:rsidRPr="00617E1A">
        <w:rPr>
          <w:rFonts w:cs="Times New Roman"/>
          <w:b/>
          <w:bCs/>
          <w:szCs w:val="24"/>
          <w:lang w:val="hy-AM"/>
        </w:rPr>
        <w:t>ՆԵՐ</w:t>
      </w:r>
    </w:p>
    <w:p w14:paraId="2AC716ED" w14:textId="55FCF32A" w:rsidR="005A3EE5" w:rsidRPr="00C14168" w:rsidRDefault="00B035D9" w:rsidP="00D6269C">
      <w:pPr>
        <w:pStyle w:val="Default"/>
        <w:tabs>
          <w:tab w:val="left" w:pos="851"/>
        </w:tabs>
        <w:spacing w:after="8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E5722E">
        <w:rPr>
          <w:rFonts w:ascii="GHEA Grapalat" w:hAnsi="GHEA Grapalat"/>
          <w:sz w:val="24"/>
          <w:szCs w:val="24"/>
          <w:lang w:val="hy-AM"/>
        </w:rPr>
        <w:tab/>
      </w:r>
      <w:r w:rsidR="000449B7" w:rsidRPr="000449B7">
        <w:rPr>
          <w:rFonts w:ascii="GHEA Grapalat" w:hAnsi="GHEA Grapalat"/>
          <w:sz w:val="24"/>
          <w:szCs w:val="24"/>
          <w:lang w:val="hy-AM"/>
        </w:rPr>
        <w:t>Մեթոդաբանության</w:t>
      </w:r>
      <w:r w:rsidR="000449B7" w:rsidRPr="000449B7">
        <w:rPr>
          <w:rStyle w:val="FootnoteReference"/>
          <w:rFonts w:ascii="GHEA Grapalat" w:hAnsi="GHEA Grapalat" w:cs="Times New Roman"/>
          <w:b/>
          <w:bCs/>
          <w:szCs w:val="24"/>
          <w:lang w:val="hy-AM"/>
        </w:rPr>
        <w:footnoteReference w:id="5"/>
      </w:r>
      <w:r w:rsidR="000449B7" w:rsidRPr="000449B7">
        <w:rPr>
          <w:rFonts w:ascii="GHEA Grapalat" w:hAnsi="GHEA Grapalat"/>
          <w:sz w:val="24"/>
          <w:szCs w:val="24"/>
          <w:lang w:val="hy-AM"/>
        </w:rPr>
        <w:t xml:space="preserve"> համաձայն՝ </w:t>
      </w:r>
      <w:r w:rsidR="000449B7" w:rsidRPr="000449B7">
        <w:rPr>
          <w:rFonts w:ascii="GHEA Grapalat" w:hAnsi="GHEA Grapalat" w:cs="Times New Roman"/>
          <w:sz w:val="24"/>
          <w:szCs w:val="24"/>
          <w:lang w:val="hy-AM"/>
        </w:rPr>
        <w:t>հ</w:t>
      </w:r>
      <w:r w:rsidR="00B44465" w:rsidRPr="00C14168">
        <w:rPr>
          <w:rFonts w:ascii="GHEA Grapalat" w:hAnsi="GHEA Grapalat" w:cs="Times New Roman"/>
          <w:sz w:val="24"/>
          <w:szCs w:val="24"/>
          <w:lang w:val="hy-AM"/>
        </w:rPr>
        <w:t xml:space="preserve">ամայնքի ֆինանսատնտեսական գործունեության նկատմամբ </w:t>
      </w:r>
      <w:r w:rsidR="005A3EE5" w:rsidRPr="00C14168">
        <w:rPr>
          <w:rFonts w:ascii="GHEA Grapalat" w:hAnsi="GHEA Grapalat" w:cs="Times New Roman"/>
          <w:sz w:val="24"/>
          <w:szCs w:val="24"/>
          <w:lang w:val="hy-AM"/>
        </w:rPr>
        <w:t>իրականացվում է միմյանց չկրկնող առնվազն մեկ ֆինանսական և /կամ/ համապատասխանության հաշվեքննություն, հաշվի առնելով հետևյալ չափանիշները՝</w:t>
      </w:r>
    </w:p>
    <w:p w14:paraId="32C746B2" w14:textId="77777777" w:rsidR="005A3EE5" w:rsidRPr="00C14168" w:rsidRDefault="005A3EE5" w:rsidP="00D6269C">
      <w:pPr>
        <w:pStyle w:val="Default"/>
        <w:numPr>
          <w:ilvl w:val="0"/>
          <w:numId w:val="8"/>
        </w:numPr>
        <w:tabs>
          <w:tab w:val="left" w:pos="851"/>
        </w:tabs>
        <w:spacing w:after="80" w:line="276" w:lineRule="auto"/>
        <w:ind w:left="0"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14168">
        <w:rPr>
          <w:rFonts w:ascii="GHEA Grapalat" w:hAnsi="GHEA Grapalat" w:cs="Times New Roman"/>
          <w:sz w:val="24"/>
          <w:szCs w:val="24"/>
          <w:lang w:val="hy-AM"/>
        </w:rPr>
        <w:t>պետական բյուջեից ֆինանսավորված դոտացիայի գումարի չափը,</w:t>
      </w:r>
    </w:p>
    <w:p w14:paraId="21EFEC86" w14:textId="77777777" w:rsidR="005A3EE5" w:rsidRPr="00C14168" w:rsidRDefault="005A3EE5" w:rsidP="00D6269C">
      <w:pPr>
        <w:pStyle w:val="Default"/>
        <w:numPr>
          <w:ilvl w:val="0"/>
          <w:numId w:val="8"/>
        </w:numPr>
        <w:tabs>
          <w:tab w:val="left" w:pos="851"/>
        </w:tabs>
        <w:spacing w:after="80" w:line="276" w:lineRule="auto"/>
        <w:ind w:left="0"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14168">
        <w:rPr>
          <w:rFonts w:ascii="GHEA Grapalat" w:hAnsi="GHEA Grapalat" w:cs="Times New Roman"/>
          <w:sz w:val="24"/>
          <w:szCs w:val="24"/>
          <w:lang w:val="hy-AM"/>
        </w:rPr>
        <w:t>ֆոնդային բյուջեի տեսակարար կշիռը ընդհանուր համայնքային բյուջեում,</w:t>
      </w:r>
    </w:p>
    <w:p w14:paraId="0C51A850" w14:textId="77777777" w:rsidR="005A3EE5" w:rsidRPr="00C14168" w:rsidRDefault="005A3EE5" w:rsidP="00D6269C">
      <w:pPr>
        <w:pStyle w:val="Default"/>
        <w:numPr>
          <w:ilvl w:val="0"/>
          <w:numId w:val="8"/>
        </w:numPr>
        <w:tabs>
          <w:tab w:val="left" w:pos="851"/>
        </w:tabs>
        <w:spacing w:after="80" w:line="276" w:lineRule="auto"/>
        <w:ind w:left="0"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14168">
        <w:rPr>
          <w:rFonts w:ascii="GHEA Grapalat" w:hAnsi="GHEA Grapalat" w:cs="Times New Roman"/>
          <w:sz w:val="24"/>
          <w:szCs w:val="24"/>
          <w:lang w:val="hy-AM"/>
        </w:rPr>
        <w:t>աշխատանքի վարձատրության և հավասարեցված վճարներից բացի ծախսերի տեսակարար կշիռը վարչական ծախսերում,</w:t>
      </w:r>
    </w:p>
    <w:p w14:paraId="33B2B5CE" w14:textId="77777777" w:rsidR="005A3EE5" w:rsidRPr="00C14168" w:rsidRDefault="005A3EE5" w:rsidP="00D6269C">
      <w:pPr>
        <w:pStyle w:val="Default"/>
        <w:numPr>
          <w:ilvl w:val="0"/>
          <w:numId w:val="8"/>
        </w:numPr>
        <w:tabs>
          <w:tab w:val="left" w:pos="851"/>
        </w:tabs>
        <w:spacing w:after="80" w:line="276" w:lineRule="auto"/>
        <w:ind w:left="0"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14168">
        <w:rPr>
          <w:rFonts w:ascii="GHEA Grapalat" w:hAnsi="GHEA Grapalat" w:cs="Times New Roman"/>
          <w:sz w:val="24"/>
          <w:szCs w:val="24"/>
          <w:lang w:val="hy-AM"/>
        </w:rPr>
        <w:lastRenderedPageBreak/>
        <w:t>պետական բյուջեից հատկացված սուբվենցիաների և այլ միջոցների չափը,</w:t>
      </w:r>
    </w:p>
    <w:p w14:paraId="69F56C86" w14:textId="77777777" w:rsidR="005A3EE5" w:rsidRPr="00C14168" w:rsidRDefault="005A3EE5" w:rsidP="00D6269C">
      <w:pPr>
        <w:pStyle w:val="Default"/>
        <w:numPr>
          <w:ilvl w:val="0"/>
          <w:numId w:val="8"/>
        </w:numPr>
        <w:tabs>
          <w:tab w:val="left" w:pos="851"/>
        </w:tabs>
        <w:spacing w:after="80" w:line="276" w:lineRule="auto"/>
        <w:ind w:left="0"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14168">
        <w:rPr>
          <w:rFonts w:ascii="GHEA Grapalat" w:hAnsi="GHEA Grapalat" w:cs="Times New Roman"/>
          <w:sz w:val="24"/>
          <w:szCs w:val="24"/>
          <w:lang w:val="hy-AM"/>
        </w:rPr>
        <w:t>ոչ ֆինանսական ակտիվների իրացումից մուտքերի չափը,</w:t>
      </w:r>
    </w:p>
    <w:p w14:paraId="07513A38" w14:textId="77777777" w:rsidR="005A3EE5" w:rsidRPr="00C14168" w:rsidRDefault="005A3EE5" w:rsidP="00D6269C">
      <w:pPr>
        <w:pStyle w:val="Default"/>
        <w:numPr>
          <w:ilvl w:val="0"/>
          <w:numId w:val="8"/>
        </w:numPr>
        <w:tabs>
          <w:tab w:val="left" w:pos="851"/>
        </w:tabs>
        <w:spacing w:after="80" w:line="276" w:lineRule="auto"/>
        <w:ind w:left="0"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14168">
        <w:rPr>
          <w:rFonts w:ascii="GHEA Grapalat" w:hAnsi="GHEA Grapalat" w:cs="Times New Roman"/>
          <w:sz w:val="24"/>
          <w:szCs w:val="24"/>
          <w:lang w:val="hy-AM"/>
        </w:rPr>
        <w:t>համայնքի ղեկավարին պատվիրակված լիազորությունների իրականացման նպատակով՝ պետական բյուջեից հատկացված միջոցների չափը,</w:t>
      </w:r>
    </w:p>
    <w:p w14:paraId="523336EE" w14:textId="14AC0DFF" w:rsidR="005A3EE5" w:rsidRPr="00C14168" w:rsidRDefault="005A3EE5" w:rsidP="00D6269C">
      <w:pPr>
        <w:pStyle w:val="Default"/>
        <w:numPr>
          <w:ilvl w:val="0"/>
          <w:numId w:val="8"/>
        </w:numPr>
        <w:tabs>
          <w:tab w:val="left" w:pos="851"/>
        </w:tabs>
        <w:spacing w:after="80" w:line="276" w:lineRule="auto"/>
        <w:ind w:left="0"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14168">
        <w:rPr>
          <w:rFonts w:ascii="GHEA Grapalat" w:hAnsi="GHEA Grapalat" w:cs="Times New Roman"/>
          <w:sz w:val="24"/>
          <w:szCs w:val="24"/>
          <w:lang w:val="hy-AM"/>
        </w:rPr>
        <w:t xml:space="preserve">զանգվածային լրատվության միջոցներով լուսաբանվող հանրության վերաբերմունքը ծրագրի իրականացման ընթացքի վերաբերյալ /եթե ծրագրի նախագծի կազմման պահի դրությամբ հանրության վերաբերմունքը ծրագրի նկատմամբ բացասական է, ապա </w:t>
      </w:r>
      <w:r w:rsidR="001F1146" w:rsidRPr="00C14168">
        <w:rPr>
          <w:rFonts w:ascii="GHEA Grapalat" w:hAnsi="GHEA Grapalat" w:cs="Times New Roman"/>
          <w:sz w:val="24"/>
          <w:szCs w:val="24"/>
          <w:lang w:val="hy-AM"/>
        </w:rPr>
        <w:t>առաջնահերթությունը</w:t>
      </w:r>
      <w:r w:rsidRPr="00C14168">
        <w:rPr>
          <w:rFonts w:ascii="GHEA Grapalat" w:hAnsi="GHEA Grapalat" w:cs="Times New Roman"/>
          <w:sz w:val="24"/>
          <w:szCs w:val="24"/>
          <w:lang w:val="hy-AM"/>
        </w:rPr>
        <w:t xml:space="preserve"> բարձր է, եթե չեզոք է՝ միջին, եթե դրական է՝ ցածր/։</w:t>
      </w:r>
    </w:p>
    <w:p w14:paraId="10B853C7" w14:textId="2B43EDFA" w:rsidR="005A3EE5" w:rsidRPr="006B4445" w:rsidRDefault="005A3EE5" w:rsidP="006B4445">
      <w:pPr>
        <w:pStyle w:val="Default"/>
        <w:tabs>
          <w:tab w:val="left" w:pos="851"/>
        </w:tabs>
        <w:spacing w:after="80" w:line="276" w:lineRule="auto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C14168">
        <w:rPr>
          <w:rFonts w:ascii="GHEA Grapalat" w:hAnsi="GHEA Grapalat" w:cs="Times New Roman"/>
          <w:sz w:val="24"/>
          <w:szCs w:val="24"/>
          <w:lang w:val="hy-AM"/>
        </w:rPr>
        <w:tab/>
      </w:r>
      <w:r w:rsidR="00D6269C" w:rsidRPr="00D6269C">
        <w:rPr>
          <w:rFonts w:ascii="GHEA Grapalat" w:hAnsi="GHEA Grapalat" w:cs="Times New Roman"/>
          <w:sz w:val="24"/>
          <w:szCs w:val="24"/>
          <w:lang w:val="hy-AM"/>
        </w:rPr>
        <w:t>Ծ</w:t>
      </w:r>
      <w:r w:rsidRPr="00C14168">
        <w:rPr>
          <w:rFonts w:ascii="GHEA Grapalat" w:hAnsi="GHEA Grapalat" w:cs="Times New Roman"/>
          <w:sz w:val="24"/>
          <w:szCs w:val="24"/>
          <w:lang w:val="hy-AM"/>
        </w:rPr>
        <w:t>րագրի կազմման համար 2021թ. տարեկան ճշտված պլանների ուսումնասիրության արդյունքում (2022թ.</w:t>
      </w:r>
      <w:r w:rsidR="002043AC" w:rsidRPr="00C14168">
        <w:rPr>
          <w:rFonts w:ascii="GHEA Grapalat" w:hAnsi="GHEA Grapalat" w:cs="Times New Roman"/>
          <w:sz w:val="24"/>
          <w:szCs w:val="24"/>
          <w:lang w:val="hy-AM"/>
        </w:rPr>
        <w:t xml:space="preserve"> անհրաժեշտ ելակետային տվյալները</w:t>
      </w:r>
      <w:r w:rsidRPr="00C14168">
        <w:rPr>
          <w:rFonts w:ascii="GHEA Grapalat" w:hAnsi="GHEA Grapalat" w:cs="Times New Roman"/>
          <w:sz w:val="24"/>
          <w:szCs w:val="24"/>
          <w:lang w:val="hy-AM"/>
        </w:rPr>
        <w:t xml:space="preserve"> դեռևս հասանելի չ</w:t>
      </w:r>
      <w:r w:rsidR="002043AC" w:rsidRPr="00C14168">
        <w:rPr>
          <w:rFonts w:ascii="GHEA Grapalat" w:hAnsi="GHEA Grapalat" w:cs="Times New Roman"/>
          <w:sz w:val="24"/>
          <w:szCs w:val="24"/>
          <w:lang w:val="hy-AM"/>
        </w:rPr>
        <w:t>են</w:t>
      </w:r>
      <w:r w:rsidRPr="00C14168">
        <w:rPr>
          <w:rFonts w:ascii="GHEA Grapalat" w:hAnsi="GHEA Grapalat" w:cs="Times New Roman"/>
          <w:sz w:val="24"/>
          <w:szCs w:val="24"/>
          <w:lang w:val="hy-AM"/>
        </w:rPr>
        <w:t xml:space="preserve"> համակարգում) վերոնշյալ առաջնահերթ չափա</w:t>
      </w:r>
      <w:r w:rsidR="006B4445">
        <w:rPr>
          <w:rFonts w:ascii="GHEA Grapalat" w:hAnsi="GHEA Grapalat" w:cs="Times New Roman"/>
          <w:sz w:val="24"/>
          <w:szCs w:val="24"/>
          <w:lang w:val="hy-AM"/>
        </w:rPr>
        <w:t>նիշներով գնահատելու արդյունքում</w:t>
      </w:r>
      <w:r w:rsidRPr="006B4445">
        <w:rPr>
          <w:rFonts w:ascii="GHEA Grapalat" w:hAnsi="GHEA Grapalat" w:cs="Times New Roman"/>
          <w:sz w:val="24"/>
          <w:szCs w:val="24"/>
          <w:lang w:val="hy-AM"/>
        </w:rPr>
        <w:t xml:space="preserve">՝ առաջնահերթությունը տրվել է առնվազն չորս չափանիշով ամենամեծ ցուցանիշ ունեցող </w:t>
      </w:r>
      <w:r w:rsidRPr="006B4445">
        <w:rPr>
          <w:rFonts w:ascii="GHEA Grapalat" w:hAnsi="GHEA Grapalat" w:cs="Times New Roman"/>
          <w:sz w:val="24"/>
          <w:szCs w:val="24"/>
          <w:u w:val="single"/>
          <w:lang w:val="hy-AM"/>
        </w:rPr>
        <w:t>Արտաշատ</w:t>
      </w:r>
      <w:r w:rsidR="006E3BA5" w:rsidRPr="006E3BA5">
        <w:rPr>
          <w:rFonts w:ascii="GHEA Grapalat" w:hAnsi="GHEA Grapalat" w:cs="Times New Roman"/>
          <w:sz w:val="24"/>
          <w:szCs w:val="24"/>
          <w:u w:val="single"/>
          <w:lang w:val="hy-AM"/>
        </w:rPr>
        <w:t>ի</w:t>
      </w:r>
      <w:r w:rsidR="002C52D6" w:rsidRPr="004F5292">
        <w:rPr>
          <w:rFonts w:ascii="GHEA Grapalat" w:hAnsi="GHEA Grapalat" w:cs="Times New Roman"/>
          <w:sz w:val="24"/>
          <w:szCs w:val="24"/>
          <w:u w:val="single"/>
          <w:lang w:val="hy-AM"/>
        </w:rPr>
        <w:t xml:space="preserve"> համայնք</w:t>
      </w:r>
      <w:r w:rsidR="006E3BA5" w:rsidRPr="005979E3">
        <w:rPr>
          <w:rFonts w:ascii="GHEA Grapalat" w:hAnsi="GHEA Grapalat" w:cs="Times New Roman"/>
          <w:sz w:val="24"/>
          <w:szCs w:val="24"/>
          <w:u w:val="single"/>
          <w:lang w:val="hy-AM"/>
        </w:rPr>
        <w:t>ապետարան</w:t>
      </w:r>
      <w:r w:rsidR="002C52D6" w:rsidRPr="004F5292">
        <w:rPr>
          <w:rFonts w:ascii="GHEA Grapalat" w:hAnsi="GHEA Grapalat" w:cs="Times New Roman"/>
          <w:sz w:val="24"/>
          <w:szCs w:val="24"/>
          <w:u w:val="single"/>
          <w:lang w:val="hy-AM"/>
        </w:rPr>
        <w:t>ին</w:t>
      </w:r>
      <w:r w:rsidRPr="006B4445">
        <w:rPr>
          <w:rFonts w:ascii="GHEA Grapalat" w:hAnsi="GHEA Grapalat" w:cs="Times New Roman"/>
          <w:sz w:val="24"/>
          <w:szCs w:val="24"/>
          <w:u w:val="single"/>
          <w:lang w:val="hy-AM"/>
        </w:rPr>
        <w:t>:</w:t>
      </w:r>
    </w:p>
    <w:p w14:paraId="54B1AF35" w14:textId="77777777" w:rsidR="002C52D6" w:rsidRPr="00C14168" w:rsidRDefault="002C52D6" w:rsidP="00D6269C">
      <w:pPr>
        <w:spacing w:after="80" w:line="276" w:lineRule="auto"/>
        <w:rPr>
          <w:rFonts w:ascii="GHEA Grapalat" w:hAnsi="GHEA Grapalat" w:cs="Times New Roman"/>
          <w:sz w:val="24"/>
          <w:szCs w:val="24"/>
          <w:lang w:val="hy-AM"/>
        </w:rPr>
      </w:pPr>
    </w:p>
    <w:p w14:paraId="01778AC4" w14:textId="35E315A8" w:rsidR="00DB73C2" w:rsidRPr="00617E1A" w:rsidRDefault="001C3568" w:rsidP="00E5722E">
      <w:pPr>
        <w:pStyle w:val="ListParagraph"/>
        <w:tabs>
          <w:tab w:val="left" w:pos="426"/>
        </w:tabs>
        <w:spacing w:after="80" w:line="276" w:lineRule="auto"/>
        <w:ind w:left="0"/>
        <w:jc w:val="both"/>
        <w:rPr>
          <w:rFonts w:cs="Times New Roman"/>
          <w:b/>
          <w:bCs/>
          <w:szCs w:val="24"/>
          <w:lang w:val="hy-AM"/>
        </w:rPr>
      </w:pPr>
      <w:r w:rsidRPr="00617E1A">
        <w:rPr>
          <w:rFonts w:cs="Times New Roman"/>
          <w:b/>
          <w:bCs/>
          <w:szCs w:val="24"/>
          <w:lang w:val="hy-AM"/>
        </w:rPr>
        <w:t xml:space="preserve">5. </w:t>
      </w:r>
      <w:r w:rsidR="00DB73C2" w:rsidRPr="00617E1A">
        <w:rPr>
          <w:rFonts w:cs="Times New Roman"/>
          <w:b/>
          <w:bCs/>
          <w:szCs w:val="24"/>
          <w:lang w:val="hy-AM"/>
        </w:rPr>
        <w:t>2022Թ-Ի</w:t>
      </w:r>
      <w:r w:rsidR="00A8087F" w:rsidRPr="00617E1A">
        <w:rPr>
          <w:rFonts w:cs="Times New Roman"/>
          <w:b/>
          <w:bCs/>
          <w:szCs w:val="24"/>
          <w:lang w:val="hy-AM"/>
        </w:rPr>
        <w:t xml:space="preserve"> ԳՈՐԾՈՒՆԵՈՒԹՅԱՆ ԾՐԱԳՐԻ 2-ՐԴ ՄԱՍԻ</w:t>
      </w:r>
      <w:r w:rsidR="00DB73C2" w:rsidRPr="00617E1A">
        <w:rPr>
          <w:rFonts w:cs="Times New Roman"/>
          <w:b/>
          <w:bCs/>
          <w:szCs w:val="24"/>
          <w:lang w:val="hy-AM"/>
        </w:rPr>
        <w:t xml:space="preserve"> ՀԱՄԱՐ ԿԱՏԱՐՈՂԱԿԱՆԻ </w:t>
      </w:r>
      <w:r w:rsidR="00DB7680" w:rsidRPr="00617E1A">
        <w:rPr>
          <w:rFonts w:cs="Times New Roman"/>
          <w:b/>
          <w:bCs/>
          <w:szCs w:val="24"/>
          <w:lang w:val="hy-AM"/>
        </w:rPr>
        <w:t>ՀԱՇՎԵՔՆՆՈՒԹՅՈՒՆՆԵՐ</w:t>
      </w:r>
      <w:r w:rsidR="00F07F3C" w:rsidRPr="00617E1A">
        <w:rPr>
          <w:rFonts w:cs="Times New Roman"/>
          <w:b/>
          <w:bCs/>
          <w:szCs w:val="24"/>
          <w:lang w:val="hy-AM"/>
        </w:rPr>
        <w:t xml:space="preserve"> </w:t>
      </w:r>
      <w:r w:rsidR="007E0493" w:rsidRPr="00617E1A">
        <w:rPr>
          <w:rStyle w:val="FootnoteReference"/>
          <w:rFonts w:cs="Times New Roman"/>
          <w:b/>
          <w:bCs/>
          <w:szCs w:val="24"/>
          <w:lang w:val="hy-AM"/>
        </w:rPr>
        <w:footnoteReference w:id="6"/>
      </w:r>
    </w:p>
    <w:p w14:paraId="1DA42981" w14:textId="7C314B1D" w:rsidR="00DB73C2" w:rsidRPr="00C14168" w:rsidRDefault="00DB73C2" w:rsidP="00D6269C">
      <w:pPr>
        <w:spacing w:after="80" w:line="276" w:lineRule="auto"/>
        <w:rPr>
          <w:rFonts w:ascii="GHEA Grapalat" w:hAnsi="GHEA Grapalat" w:cs="Times New Roman"/>
          <w:b/>
          <w:bCs/>
          <w:sz w:val="24"/>
          <w:szCs w:val="24"/>
          <w:lang w:val="en-US"/>
        </w:rPr>
      </w:pPr>
      <w:proofErr w:type="spellStart"/>
      <w:r w:rsidRPr="00C14168">
        <w:rPr>
          <w:rFonts w:ascii="GHEA Grapalat" w:hAnsi="GHEA Grapalat" w:cs="Times New Roman"/>
          <w:b/>
          <w:bCs/>
          <w:sz w:val="24"/>
          <w:szCs w:val="24"/>
          <w:lang w:val="en-US"/>
        </w:rPr>
        <w:t>Չափանիշների</w:t>
      </w:r>
      <w:proofErr w:type="spellEnd"/>
      <w:r w:rsidRPr="00C14168">
        <w:rPr>
          <w:rFonts w:ascii="GHEA Grapalat" w:hAnsi="GHEA Grapalat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14168">
        <w:rPr>
          <w:rFonts w:ascii="GHEA Grapalat" w:hAnsi="GHEA Grapalat" w:cs="Times New Roman"/>
          <w:b/>
          <w:bCs/>
          <w:sz w:val="24"/>
          <w:szCs w:val="24"/>
          <w:lang w:val="en-US"/>
        </w:rPr>
        <w:t>համառոտ</w:t>
      </w:r>
      <w:proofErr w:type="spellEnd"/>
      <w:r w:rsidRPr="00C14168">
        <w:rPr>
          <w:rFonts w:ascii="GHEA Grapalat" w:hAnsi="GHEA Grapalat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F86BDE" w:rsidRPr="00C14168">
        <w:rPr>
          <w:rFonts w:ascii="GHEA Grapalat" w:hAnsi="GHEA Grapalat" w:cs="Times New Roman"/>
          <w:b/>
          <w:bCs/>
          <w:sz w:val="24"/>
          <w:szCs w:val="24"/>
          <w:lang w:val="en-US"/>
        </w:rPr>
        <w:t>ցանկ</w:t>
      </w:r>
      <w:proofErr w:type="spellEnd"/>
    </w:p>
    <w:p w14:paraId="79E05957" w14:textId="2ED04E8D" w:rsidR="001C3214" w:rsidRPr="00C14168" w:rsidRDefault="001C3214" w:rsidP="00D6269C">
      <w:pPr>
        <w:pStyle w:val="ListParagraph"/>
        <w:numPr>
          <w:ilvl w:val="0"/>
          <w:numId w:val="1"/>
        </w:numPr>
        <w:spacing w:after="80" w:line="276" w:lineRule="auto"/>
        <w:jc w:val="both"/>
        <w:rPr>
          <w:szCs w:val="24"/>
        </w:rPr>
      </w:pPr>
      <w:proofErr w:type="spellStart"/>
      <w:r w:rsidRPr="00C14168">
        <w:rPr>
          <w:szCs w:val="24"/>
        </w:rPr>
        <w:t>նախորդ</w:t>
      </w:r>
      <w:proofErr w:type="spellEnd"/>
      <w:r w:rsidRPr="00C14168">
        <w:rPr>
          <w:szCs w:val="24"/>
        </w:rPr>
        <w:t xml:space="preserve"> </w:t>
      </w:r>
      <w:proofErr w:type="spellStart"/>
      <w:r w:rsidRPr="00C14168">
        <w:rPr>
          <w:szCs w:val="24"/>
        </w:rPr>
        <w:t>տարվանից</w:t>
      </w:r>
      <w:proofErr w:type="spellEnd"/>
      <w:r w:rsidRPr="00C14168">
        <w:rPr>
          <w:szCs w:val="24"/>
        </w:rPr>
        <w:t xml:space="preserve"> </w:t>
      </w:r>
      <w:proofErr w:type="spellStart"/>
      <w:r w:rsidRPr="00C14168">
        <w:rPr>
          <w:szCs w:val="24"/>
        </w:rPr>
        <w:t>տեղափոխված</w:t>
      </w:r>
      <w:proofErr w:type="spellEnd"/>
      <w:r w:rsidRPr="00C14168">
        <w:rPr>
          <w:szCs w:val="24"/>
        </w:rPr>
        <w:t xml:space="preserve"> </w:t>
      </w:r>
      <w:proofErr w:type="spellStart"/>
      <w:r w:rsidRPr="00C14168">
        <w:rPr>
          <w:szCs w:val="24"/>
        </w:rPr>
        <w:t>ծրագրային</w:t>
      </w:r>
      <w:proofErr w:type="spellEnd"/>
      <w:r w:rsidRPr="00C14168">
        <w:rPr>
          <w:szCs w:val="24"/>
        </w:rPr>
        <w:t xml:space="preserve"> </w:t>
      </w:r>
      <w:proofErr w:type="spellStart"/>
      <w:r w:rsidRPr="00C14168">
        <w:rPr>
          <w:szCs w:val="24"/>
        </w:rPr>
        <w:t>կետ</w:t>
      </w:r>
      <w:proofErr w:type="spellEnd"/>
      <w:r w:rsidRPr="00C14168">
        <w:rPr>
          <w:szCs w:val="24"/>
        </w:rPr>
        <w:t>,</w:t>
      </w:r>
    </w:p>
    <w:p w14:paraId="4A4903E9" w14:textId="77777777" w:rsidR="00DB73C2" w:rsidRPr="00C14168" w:rsidRDefault="00DB73C2" w:rsidP="00D6269C">
      <w:pPr>
        <w:pStyle w:val="ListParagraph"/>
        <w:numPr>
          <w:ilvl w:val="0"/>
          <w:numId w:val="1"/>
        </w:numPr>
        <w:spacing w:after="80" w:line="276" w:lineRule="auto"/>
        <w:jc w:val="both"/>
        <w:rPr>
          <w:szCs w:val="24"/>
        </w:rPr>
      </w:pPr>
      <w:proofErr w:type="spellStart"/>
      <w:r w:rsidRPr="00C14168">
        <w:rPr>
          <w:szCs w:val="24"/>
        </w:rPr>
        <w:t>նախկինում</w:t>
      </w:r>
      <w:proofErr w:type="spellEnd"/>
      <w:r w:rsidRPr="00C14168">
        <w:rPr>
          <w:szCs w:val="24"/>
        </w:rPr>
        <w:t xml:space="preserve"> </w:t>
      </w:r>
      <w:proofErr w:type="spellStart"/>
      <w:r w:rsidRPr="00C14168">
        <w:rPr>
          <w:szCs w:val="24"/>
        </w:rPr>
        <w:t>հաշվեքննության</w:t>
      </w:r>
      <w:proofErr w:type="spellEnd"/>
      <w:r w:rsidRPr="00C14168">
        <w:rPr>
          <w:szCs w:val="24"/>
        </w:rPr>
        <w:t xml:space="preserve"> </w:t>
      </w:r>
      <w:proofErr w:type="spellStart"/>
      <w:r w:rsidRPr="00C14168">
        <w:rPr>
          <w:szCs w:val="24"/>
        </w:rPr>
        <w:t>չեն</w:t>
      </w:r>
      <w:proofErr w:type="spellEnd"/>
      <w:r w:rsidRPr="00C14168">
        <w:rPr>
          <w:szCs w:val="24"/>
        </w:rPr>
        <w:t xml:space="preserve"> </w:t>
      </w:r>
      <w:proofErr w:type="spellStart"/>
      <w:r w:rsidRPr="00C14168">
        <w:rPr>
          <w:szCs w:val="24"/>
        </w:rPr>
        <w:t>ենթարկվել</w:t>
      </w:r>
      <w:proofErr w:type="spellEnd"/>
      <w:r w:rsidRPr="00C14168">
        <w:rPr>
          <w:szCs w:val="24"/>
        </w:rPr>
        <w:t>,</w:t>
      </w:r>
    </w:p>
    <w:p w14:paraId="6E27D44A" w14:textId="77777777" w:rsidR="00DB73C2" w:rsidRPr="00C14168" w:rsidRDefault="00DB73C2" w:rsidP="00D6269C">
      <w:pPr>
        <w:pStyle w:val="ListParagraph"/>
        <w:numPr>
          <w:ilvl w:val="0"/>
          <w:numId w:val="1"/>
        </w:numPr>
        <w:spacing w:after="80" w:line="276" w:lineRule="auto"/>
        <w:jc w:val="both"/>
        <w:rPr>
          <w:szCs w:val="24"/>
        </w:rPr>
      </w:pPr>
      <w:proofErr w:type="spellStart"/>
      <w:r w:rsidRPr="00C14168">
        <w:rPr>
          <w:szCs w:val="24"/>
        </w:rPr>
        <w:t>ունենան</w:t>
      </w:r>
      <w:proofErr w:type="spellEnd"/>
      <w:r w:rsidRPr="00C14168">
        <w:rPr>
          <w:szCs w:val="24"/>
        </w:rPr>
        <w:t xml:space="preserve"> </w:t>
      </w:r>
      <w:proofErr w:type="spellStart"/>
      <w:r w:rsidRPr="00C14168">
        <w:rPr>
          <w:szCs w:val="24"/>
        </w:rPr>
        <w:t>առավել</w:t>
      </w:r>
      <w:proofErr w:type="spellEnd"/>
      <w:r w:rsidRPr="00C14168">
        <w:rPr>
          <w:szCs w:val="24"/>
        </w:rPr>
        <w:t xml:space="preserve"> </w:t>
      </w:r>
      <w:proofErr w:type="spellStart"/>
      <w:r w:rsidRPr="00C14168">
        <w:rPr>
          <w:szCs w:val="24"/>
        </w:rPr>
        <w:t>ազդեցության</w:t>
      </w:r>
      <w:proofErr w:type="spellEnd"/>
      <w:r w:rsidRPr="00C14168">
        <w:rPr>
          <w:szCs w:val="24"/>
        </w:rPr>
        <w:t xml:space="preserve"> </w:t>
      </w:r>
      <w:proofErr w:type="spellStart"/>
      <w:r w:rsidRPr="00C14168">
        <w:rPr>
          <w:szCs w:val="24"/>
        </w:rPr>
        <w:t>ներուժ</w:t>
      </w:r>
      <w:proofErr w:type="spellEnd"/>
      <w:r w:rsidRPr="00C14168">
        <w:rPr>
          <w:szCs w:val="24"/>
        </w:rPr>
        <w:t>,</w:t>
      </w:r>
    </w:p>
    <w:p w14:paraId="09080223" w14:textId="3BA53AEE" w:rsidR="00DB73C2" w:rsidRPr="00C14168" w:rsidRDefault="00DB73C2" w:rsidP="00D6269C">
      <w:pPr>
        <w:pStyle w:val="ListParagraph"/>
        <w:numPr>
          <w:ilvl w:val="0"/>
          <w:numId w:val="1"/>
        </w:numPr>
        <w:spacing w:after="80" w:line="276" w:lineRule="auto"/>
        <w:jc w:val="both"/>
        <w:rPr>
          <w:szCs w:val="24"/>
        </w:rPr>
      </w:pPr>
      <w:proofErr w:type="spellStart"/>
      <w:r w:rsidRPr="00C14168">
        <w:rPr>
          <w:szCs w:val="24"/>
        </w:rPr>
        <w:t>տեղեկատվության</w:t>
      </w:r>
      <w:proofErr w:type="spellEnd"/>
      <w:r w:rsidRPr="00C14168">
        <w:rPr>
          <w:szCs w:val="24"/>
        </w:rPr>
        <w:t xml:space="preserve"> </w:t>
      </w:r>
      <w:proofErr w:type="spellStart"/>
      <w:r w:rsidR="001F1146" w:rsidRPr="00C14168">
        <w:rPr>
          <w:szCs w:val="24"/>
        </w:rPr>
        <w:t>հասանելիության</w:t>
      </w:r>
      <w:proofErr w:type="spellEnd"/>
      <w:r w:rsidRPr="00C14168">
        <w:rPr>
          <w:szCs w:val="24"/>
        </w:rPr>
        <w:t xml:space="preserve"> </w:t>
      </w:r>
      <w:proofErr w:type="spellStart"/>
      <w:r w:rsidRPr="00C14168">
        <w:rPr>
          <w:szCs w:val="24"/>
        </w:rPr>
        <w:t>բավարար</w:t>
      </w:r>
      <w:proofErr w:type="spellEnd"/>
      <w:r w:rsidRPr="00C14168">
        <w:rPr>
          <w:szCs w:val="24"/>
        </w:rPr>
        <w:t xml:space="preserve"> </w:t>
      </w:r>
      <w:proofErr w:type="spellStart"/>
      <w:r w:rsidRPr="00C14168">
        <w:rPr>
          <w:szCs w:val="24"/>
        </w:rPr>
        <w:t>մակարդակ</w:t>
      </w:r>
      <w:proofErr w:type="spellEnd"/>
      <w:r w:rsidRPr="00C14168">
        <w:rPr>
          <w:szCs w:val="24"/>
        </w:rPr>
        <w:t>,</w:t>
      </w:r>
    </w:p>
    <w:p w14:paraId="1346B7E2" w14:textId="77777777" w:rsidR="00DB73C2" w:rsidRPr="00C14168" w:rsidRDefault="00DB73C2" w:rsidP="00D6269C">
      <w:pPr>
        <w:pStyle w:val="ListParagraph"/>
        <w:numPr>
          <w:ilvl w:val="0"/>
          <w:numId w:val="1"/>
        </w:numPr>
        <w:spacing w:after="80" w:line="276" w:lineRule="auto"/>
        <w:jc w:val="both"/>
        <w:rPr>
          <w:szCs w:val="24"/>
        </w:rPr>
      </w:pPr>
      <w:proofErr w:type="spellStart"/>
      <w:r w:rsidRPr="00C14168">
        <w:rPr>
          <w:szCs w:val="24"/>
        </w:rPr>
        <w:t>առկա</w:t>
      </w:r>
      <w:proofErr w:type="spellEnd"/>
      <w:r w:rsidRPr="00C14168">
        <w:rPr>
          <w:szCs w:val="24"/>
        </w:rPr>
        <w:t xml:space="preserve"> է </w:t>
      </w:r>
      <w:proofErr w:type="spellStart"/>
      <w:r w:rsidRPr="00C14168">
        <w:rPr>
          <w:szCs w:val="24"/>
        </w:rPr>
        <w:t>խոշոր</w:t>
      </w:r>
      <w:proofErr w:type="spellEnd"/>
      <w:r w:rsidRPr="00C14168">
        <w:rPr>
          <w:szCs w:val="24"/>
        </w:rPr>
        <w:t xml:space="preserve"> </w:t>
      </w:r>
      <w:proofErr w:type="spellStart"/>
      <w:r w:rsidRPr="00C14168">
        <w:rPr>
          <w:szCs w:val="24"/>
        </w:rPr>
        <w:t>բյուջետային</w:t>
      </w:r>
      <w:proofErr w:type="spellEnd"/>
      <w:r w:rsidRPr="00C14168">
        <w:rPr>
          <w:szCs w:val="24"/>
        </w:rPr>
        <w:t xml:space="preserve"> </w:t>
      </w:r>
      <w:proofErr w:type="spellStart"/>
      <w:r w:rsidRPr="00C14168">
        <w:rPr>
          <w:szCs w:val="24"/>
        </w:rPr>
        <w:t>ֆինանսավորում</w:t>
      </w:r>
      <w:proofErr w:type="spellEnd"/>
      <w:r w:rsidRPr="00C14168">
        <w:rPr>
          <w:szCs w:val="24"/>
        </w:rPr>
        <w:t>,</w:t>
      </w:r>
    </w:p>
    <w:p w14:paraId="1B09114D" w14:textId="280AFC65" w:rsidR="00DB73C2" w:rsidRPr="00C14168" w:rsidRDefault="00DB73C2" w:rsidP="00D6269C">
      <w:pPr>
        <w:pStyle w:val="ListParagraph"/>
        <w:numPr>
          <w:ilvl w:val="0"/>
          <w:numId w:val="1"/>
        </w:numPr>
        <w:spacing w:after="80" w:line="276" w:lineRule="auto"/>
        <w:jc w:val="both"/>
        <w:rPr>
          <w:szCs w:val="24"/>
        </w:rPr>
      </w:pPr>
      <w:proofErr w:type="spellStart"/>
      <w:r w:rsidRPr="00C14168">
        <w:rPr>
          <w:szCs w:val="24"/>
        </w:rPr>
        <w:t>առկա</w:t>
      </w:r>
      <w:proofErr w:type="spellEnd"/>
      <w:r w:rsidRPr="00C14168">
        <w:rPr>
          <w:szCs w:val="24"/>
        </w:rPr>
        <w:t xml:space="preserve"> է </w:t>
      </w:r>
      <w:proofErr w:type="spellStart"/>
      <w:r w:rsidRPr="00C14168">
        <w:rPr>
          <w:szCs w:val="24"/>
        </w:rPr>
        <w:t>բյուջեի</w:t>
      </w:r>
      <w:proofErr w:type="spellEnd"/>
      <w:r w:rsidRPr="00C14168">
        <w:rPr>
          <w:szCs w:val="24"/>
        </w:rPr>
        <w:t xml:space="preserve"> </w:t>
      </w:r>
      <w:proofErr w:type="spellStart"/>
      <w:r w:rsidRPr="00C14168">
        <w:rPr>
          <w:szCs w:val="24"/>
        </w:rPr>
        <w:t>ֆինանսական</w:t>
      </w:r>
      <w:proofErr w:type="spellEnd"/>
      <w:r w:rsidRPr="00C14168">
        <w:rPr>
          <w:szCs w:val="24"/>
        </w:rPr>
        <w:t xml:space="preserve"> և </w:t>
      </w:r>
      <w:proofErr w:type="spellStart"/>
      <w:r w:rsidRPr="00C14168">
        <w:rPr>
          <w:szCs w:val="24"/>
        </w:rPr>
        <w:t>ոչ</w:t>
      </w:r>
      <w:proofErr w:type="spellEnd"/>
      <w:r w:rsidRPr="00C14168">
        <w:rPr>
          <w:szCs w:val="24"/>
        </w:rPr>
        <w:t xml:space="preserve"> </w:t>
      </w:r>
      <w:proofErr w:type="spellStart"/>
      <w:r w:rsidRPr="00C14168">
        <w:rPr>
          <w:szCs w:val="24"/>
        </w:rPr>
        <w:t>ֆինանսական</w:t>
      </w:r>
      <w:proofErr w:type="spellEnd"/>
      <w:r w:rsidRPr="00C14168">
        <w:rPr>
          <w:szCs w:val="24"/>
        </w:rPr>
        <w:t xml:space="preserve"> </w:t>
      </w:r>
      <w:proofErr w:type="spellStart"/>
      <w:r w:rsidRPr="00C14168">
        <w:rPr>
          <w:szCs w:val="24"/>
        </w:rPr>
        <w:t>բա</w:t>
      </w:r>
      <w:r w:rsidR="001F1146" w:rsidRPr="00C14168">
        <w:rPr>
          <w:szCs w:val="24"/>
        </w:rPr>
        <w:t>րձ</w:t>
      </w:r>
      <w:r w:rsidRPr="00C14168">
        <w:rPr>
          <w:szCs w:val="24"/>
        </w:rPr>
        <w:t>ր</w:t>
      </w:r>
      <w:proofErr w:type="spellEnd"/>
      <w:r w:rsidRPr="00C14168">
        <w:rPr>
          <w:szCs w:val="24"/>
        </w:rPr>
        <w:t xml:space="preserve"> </w:t>
      </w:r>
      <w:proofErr w:type="spellStart"/>
      <w:r w:rsidRPr="00C14168">
        <w:rPr>
          <w:szCs w:val="24"/>
        </w:rPr>
        <w:t>կատարողական</w:t>
      </w:r>
      <w:proofErr w:type="spellEnd"/>
      <w:r w:rsidRPr="00C14168">
        <w:rPr>
          <w:szCs w:val="24"/>
        </w:rPr>
        <w:t>,</w:t>
      </w:r>
    </w:p>
    <w:p w14:paraId="45E9734A" w14:textId="28774E56" w:rsidR="00DB73C2" w:rsidRPr="00C14168" w:rsidRDefault="00DB73C2" w:rsidP="00D6269C">
      <w:pPr>
        <w:pStyle w:val="ListParagraph"/>
        <w:numPr>
          <w:ilvl w:val="0"/>
          <w:numId w:val="1"/>
        </w:numPr>
        <w:spacing w:after="80" w:line="276" w:lineRule="auto"/>
        <w:jc w:val="both"/>
        <w:rPr>
          <w:szCs w:val="24"/>
        </w:rPr>
      </w:pPr>
      <w:proofErr w:type="spellStart"/>
      <w:r w:rsidRPr="00C14168">
        <w:rPr>
          <w:szCs w:val="24"/>
        </w:rPr>
        <w:t>շահառուների</w:t>
      </w:r>
      <w:proofErr w:type="spellEnd"/>
      <w:r w:rsidRPr="00C14168">
        <w:rPr>
          <w:szCs w:val="24"/>
        </w:rPr>
        <w:t xml:space="preserve"> </w:t>
      </w:r>
      <w:proofErr w:type="spellStart"/>
      <w:r w:rsidRPr="00C14168">
        <w:rPr>
          <w:szCs w:val="24"/>
        </w:rPr>
        <w:t>կողմից</w:t>
      </w:r>
      <w:proofErr w:type="spellEnd"/>
      <w:r w:rsidRPr="00C14168">
        <w:rPr>
          <w:szCs w:val="24"/>
        </w:rPr>
        <w:t xml:space="preserve"> </w:t>
      </w:r>
      <w:proofErr w:type="spellStart"/>
      <w:r w:rsidRPr="00C14168">
        <w:rPr>
          <w:szCs w:val="24"/>
        </w:rPr>
        <w:t>առկա</w:t>
      </w:r>
      <w:proofErr w:type="spellEnd"/>
      <w:r w:rsidRPr="00C14168">
        <w:rPr>
          <w:szCs w:val="24"/>
        </w:rPr>
        <w:t xml:space="preserve"> է </w:t>
      </w:r>
      <w:proofErr w:type="spellStart"/>
      <w:r w:rsidRPr="00C14168">
        <w:rPr>
          <w:szCs w:val="24"/>
        </w:rPr>
        <w:t>հաշվեքննություն</w:t>
      </w:r>
      <w:proofErr w:type="spellEnd"/>
      <w:r w:rsidRPr="00C14168">
        <w:rPr>
          <w:szCs w:val="24"/>
        </w:rPr>
        <w:t xml:space="preserve"> </w:t>
      </w:r>
      <w:proofErr w:type="spellStart"/>
      <w:r w:rsidRPr="00C14168">
        <w:rPr>
          <w:szCs w:val="24"/>
        </w:rPr>
        <w:t>իրականացնելու</w:t>
      </w:r>
      <w:proofErr w:type="spellEnd"/>
      <w:r w:rsidRPr="00C14168">
        <w:rPr>
          <w:szCs w:val="24"/>
        </w:rPr>
        <w:t xml:space="preserve"> </w:t>
      </w:r>
      <w:proofErr w:type="spellStart"/>
      <w:r w:rsidRPr="00C14168">
        <w:rPr>
          <w:szCs w:val="24"/>
        </w:rPr>
        <w:t>պահանջ</w:t>
      </w:r>
      <w:proofErr w:type="spellEnd"/>
      <w:r w:rsidRPr="00C14168">
        <w:rPr>
          <w:szCs w:val="24"/>
        </w:rPr>
        <w:t>:</w:t>
      </w:r>
    </w:p>
    <w:p w14:paraId="1010542C" w14:textId="77777777" w:rsidR="007C4949" w:rsidRPr="00C14168" w:rsidRDefault="007C4949" w:rsidP="00D6269C">
      <w:pPr>
        <w:pStyle w:val="Default"/>
        <w:spacing w:after="80" w:line="276" w:lineRule="auto"/>
        <w:rPr>
          <w:rFonts w:ascii="GHEA Grapalat" w:hAnsi="GHEA Grapalat" w:cs="Times New Roman"/>
          <w:b/>
          <w:sz w:val="24"/>
          <w:szCs w:val="24"/>
          <w:lang w:val="en-GB"/>
        </w:rPr>
      </w:pPr>
    </w:p>
    <w:p w14:paraId="2838EA29" w14:textId="0B211ADD" w:rsidR="00BA6F9E" w:rsidRPr="00C14168" w:rsidRDefault="00F86BDE" w:rsidP="00D6269C">
      <w:pPr>
        <w:pStyle w:val="Default"/>
        <w:spacing w:after="80" w:line="276" w:lineRule="auto"/>
        <w:rPr>
          <w:rFonts w:ascii="GHEA Grapalat" w:hAnsi="GHEA Grapalat" w:cs="Times New Roman"/>
          <w:b/>
          <w:sz w:val="24"/>
          <w:szCs w:val="24"/>
          <w:lang w:val="en-GB"/>
        </w:rPr>
      </w:pPr>
      <w:proofErr w:type="spellStart"/>
      <w:r w:rsidRPr="00C14168">
        <w:rPr>
          <w:rFonts w:ascii="GHEA Grapalat" w:hAnsi="GHEA Grapalat" w:cs="Times New Roman"/>
          <w:b/>
          <w:sz w:val="24"/>
          <w:szCs w:val="24"/>
          <w:lang w:val="en-GB"/>
        </w:rPr>
        <w:t>Ոլորտների</w:t>
      </w:r>
      <w:proofErr w:type="spellEnd"/>
      <w:r w:rsidRPr="00C14168">
        <w:rPr>
          <w:rFonts w:ascii="GHEA Grapalat" w:hAnsi="GHEA Grapalat" w:cs="Times New Roman"/>
          <w:b/>
          <w:sz w:val="24"/>
          <w:szCs w:val="24"/>
          <w:lang w:val="en-GB"/>
        </w:rPr>
        <w:t xml:space="preserve"> </w:t>
      </w:r>
      <w:proofErr w:type="spellStart"/>
      <w:r w:rsidRPr="00C14168">
        <w:rPr>
          <w:rFonts w:ascii="GHEA Grapalat" w:hAnsi="GHEA Grapalat" w:cs="Times New Roman"/>
          <w:b/>
          <w:sz w:val="24"/>
          <w:szCs w:val="24"/>
          <w:lang w:val="en-GB"/>
        </w:rPr>
        <w:t>ցանկ</w:t>
      </w:r>
      <w:proofErr w:type="spellEnd"/>
    </w:p>
    <w:p w14:paraId="2A7BE71C" w14:textId="20A5F246" w:rsidR="00BA6F9E" w:rsidRPr="00C14168" w:rsidRDefault="0084116F" w:rsidP="00D6269C">
      <w:pPr>
        <w:pStyle w:val="Default"/>
        <w:tabs>
          <w:tab w:val="left" w:pos="851"/>
        </w:tabs>
        <w:spacing w:after="80" w:line="276" w:lineRule="auto"/>
        <w:ind w:left="720" w:hanging="294"/>
        <w:jc w:val="both"/>
        <w:rPr>
          <w:rFonts w:ascii="GHEA Grapalat" w:hAnsi="GHEA Grapalat" w:cs="Times New Roman"/>
          <w:sz w:val="24"/>
          <w:szCs w:val="24"/>
          <w:lang w:val="en-GB"/>
        </w:rPr>
      </w:pPr>
      <w:r>
        <w:rPr>
          <w:rFonts w:ascii="GHEA Grapalat" w:hAnsi="GHEA Grapalat" w:cs="Times New Roman"/>
          <w:sz w:val="24"/>
          <w:szCs w:val="24"/>
          <w:lang w:val="en-GB"/>
        </w:rPr>
        <w:t>1)</w:t>
      </w:r>
      <w:r>
        <w:rPr>
          <w:rFonts w:ascii="GHEA Grapalat" w:hAnsi="GHEA Grapalat" w:cs="Times New Roman"/>
          <w:sz w:val="24"/>
          <w:szCs w:val="24"/>
          <w:lang w:val="en-GB"/>
        </w:rPr>
        <w:tab/>
      </w:r>
      <w:proofErr w:type="spellStart"/>
      <w:proofErr w:type="gramStart"/>
      <w:r>
        <w:rPr>
          <w:rFonts w:ascii="GHEA Grapalat" w:hAnsi="GHEA Grapalat" w:cs="Times New Roman"/>
          <w:sz w:val="24"/>
          <w:szCs w:val="24"/>
          <w:lang w:val="en-GB"/>
        </w:rPr>
        <w:t>պաշտպանություն</w:t>
      </w:r>
      <w:proofErr w:type="spellEnd"/>
      <w:proofErr w:type="gramEnd"/>
    </w:p>
    <w:p w14:paraId="6E5DEA32" w14:textId="015DC19D" w:rsidR="00BA6F9E" w:rsidRPr="00C14168" w:rsidRDefault="00BA6F9E" w:rsidP="00D6269C">
      <w:pPr>
        <w:pStyle w:val="Default"/>
        <w:tabs>
          <w:tab w:val="left" w:pos="851"/>
        </w:tabs>
        <w:spacing w:after="80" w:line="276" w:lineRule="auto"/>
        <w:ind w:left="720" w:hanging="294"/>
        <w:jc w:val="both"/>
        <w:rPr>
          <w:rFonts w:ascii="GHEA Grapalat" w:hAnsi="GHEA Grapalat" w:cs="Times New Roman"/>
          <w:sz w:val="24"/>
          <w:szCs w:val="24"/>
          <w:lang w:val="en-GB"/>
        </w:rPr>
      </w:pPr>
      <w:r w:rsidRPr="00C14168">
        <w:rPr>
          <w:rFonts w:ascii="GHEA Grapalat" w:hAnsi="GHEA Grapalat" w:cs="Times New Roman"/>
          <w:sz w:val="24"/>
          <w:szCs w:val="24"/>
          <w:lang w:val="en-GB"/>
        </w:rPr>
        <w:t>2)</w:t>
      </w:r>
      <w:r w:rsidRPr="00C14168">
        <w:rPr>
          <w:rFonts w:ascii="GHEA Grapalat" w:hAnsi="GHEA Grapalat" w:cs="Times New Roman"/>
          <w:sz w:val="24"/>
          <w:szCs w:val="24"/>
          <w:lang w:val="en-GB"/>
        </w:rPr>
        <w:tab/>
      </w:r>
      <w:proofErr w:type="spellStart"/>
      <w:proofErr w:type="gramStart"/>
      <w:r w:rsidRPr="00C14168">
        <w:rPr>
          <w:rFonts w:ascii="GHEA Grapalat" w:hAnsi="GHEA Grapalat" w:cs="Times New Roman"/>
          <w:sz w:val="24"/>
          <w:szCs w:val="24"/>
          <w:lang w:val="en-GB"/>
        </w:rPr>
        <w:t>կրթ</w:t>
      </w:r>
      <w:r w:rsidR="0084116F">
        <w:rPr>
          <w:rFonts w:ascii="GHEA Grapalat" w:hAnsi="GHEA Grapalat" w:cs="Times New Roman"/>
          <w:sz w:val="24"/>
          <w:szCs w:val="24"/>
          <w:lang w:val="en-GB"/>
        </w:rPr>
        <w:t>ություն</w:t>
      </w:r>
      <w:proofErr w:type="spellEnd"/>
      <w:proofErr w:type="gramEnd"/>
      <w:r w:rsidR="0084116F">
        <w:rPr>
          <w:rFonts w:ascii="GHEA Grapalat" w:hAnsi="GHEA Grapalat" w:cs="Times New Roman"/>
          <w:sz w:val="24"/>
          <w:szCs w:val="24"/>
          <w:lang w:val="en-GB"/>
        </w:rPr>
        <w:t xml:space="preserve">, </w:t>
      </w:r>
      <w:proofErr w:type="spellStart"/>
      <w:r w:rsidR="0084116F">
        <w:rPr>
          <w:rFonts w:ascii="GHEA Grapalat" w:hAnsi="GHEA Grapalat" w:cs="Times New Roman"/>
          <w:sz w:val="24"/>
          <w:szCs w:val="24"/>
          <w:lang w:val="en-GB"/>
        </w:rPr>
        <w:t>գիտություն</w:t>
      </w:r>
      <w:proofErr w:type="spellEnd"/>
    </w:p>
    <w:p w14:paraId="23EE75E1" w14:textId="5FC7C221" w:rsidR="00BA6F9E" w:rsidRPr="00C14168" w:rsidRDefault="00BA6F9E" w:rsidP="00D6269C">
      <w:pPr>
        <w:pStyle w:val="Default"/>
        <w:tabs>
          <w:tab w:val="left" w:pos="851"/>
        </w:tabs>
        <w:spacing w:after="80" w:line="276" w:lineRule="auto"/>
        <w:ind w:left="720" w:hanging="294"/>
        <w:jc w:val="both"/>
        <w:rPr>
          <w:rFonts w:ascii="GHEA Grapalat" w:hAnsi="GHEA Grapalat" w:cs="Times New Roman"/>
          <w:sz w:val="24"/>
          <w:szCs w:val="24"/>
          <w:lang w:val="en-GB"/>
        </w:rPr>
      </w:pPr>
      <w:r w:rsidRPr="00C14168">
        <w:rPr>
          <w:rFonts w:ascii="GHEA Grapalat" w:hAnsi="GHEA Grapalat" w:cs="Times New Roman"/>
          <w:sz w:val="24"/>
          <w:szCs w:val="24"/>
          <w:lang w:val="en-GB"/>
        </w:rPr>
        <w:t>3)</w:t>
      </w:r>
      <w:r w:rsidRPr="00C14168">
        <w:rPr>
          <w:rFonts w:ascii="GHEA Grapalat" w:hAnsi="GHEA Grapalat" w:cs="Times New Roman"/>
          <w:sz w:val="24"/>
          <w:szCs w:val="24"/>
          <w:lang w:val="en-GB"/>
        </w:rPr>
        <w:tab/>
      </w:r>
      <w:proofErr w:type="spellStart"/>
      <w:proofErr w:type="gramStart"/>
      <w:r w:rsidRPr="00C14168">
        <w:rPr>
          <w:rFonts w:ascii="GHEA Grapalat" w:hAnsi="GHEA Grapalat" w:cs="Times New Roman"/>
          <w:sz w:val="24"/>
          <w:szCs w:val="24"/>
          <w:lang w:val="en-GB"/>
        </w:rPr>
        <w:t>շրջ</w:t>
      </w:r>
      <w:r w:rsidR="0084116F">
        <w:rPr>
          <w:rFonts w:ascii="GHEA Grapalat" w:hAnsi="GHEA Grapalat" w:cs="Times New Roman"/>
          <w:sz w:val="24"/>
          <w:szCs w:val="24"/>
          <w:lang w:val="en-GB"/>
        </w:rPr>
        <w:t>ակա</w:t>
      </w:r>
      <w:proofErr w:type="spellEnd"/>
      <w:proofErr w:type="gramEnd"/>
      <w:r w:rsidR="0084116F">
        <w:rPr>
          <w:rFonts w:ascii="GHEA Grapalat" w:hAnsi="GHEA Grapalat" w:cs="Times New Roman"/>
          <w:sz w:val="24"/>
          <w:szCs w:val="24"/>
          <w:lang w:val="en-GB"/>
        </w:rPr>
        <w:t xml:space="preserve"> </w:t>
      </w:r>
      <w:proofErr w:type="spellStart"/>
      <w:r w:rsidR="0084116F">
        <w:rPr>
          <w:rFonts w:ascii="GHEA Grapalat" w:hAnsi="GHEA Grapalat" w:cs="Times New Roman"/>
          <w:sz w:val="24"/>
          <w:szCs w:val="24"/>
          <w:lang w:val="en-GB"/>
        </w:rPr>
        <w:t>միջավայր</w:t>
      </w:r>
      <w:proofErr w:type="spellEnd"/>
      <w:r w:rsidR="0084116F">
        <w:rPr>
          <w:rFonts w:ascii="GHEA Grapalat" w:hAnsi="GHEA Grapalat" w:cs="Times New Roman"/>
          <w:sz w:val="24"/>
          <w:szCs w:val="24"/>
          <w:lang w:val="en-GB"/>
        </w:rPr>
        <w:t xml:space="preserve"> /</w:t>
      </w:r>
      <w:proofErr w:type="spellStart"/>
      <w:r w:rsidR="0084116F">
        <w:rPr>
          <w:rFonts w:ascii="GHEA Grapalat" w:hAnsi="GHEA Grapalat" w:cs="Times New Roman"/>
          <w:sz w:val="24"/>
          <w:szCs w:val="24"/>
          <w:lang w:val="en-GB"/>
        </w:rPr>
        <w:t>բնապահպանություն</w:t>
      </w:r>
      <w:proofErr w:type="spellEnd"/>
      <w:r w:rsidR="0084116F">
        <w:rPr>
          <w:rFonts w:ascii="GHEA Grapalat" w:hAnsi="GHEA Grapalat" w:cs="Times New Roman"/>
          <w:sz w:val="24"/>
          <w:szCs w:val="24"/>
          <w:lang w:val="en-GB"/>
        </w:rPr>
        <w:t>/</w:t>
      </w:r>
    </w:p>
    <w:p w14:paraId="0E2CFA01" w14:textId="7409C615" w:rsidR="00BA6F9E" w:rsidRPr="00C14168" w:rsidRDefault="0084116F" w:rsidP="00D6269C">
      <w:pPr>
        <w:pStyle w:val="Default"/>
        <w:tabs>
          <w:tab w:val="left" w:pos="851"/>
        </w:tabs>
        <w:spacing w:after="80" w:line="276" w:lineRule="auto"/>
        <w:ind w:left="720" w:hanging="294"/>
        <w:jc w:val="both"/>
        <w:rPr>
          <w:rFonts w:ascii="GHEA Grapalat" w:hAnsi="GHEA Grapalat" w:cs="Times New Roman"/>
          <w:sz w:val="24"/>
          <w:szCs w:val="24"/>
          <w:lang w:val="en-GB"/>
        </w:rPr>
      </w:pPr>
      <w:r>
        <w:rPr>
          <w:rFonts w:ascii="GHEA Grapalat" w:hAnsi="GHEA Grapalat" w:cs="Times New Roman"/>
          <w:sz w:val="24"/>
          <w:szCs w:val="24"/>
          <w:lang w:val="en-GB"/>
        </w:rPr>
        <w:t>4)</w:t>
      </w:r>
      <w:r>
        <w:rPr>
          <w:rFonts w:ascii="GHEA Grapalat" w:hAnsi="GHEA Grapalat" w:cs="Times New Roman"/>
          <w:sz w:val="24"/>
          <w:szCs w:val="24"/>
          <w:lang w:val="en-GB"/>
        </w:rPr>
        <w:tab/>
      </w:r>
      <w:proofErr w:type="spellStart"/>
      <w:proofErr w:type="gramStart"/>
      <w:r>
        <w:rPr>
          <w:rFonts w:ascii="GHEA Grapalat" w:hAnsi="GHEA Grapalat" w:cs="Times New Roman"/>
          <w:sz w:val="24"/>
          <w:szCs w:val="24"/>
          <w:lang w:val="en-GB"/>
        </w:rPr>
        <w:t>առողջապահություն</w:t>
      </w:r>
      <w:proofErr w:type="spellEnd"/>
      <w:proofErr w:type="gramEnd"/>
    </w:p>
    <w:p w14:paraId="6E7FB3DB" w14:textId="4B7045F5" w:rsidR="00BA6F9E" w:rsidRPr="00C14168" w:rsidRDefault="0084116F" w:rsidP="00D6269C">
      <w:pPr>
        <w:pStyle w:val="Default"/>
        <w:tabs>
          <w:tab w:val="left" w:pos="851"/>
        </w:tabs>
        <w:spacing w:after="80" w:line="276" w:lineRule="auto"/>
        <w:ind w:left="720" w:hanging="294"/>
        <w:jc w:val="both"/>
        <w:rPr>
          <w:rFonts w:ascii="GHEA Grapalat" w:hAnsi="GHEA Grapalat" w:cs="Times New Roman"/>
          <w:sz w:val="24"/>
          <w:szCs w:val="24"/>
          <w:lang w:val="en-GB"/>
        </w:rPr>
      </w:pPr>
      <w:r>
        <w:rPr>
          <w:rFonts w:ascii="GHEA Grapalat" w:hAnsi="GHEA Grapalat" w:cs="Times New Roman"/>
          <w:sz w:val="24"/>
          <w:szCs w:val="24"/>
          <w:lang w:val="en-GB"/>
        </w:rPr>
        <w:t>5)</w:t>
      </w:r>
      <w:r>
        <w:rPr>
          <w:rFonts w:ascii="GHEA Grapalat" w:hAnsi="GHEA Grapalat" w:cs="Times New Roman"/>
          <w:sz w:val="24"/>
          <w:szCs w:val="24"/>
          <w:lang w:val="en-GB"/>
        </w:rPr>
        <w:tab/>
      </w:r>
      <w:proofErr w:type="spellStart"/>
      <w:proofErr w:type="gramStart"/>
      <w:r>
        <w:rPr>
          <w:rFonts w:ascii="GHEA Grapalat" w:hAnsi="GHEA Grapalat" w:cs="Times New Roman"/>
          <w:sz w:val="24"/>
          <w:szCs w:val="24"/>
          <w:lang w:val="en-GB"/>
        </w:rPr>
        <w:t>ենթակառուցվածքներ</w:t>
      </w:r>
      <w:proofErr w:type="spellEnd"/>
      <w:proofErr w:type="gramEnd"/>
    </w:p>
    <w:p w14:paraId="3423BAF1" w14:textId="1E782A52" w:rsidR="00BA6F9E" w:rsidRPr="00C14168" w:rsidRDefault="00253847" w:rsidP="00D6269C">
      <w:pPr>
        <w:pStyle w:val="Default"/>
        <w:tabs>
          <w:tab w:val="left" w:pos="851"/>
        </w:tabs>
        <w:spacing w:after="80" w:line="276" w:lineRule="auto"/>
        <w:ind w:left="720" w:hanging="294"/>
        <w:jc w:val="both"/>
        <w:rPr>
          <w:rFonts w:ascii="GHEA Grapalat" w:hAnsi="GHEA Grapalat" w:cs="Times New Roman"/>
          <w:sz w:val="24"/>
          <w:szCs w:val="24"/>
          <w:lang w:val="en-GB"/>
        </w:rPr>
      </w:pPr>
      <w:r w:rsidRPr="00C14168">
        <w:rPr>
          <w:rFonts w:ascii="GHEA Grapalat" w:hAnsi="GHEA Grapalat" w:cs="Times New Roman"/>
          <w:sz w:val="24"/>
          <w:szCs w:val="24"/>
          <w:lang w:val="en-GB"/>
        </w:rPr>
        <w:t>6)</w:t>
      </w:r>
      <w:r w:rsidRPr="00C14168">
        <w:rPr>
          <w:rFonts w:ascii="GHEA Grapalat" w:hAnsi="GHEA Grapalat" w:cs="Times New Roman"/>
          <w:sz w:val="24"/>
          <w:szCs w:val="24"/>
          <w:lang w:val="en-GB"/>
        </w:rPr>
        <w:tab/>
      </w:r>
      <w:proofErr w:type="spellStart"/>
      <w:proofErr w:type="gramStart"/>
      <w:r w:rsidRPr="00C14168">
        <w:rPr>
          <w:rFonts w:ascii="GHEA Grapalat" w:hAnsi="GHEA Grapalat" w:cs="Times New Roman"/>
          <w:sz w:val="24"/>
          <w:szCs w:val="24"/>
          <w:lang w:val="en-GB"/>
        </w:rPr>
        <w:t>ազգային</w:t>
      </w:r>
      <w:proofErr w:type="spellEnd"/>
      <w:proofErr w:type="gramEnd"/>
      <w:r w:rsidRPr="00C14168">
        <w:rPr>
          <w:rFonts w:ascii="GHEA Grapalat" w:hAnsi="GHEA Grapalat" w:cs="Times New Roman"/>
          <w:sz w:val="24"/>
          <w:szCs w:val="24"/>
          <w:lang w:val="en-GB"/>
        </w:rPr>
        <w:t xml:space="preserve"> </w:t>
      </w:r>
      <w:proofErr w:type="spellStart"/>
      <w:r w:rsidRPr="00C14168">
        <w:rPr>
          <w:rFonts w:ascii="GHEA Grapalat" w:hAnsi="GHEA Grapalat" w:cs="Times New Roman"/>
          <w:sz w:val="24"/>
          <w:szCs w:val="24"/>
          <w:lang w:val="en-GB"/>
        </w:rPr>
        <w:t>տնտեսական</w:t>
      </w:r>
      <w:proofErr w:type="spellEnd"/>
      <w:r w:rsidRPr="00C14168">
        <w:rPr>
          <w:rFonts w:ascii="GHEA Grapalat" w:hAnsi="GHEA Grapalat" w:cs="Times New Roman"/>
          <w:sz w:val="24"/>
          <w:szCs w:val="24"/>
          <w:lang w:val="en-GB"/>
        </w:rPr>
        <w:t xml:space="preserve"> </w:t>
      </w:r>
      <w:proofErr w:type="spellStart"/>
      <w:r w:rsidRPr="00C14168">
        <w:rPr>
          <w:rFonts w:ascii="GHEA Grapalat" w:hAnsi="GHEA Grapalat" w:cs="Times New Roman"/>
          <w:sz w:val="24"/>
          <w:szCs w:val="24"/>
          <w:lang w:val="en-GB"/>
        </w:rPr>
        <w:t>զարգացում</w:t>
      </w:r>
      <w:proofErr w:type="spellEnd"/>
    </w:p>
    <w:p w14:paraId="59C7760F" w14:textId="4E135EFF" w:rsidR="00BA6F9E" w:rsidRPr="00C14168" w:rsidRDefault="00BA6F9E" w:rsidP="00D6269C">
      <w:pPr>
        <w:pStyle w:val="Default"/>
        <w:tabs>
          <w:tab w:val="left" w:pos="851"/>
        </w:tabs>
        <w:spacing w:after="80" w:line="276" w:lineRule="auto"/>
        <w:ind w:left="720" w:hanging="294"/>
        <w:jc w:val="both"/>
        <w:rPr>
          <w:rFonts w:ascii="GHEA Grapalat" w:hAnsi="GHEA Grapalat" w:cs="Times New Roman"/>
          <w:sz w:val="24"/>
          <w:szCs w:val="24"/>
          <w:lang w:val="en-GB"/>
        </w:rPr>
      </w:pPr>
      <w:r w:rsidRPr="00C14168">
        <w:rPr>
          <w:rFonts w:ascii="GHEA Grapalat" w:hAnsi="GHEA Grapalat" w:cs="Times New Roman"/>
          <w:sz w:val="24"/>
          <w:szCs w:val="24"/>
          <w:lang w:val="en-GB"/>
        </w:rPr>
        <w:t>7)</w:t>
      </w:r>
      <w:r w:rsidRPr="00C14168">
        <w:rPr>
          <w:rFonts w:ascii="GHEA Grapalat" w:hAnsi="GHEA Grapalat" w:cs="Times New Roman"/>
          <w:sz w:val="24"/>
          <w:szCs w:val="24"/>
          <w:lang w:val="en-GB"/>
        </w:rPr>
        <w:tab/>
      </w:r>
      <w:proofErr w:type="spellStart"/>
      <w:proofErr w:type="gramStart"/>
      <w:r w:rsidRPr="00C14168">
        <w:rPr>
          <w:rFonts w:ascii="GHEA Grapalat" w:hAnsi="GHEA Grapalat" w:cs="Times New Roman"/>
          <w:sz w:val="24"/>
          <w:szCs w:val="24"/>
          <w:lang w:val="en-GB"/>
        </w:rPr>
        <w:t>պետական</w:t>
      </w:r>
      <w:proofErr w:type="spellEnd"/>
      <w:proofErr w:type="gramEnd"/>
      <w:r w:rsidRPr="00C14168">
        <w:rPr>
          <w:rFonts w:ascii="GHEA Grapalat" w:hAnsi="GHEA Grapalat" w:cs="Times New Roman"/>
          <w:sz w:val="24"/>
          <w:szCs w:val="24"/>
          <w:lang w:val="en-GB"/>
        </w:rPr>
        <w:t xml:space="preserve"> /</w:t>
      </w:r>
      <w:proofErr w:type="spellStart"/>
      <w:r w:rsidRPr="00C14168">
        <w:rPr>
          <w:rFonts w:ascii="GHEA Grapalat" w:hAnsi="GHEA Grapalat" w:cs="Times New Roman"/>
          <w:sz w:val="24"/>
          <w:szCs w:val="24"/>
          <w:lang w:val="en-GB"/>
        </w:rPr>
        <w:t>համայ</w:t>
      </w:r>
      <w:r w:rsidR="0084116F">
        <w:rPr>
          <w:rFonts w:ascii="GHEA Grapalat" w:hAnsi="GHEA Grapalat" w:cs="Times New Roman"/>
          <w:sz w:val="24"/>
          <w:szCs w:val="24"/>
          <w:lang w:val="en-GB"/>
        </w:rPr>
        <w:t>նքային</w:t>
      </w:r>
      <w:proofErr w:type="spellEnd"/>
      <w:r w:rsidR="0084116F">
        <w:rPr>
          <w:rFonts w:ascii="GHEA Grapalat" w:hAnsi="GHEA Grapalat" w:cs="Times New Roman"/>
          <w:sz w:val="24"/>
          <w:szCs w:val="24"/>
          <w:lang w:val="en-GB"/>
        </w:rPr>
        <w:t xml:space="preserve">/ </w:t>
      </w:r>
      <w:proofErr w:type="spellStart"/>
      <w:r w:rsidR="0084116F">
        <w:rPr>
          <w:rFonts w:ascii="GHEA Grapalat" w:hAnsi="GHEA Grapalat" w:cs="Times New Roman"/>
          <w:sz w:val="24"/>
          <w:szCs w:val="24"/>
          <w:lang w:val="en-GB"/>
        </w:rPr>
        <w:t>եկամուտների</w:t>
      </w:r>
      <w:proofErr w:type="spellEnd"/>
      <w:r w:rsidR="0084116F">
        <w:rPr>
          <w:rFonts w:ascii="GHEA Grapalat" w:hAnsi="GHEA Grapalat" w:cs="Times New Roman"/>
          <w:sz w:val="24"/>
          <w:szCs w:val="24"/>
          <w:lang w:val="en-GB"/>
        </w:rPr>
        <w:t xml:space="preserve"> </w:t>
      </w:r>
      <w:proofErr w:type="spellStart"/>
      <w:r w:rsidR="0084116F">
        <w:rPr>
          <w:rFonts w:ascii="GHEA Grapalat" w:hAnsi="GHEA Grapalat" w:cs="Times New Roman"/>
          <w:sz w:val="24"/>
          <w:szCs w:val="24"/>
          <w:lang w:val="en-GB"/>
        </w:rPr>
        <w:t>հավաքագրում</w:t>
      </w:r>
      <w:proofErr w:type="spellEnd"/>
    </w:p>
    <w:p w14:paraId="5408F45D" w14:textId="1B3EA105" w:rsidR="00BA6F9E" w:rsidRPr="00C14168" w:rsidRDefault="00BA6F9E" w:rsidP="00D6269C">
      <w:pPr>
        <w:pStyle w:val="Default"/>
        <w:tabs>
          <w:tab w:val="left" w:pos="851"/>
        </w:tabs>
        <w:spacing w:after="80" w:line="276" w:lineRule="auto"/>
        <w:ind w:left="720" w:hanging="294"/>
        <w:jc w:val="both"/>
        <w:rPr>
          <w:rFonts w:ascii="GHEA Grapalat" w:hAnsi="GHEA Grapalat" w:cs="Times New Roman"/>
          <w:sz w:val="24"/>
          <w:szCs w:val="24"/>
          <w:lang w:val="en-GB"/>
        </w:rPr>
      </w:pPr>
      <w:r w:rsidRPr="00C14168">
        <w:rPr>
          <w:rFonts w:ascii="GHEA Grapalat" w:hAnsi="GHEA Grapalat" w:cs="Times New Roman"/>
          <w:sz w:val="24"/>
          <w:szCs w:val="24"/>
          <w:lang w:val="en-GB"/>
        </w:rPr>
        <w:lastRenderedPageBreak/>
        <w:t>8)</w:t>
      </w:r>
      <w:r w:rsidRPr="00C14168">
        <w:rPr>
          <w:rFonts w:ascii="GHEA Grapalat" w:hAnsi="GHEA Grapalat" w:cs="Times New Roman"/>
          <w:sz w:val="24"/>
          <w:szCs w:val="24"/>
          <w:lang w:val="en-GB"/>
        </w:rPr>
        <w:tab/>
      </w:r>
      <w:proofErr w:type="spellStart"/>
      <w:proofErr w:type="gramStart"/>
      <w:r w:rsidRPr="00C14168">
        <w:rPr>
          <w:rFonts w:ascii="GHEA Grapalat" w:hAnsi="GHEA Grapalat" w:cs="Times New Roman"/>
          <w:sz w:val="24"/>
          <w:szCs w:val="24"/>
          <w:lang w:val="en-GB"/>
        </w:rPr>
        <w:t>հան</w:t>
      </w:r>
      <w:r w:rsidR="0084116F">
        <w:rPr>
          <w:rFonts w:ascii="GHEA Grapalat" w:hAnsi="GHEA Grapalat" w:cs="Times New Roman"/>
          <w:sz w:val="24"/>
          <w:szCs w:val="24"/>
          <w:lang w:val="en-GB"/>
        </w:rPr>
        <w:t>րային</w:t>
      </w:r>
      <w:proofErr w:type="spellEnd"/>
      <w:proofErr w:type="gramEnd"/>
      <w:r w:rsidR="0084116F">
        <w:rPr>
          <w:rFonts w:ascii="GHEA Grapalat" w:hAnsi="GHEA Grapalat" w:cs="Times New Roman"/>
          <w:sz w:val="24"/>
          <w:szCs w:val="24"/>
          <w:lang w:val="en-GB"/>
        </w:rPr>
        <w:t xml:space="preserve"> </w:t>
      </w:r>
      <w:proofErr w:type="spellStart"/>
      <w:r w:rsidR="0084116F">
        <w:rPr>
          <w:rFonts w:ascii="GHEA Grapalat" w:hAnsi="GHEA Grapalat" w:cs="Times New Roman"/>
          <w:sz w:val="24"/>
          <w:szCs w:val="24"/>
          <w:lang w:val="en-GB"/>
        </w:rPr>
        <w:t>հատվածի</w:t>
      </w:r>
      <w:proofErr w:type="spellEnd"/>
      <w:r w:rsidR="0084116F">
        <w:rPr>
          <w:rFonts w:ascii="GHEA Grapalat" w:hAnsi="GHEA Grapalat" w:cs="Times New Roman"/>
          <w:sz w:val="24"/>
          <w:szCs w:val="24"/>
          <w:lang w:val="en-GB"/>
        </w:rPr>
        <w:t xml:space="preserve"> </w:t>
      </w:r>
      <w:proofErr w:type="spellStart"/>
      <w:r w:rsidR="0084116F">
        <w:rPr>
          <w:rFonts w:ascii="GHEA Grapalat" w:hAnsi="GHEA Grapalat" w:cs="Times New Roman"/>
          <w:sz w:val="24"/>
          <w:szCs w:val="24"/>
          <w:lang w:val="en-GB"/>
        </w:rPr>
        <w:t>նշանակալի</w:t>
      </w:r>
      <w:proofErr w:type="spellEnd"/>
      <w:r w:rsidR="0084116F">
        <w:rPr>
          <w:rFonts w:ascii="GHEA Grapalat" w:hAnsi="GHEA Grapalat" w:cs="Times New Roman"/>
          <w:sz w:val="24"/>
          <w:szCs w:val="24"/>
          <w:lang w:val="en-GB"/>
        </w:rPr>
        <w:t xml:space="preserve"> </w:t>
      </w:r>
      <w:proofErr w:type="spellStart"/>
      <w:r w:rsidR="0084116F">
        <w:rPr>
          <w:rFonts w:ascii="GHEA Grapalat" w:hAnsi="GHEA Grapalat" w:cs="Times New Roman"/>
          <w:sz w:val="24"/>
          <w:szCs w:val="24"/>
          <w:lang w:val="en-GB"/>
        </w:rPr>
        <w:t>ծրագրեր</w:t>
      </w:r>
      <w:proofErr w:type="spellEnd"/>
    </w:p>
    <w:p w14:paraId="76938898" w14:textId="2DDE3171" w:rsidR="00BA6F9E" w:rsidRPr="00C14168" w:rsidRDefault="00BA6F9E" w:rsidP="00D6269C">
      <w:pPr>
        <w:pStyle w:val="Default"/>
        <w:tabs>
          <w:tab w:val="left" w:pos="851"/>
        </w:tabs>
        <w:spacing w:after="80" w:line="276" w:lineRule="auto"/>
        <w:ind w:left="720" w:hanging="294"/>
        <w:jc w:val="both"/>
        <w:rPr>
          <w:rFonts w:ascii="GHEA Grapalat" w:hAnsi="GHEA Grapalat" w:cs="Times New Roman"/>
          <w:sz w:val="24"/>
          <w:szCs w:val="24"/>
          <w:lang w:val="en-GB"/>
        </w:rPr>
      </w:pPr>
      <w:r w:rsidRPr="00C14168">
        <w:rPr>
          <w:rFonts w:ascii="GHEA Grapalat" w:hAnsi="GHEA Grapalat" w:cs="Times New Roman"/>
          <w:sz w:val="24"/>
          <w:szCs w:val="24"/>
          <w:lang w:val="en-GB"/>
        </w:rPr>
        <w:t>9)</w:t>
      </w:r>
      <w:r w:rsidRPr="00C14168">
        <w:rPr>
          <w:rFonts w:ascii="GHEA Grapalat" w:hAnsi="GHEA Grapalat" w:cs="Times New Roman"/>
          <w:sz w:val="24"/>
          <w:szCs w:val="24"/>
          <w:lang w:val="en-GB"/>
        </w:rPr>
        <w:tab/>
      </w:r>
      <w:proofErr w:type="spellStart"/>
      <w:proofErr w:type="gramStart"/>
      <w:r w:rsidRPr="00C14168">
        <w:rPr>
          <w:rFonts w:ascii="GHEA Grapalat" w:hAnsi="GHEA Grapalat" w:cs="Times New Roman"/>
          <w:sz w:val="24"/>
          <w:szCs w:val="24"/>
          <w:lang w:val="en-GB"/>
        </w:rPr>
        <w:t>հանրային</w:t>
      </w:r>
      <w:proofErr w:type="spellEnd"/>
      <w:proofErr w:type="gramEnd"/>
      <w:r w:rsidRPr="00C14168">
        <w:rPr>
          <w:rFonts w:ascii="GHEA Grapalat" w:hAnsi="GHEA Grapalat" w:cs="Times New Roman"/>
          <w:sz w:val="24"/>
          <w:szCs w:val="24"/>
          <w:lang w:val="en-GB"/>
        </w:rPr>
        <w:t xml:space="preserve"> </w:t>
      </w:r>
      <w:proofErr w:type="spellStart"/>
      <w:r w:rsidRPr="00C14168">
        <w:rPr>
          <w:rFonts w:ascii="GHEA Grapalat" w:hAnsi="GHEA Grapalat" w:cs="Times New Roman"/>
          <w:sz w:val="24"/>
          <w:szCs w:val="24"/>
          <w:lang w:val="en-GB"/>
        </w:rPr>
        <w:t>ֆինանսներ</w:t>
      </w:r>
      <w:proofErr w:type="spellEnd"/>
      <w:r w:rsidRPr="00C14168">
        <w:rPr>
          <w:rFonts w:ascii="GHEA Grapalat" w:hAnsi="GHEA Grapalat" w:cs="Times New Roman"/>
          <w:sz w:val="24"/>
          <w:szCs w:val="24"/>
          <w:lang w:val="en-GB"/>
        </w:rPr>
        <w:t xml:space="preserve"> և </w:t>
      </w:r>
      <w:proofErr w:type="spellStart"/>
      <w:r w:rsidRPr="00C14168">
        <w:rPr>
          <w:rFonts w:ascii="GHEA Grapalat" w:hAnsi="GHEA Grapalat" w:cs="Times New Roman"/>
          <w:sz w:val="24"/>
          <w:szCs w:val="24"/>
          <w:lang w:val="en-GB"/>
        </w:rPr>
        <w:t>հանրային</w:t>
      </w:r>
      <w:proofErr w:type="spellEnd"/>
      <w:r w:rsidRPr="00C14168">
        <w:rPr>
          <w:rFonts w:ascii="GHEA Grapalat" w:hAnsi="GHEA Grapalat" w:cs="Times New Roman"/>
          <w:sz w:val="24"/>
          <w:szCs w:val="24"/>
          <w:lang w:val="en-GB"/>
        </w:rPr>
        <w:t xml:space="preserve"> </w:t>
      </w:r>
      <w:proofErr w:type="spellStart"/>
      <w:r w:rsidR="0084116F">
        <w:rPr>
          <w:rFonts w:ascii="GHEA Grapalat" w:hAnsi="GHEA Grapalat" w:cs="Times New Roman"/>
          <w:sz w:val="24"/>
          <w:szCs w:val="24"/>
          <w:lang w:val="en-GB"/>
        </w:rPr>
        <w:t>կառավարում</w:t>
      </w:r>
      <w:proofErr w:type="spellEnd"/>
    </w:p>
    <w:p w14:paraId="14EC363E" w14:textId="7AEDD90B" w:rsidR="00BA6F9E" w:rsidRPr="00C14168" w:rsidRDefault="00BA6F9E" w:rsidP="00D6269C">
      <w:pPr>
        <w:pStyle w:val="Default"/>
        <w:tabs>
          <w:tab w:val="left" w:pos="851"/>
        </w:tabs>
        <w:spacing w:after="80" w:line="276" w:lineRule="auto"/>
        <w:ind w:left="720" w:hanging="294"/>
        <w:jc w:val="both"/>
        <w:rPr>
          <w:rFonts w:ascii="GHEA Grapalat" w:hAnsi="GHEA Grapalat" w:cs="Times New Roman"/>
          <w:sz w:val="24"/>
          <w:szCs w:val="24"/>
          <w:lang w:val="en-GB"/>
        </w:rPr>
      </w:pPr>
      <w:r w:rsidRPr="00C14168">
        <w:rPr>
          <w:rFonts w:ascii="GHEA Grapalat" w:hAnsi="GHEA Grapalat" w:cs="Times New Roman"/>
          <w:sz w:val="24"/>
          <w:szCs w:val="24"/>
          <w:lang w:val="en-GB"/>
        </w:rPr>
        <w:t>10)</w:t>
      </w:r>
      <w:r w:rsidRPr="00C14168">
        <w:rPr>
          <w:rFonts w:ascii="GHEA Grapalat" w:hAnsi="GHEA Grapalat" w:cs="Times New Roman"/>
          <w:sz w:val="24"/>
          <w:szCs w:val="24"/>
          <w:lang w:val="en-GB"/>
        </w:rPr>
        <w:tab/>
      </w:r>
      <w:proofErr w:type="spellStart"/>
      <w:proofErr w:type="gramStart"/>
      <w:r w:rsidRPr="00C14168">
        <w:rPr>
          <w:rFonts w:ascii="GHEA Grapalat" w:hAnsi="GHEA Grapalat" w:cs="Times New Roman"/>
          <w:sz w:val="24"/>
          <w:szCs w:val="24"/>
          <w:lang w:val="en-GB"/>
        </w:rPr>
        <w:t>սոցիալական</w:t>
      </w:r>
      <w:proofErr w:type="spellEnd"/>
      <w:proofErr w:type="gramEnd"/>
      <w:r w:rsidRPr="00C14168">
        <w:rPr>
          <w:rFonts w:ascii="GHEA Grapalat" w:hAnsi="GHEA Grapalat" w:cs="Times New Roman"/>
          <w:sz w:val="24"/>
          <w:szCs w:val="24"/>
          <w:lang w:val="en-GB"/>
        </w:rPr>
        <w:t xml:space="preserve"> </w:t>
      </w:r>
      <w:proofErr w:type="spellStart"/>
      <w:r w:rsidRPr="00C14168">
        <w:rPr>
          <w:rFonts w:ascii="GHEA Grapalat" w:hAnsi="GHEA Grapalat" w:cs="Times New Roman"/>
          <w:sz w:val="24"/>
          <w:szCs w:val="24"/>
          <w:lang w:val="en-GB"/>
        </w:rPr>
        <w:t>ապահո</w:t>
      </w:r>
      <w:r w:rsidR="0084116F">
        <w:rPr>
          <w:rFonts w:ascii="GHEA Grapalat" w:hAnsi="GHEA Grapalat" w:cs="Times New Roman"/>
          <w:sz w:val="24"/>
          <w:szCs w:val="24"/>
          <w:lang w:val="en-GB"/>
        </w:rPr>
        <w:t>վություն</w:t>
      </w:r>
      <w:proofErr w:type="spellEnd"/>
      <w:r w:rsidR="0084116F">
        <w:rPr>
          <w:rFonts w:ascii="GHEA Grapalat" w:hAnsi="GHEA Grapalat" w:cs="Times New Roman"/>
          <w:sz w:val="24"/>
          <w:szCs w:val="24"/>
          <w:lang w:val="en-GB"/>
        </w:rPr>
        <w:t xml:space="preserve"> և </w:t>
      </w:r>
      <w:proofErr w:type="spellStart"/>
      <w:r w:rsidR="0084116F">
        <w:rPr>
          <w:rFonts w:ascii="GHEA Grapalat" w:hAnsi="GHEA Grapalat" w:cs="Times New Roman"/>
          <w:sz w:val="24"/>
          <w:szCs w:val="24"/>
          <w:lang w:val="en-GB"/>
        </w:rPr>
        <w:t>աշխատանքի</w:t>
      </w:r>
      <w:proofErr w:type="spellEnd"/>
      <w:r w:rsidR="0084116F">
        <w:rPr>
          <w:rFonts w:ascii="GHEA Grapalat" w:hAnsi="GHEA Grapalat" w:cs="Times New Roman"/>
          <w:sz w:val="24"/>
          <w:szCs w:val="24"/>
          <w:lang w:val="en-GB"/>
        </w:rPr>
        <w:t xml:space="preserve"> </w:t>
      </w:r>
      <w:proofErr w:type="spellStart"/>
      <w:r w:rsidR="0084116F">
        <w:rPr>
          <w:rFonts w:ascii="GHEA Grapalat" w:hAnsi="GHEA Grapalat" w:cs="Times New Roman"/>
          <w:sz w:val="24"/>
          <w:szCs w:val="24"/>
          <w:lang w:val="en-GB"/>
        </w:rPr>
        <w:t>ռեսուրսներ</w:t>
      </w:r>
      <w:proofErr w:type="spellEnd"/>
    </w:p>
    <w:p w14:paraId="51A3DA09" w14:textId="44E9A84A" w:rsidR="00FD5DFE" w:rsidRPr="00C14168" w:rsidRDefault="00BA6F9E" w:rsidP="00D6269C">
      <w:pPr>
        <w:pStyle w:val="Default"/>
        <w:tabs>
          <w:tab w:val="left" w:pos="851"/>
        </w:tabs>
        <w:spacing w:after="80" w:line="276" w:lineRule="auto"/>
        <w:ind w:left="720" w:hanging="294"/>
        <w:jc w:val="both"/>
        <w:rPr>
          <w:rFonts w:ascii="GHEA Grapalat" w:hAnsi="GHEA Grapalat" w:cs="Times New Roman"/>
          <w:sz w:val="24"/>
          <w:szCs w:val="24"/>
          <w:lang w:val="en-GB"/>
        </w:rPr>
      </w:pPr>
      <w:r w:rsidRPr="00C14168">
        <w:rPr>
          <w:rFonts w:ascii="GHEA Grapalat" w:hAnsi="GHEA Grapalat" w:cs="Times New Roman"/>
          <w:sz w:val="24"/>
          <w:szCs w:val="24"/>
          <w:lang w:val="en-GB"/>
        </w:rPr>
        <w:t>11)</w:t>
      </w:r>
      <w:r w:rsidRPr="00C14168">
        <w:rPr>
          <w:rFonts w:ascii="GHEA Grapalat" w:hAnsi="GHEA Grapalat" w:cs="Times New Roman"/>
          <w:sz w:val="24"/>
          <w:szCs w:val="24"/>
          <w:lang w:val="en-GB"/>
        </w:rPr>
        <w:tab/>
        <w:t xml:space="preserve"> </w:t>
      </w:r>
      <w:proofErr w:type="spellStart"/>
      <w:proofErr w:type="gramStart"/>
      <w:r w:rsidRPr="00C14168">
        <w:rPr>
          <w:rFonts w:ascii="GHEA Grapalat" w:hAnsi="GHEA Grapalat" w:cs="Times New Roman"/>
          <w:sz w:val="24"/>
          <w:szCs w:val="24"/>
          <w:lang w:val="en-GB"/>
        </w:rPr>
        <w:t>հասարակական</w:t>
      </w:r>
      <w:proofErr w:type="spellEnd"/>
      <w:proofErr w:type="gramEnd"/>
      <w:r w:rsidRPr="00C14168">
        <w:rPr>
          <w:rFonts w:ascii="GHEA Grapalat" w:hAnsi="GHEA Grapalat" w:cs="Times New Roman"/>
          <w:sz w:val="24"/>
          <w:szCs w:val="24"/>
          <w:lang w:val="en-GB"/>
        </w:rPr>
        <w:t xml:space="preserve"> </w:t>
      </w:r>
      <w:proofErr w:type="spellStart"/>
      <w:r w:rsidRPr="00C14168">
        <w:rPr>
          <w:rFonts w:ascii="GHEA Grapalat" w:hAnsi="GHEA Grapalat" w:cs="Times New Roman"/>
          <w:sz w:val="24"/>
          <w:szCs w:val="24"/>
          <w:lang w:val="en-GB"/>
        </w:rPr>
        <w:t>կարգի</w:t>
      </w:r>
      <w:proofErr w:type="spellEnd"/>
      <w:r w:rsidRPr="00C14168">
        <w:rPr>
          <w:rFonts w:ascii="GHEA Grapalat" w:hAnsi="GHEA Grapalat" w:cs="Times New Roman"/>
          <w:sz w:val="24"/>
          <w:szCs w:val="24"/>
          <w:lang w:val="en-GB"/>
        </w:rPr>
        <w:t xml:space="preserve"> </w:t>
      </w:r>
      <w:proofErr w:type="spellStart"/>
      <w:r w:rsidRPr="00C14168">
        <w:rPr>
          <w:rFonts w:ascii="GHEA Grapalat" w:hAnsi="GHEA Grapalat" w:cs="Times New Roman"/>
          <w:sz w:val="24"/>
          <w:szCs w:val="24"/>
          <w:lang w:val="en-GB"/>
        </w:rPr>
        <w:t>պահպանություն</w:t>
      </w:r>
      <w:proofErr w:type="spellEnd"/>
      <w:r w:rsidRPr="00C14168">
        <w:rPr>
          <w:rFonts w:ascii="GHEA Grapalat" w:hAnsi="GHEA Grapalat" w:cs="Times New Roman"/>
          <w:sz w:val="24"/>
          <w:szCs w:val="24"/>
          <w:lang w:val="en-GB"/>
        </w:rPr>
        <w:t>։</w:t>
      </w:r>
    </w:p>
    <w:p w14:paraId="285A4E09" w14:textId="77777777" w:rsidR="007C4949" w:rsidRPr="00C14168" w:rsidRDefault="007C4949" w:rsidP="00D6269C">
      <w:pPr>
        <w:spacing w:after="80" w:line="276" w:lineRule="auto"/>
        <w:jc w:val="center"/>
        <w:rPr>
          <w:rFonts w:ascii="GHEA Grapalat" w:hAnsi="GHEA Grapalat" w:cs="Times New Roman"/>
          <w:sz w:val="24"/>
          <w:szCs w:val="24"/>
        </w:rPr>
      </w:pPr>
    </w:p>
    <w:p w14:paraId="005F471F" w14:textId="6EAA2B32" w:rsidR="00E51507" w:rsidRPr="00E613E8" w:rsidRDefault="0034033E" w:rsidP="00E613E8">
      <w:pPr>
        <w:spacing w:after="80" w:line="276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proofErr w:type="gramStart"/>
      <w:r>
        <w:rPr>
          <w:rFonts w:ascii="GHEA Grapalat" w:hAnsi="GHEA Grapalat" w:cs="Times New Roman"/>
          <w:sz w:val="24"/>
          <w:szCs w:val="24"/>
          <w:lang w:val="en-US"/>
        </w:rPr>
        <w:t xml:space="preserve">2023 </w:t>
      </w:r>
      <w:proofErr w:type="spellStart"/>
      <w:r>
        <w:rPr>
          <w:rFonts w:ascii="GHEA Grapalat" w:hAnsi="GHEA Grapalat" w:cs="Times New Roman"/>
          <w:sz w:val="24"/>
          <w:szCs w:val="24"/>
          <w:lang w:val="en-US"/>
        </w:rPr>
        <w:t>թվականի</w:t>
      </w:r>
      <w:proofErr w:type="spellEnd"/>
      <w:r>
        <w:rPr>
          <w:rFonts w:ascii="GHEA Grapalat" w:hAnsi="GHEA Grapalat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  <w:lang w:val="en-US"/>
        </w:rPr>
        <w:t>համար</w:t>
      </w:r>
      <w:proofErr w:type="spellEnd"/>
      <w:r>
        <w:rPr>
          <w:rFonts w:ascii="GHEA Grapalat" w:hAnsi="GHEA Grapalat" w:cs="Times New Roman"/>
          <w:sz w:val="24"/>
          <w:szCs w:val="24"/>
          <w:lang w:val="en-US"/>
        </w:rPr>
        <w:t xml:space="preserve"> </w:t>
      </w:r>
      <w:proofErr w:type="spellStart"/>
      <w:r w:rsidR="009A1595">
        <w:rPr>
          <w:rFonts w:ascii="GHEA Grapalat" w:hAnsi="GHEA Grapalat" w:cs="Times New Roman"/>
          <w:sz w:val="24"/>
          <w:szCs w:val="24"/>
          <w:lang w:val="en-US"/>
        </w:rPr>
        <w:t>ծ</w:t>
      </w:r>
      <w:r w:rsidR="007B348A" w:rsidRPr="003B5CDE">
        <w:rPr>
          <w:rFonts w:ascii="GHEA Grapalat" w:hAnsi="GHEA Grapalat" w:cs="Times New Roman"/>
          <w:sz w:val="24"/>
          <w:szCs w:val="24"/>
          <w:lang w:val="en-US"/>
        </w:rPr>
        <w:t>րագրված</w:t>
      </w:r>
      <w:proofErr w:type="spellEnd"/>
      <w:r w:rsidR="00A52B56" w:rsidRPr="003B5CDE">
        <w:rPr>
          <w:rFonts w:ascii="GHEA Grapalat" w:hAnsi="GHEA Grapalat" w:cs="Times New Roman"/>
          <w:sz w:val="24"/>
          <w:szCs w:val="24"/>
          <w:lang w:val="en-US"/>
        </w:rPr>
        <w:t xml:space="preserve"> </w:t>
      </w:r>
      <w:proofErr w:type="spellStart"/>
      <w:r w:rsidR="00A52B56" w:rsidRPr="003B5CDE">
        <w:rPr>
          <w:rFonts w:ascii="GHEA Grapalat" w:hAnsi="GHEA Grapalat" w:cs="Times New Roman"/>
          <w:sz w:val="24"/>
          <w:szCs w:val="24"/>
          <w:lang w:val="en-US"/>
        </w:rPr>
        <w:t>կատարողականի</w:t>
      </w:r>
      <w:proofErr w:type="spellEnd"/>
      <w:r w:rsidR="00A52B56" w:rsidRPr="003B5CDE">
        <w:rPr>
          <w:rFonts w:ascii="GHEA Grapalat" w:hAnsi="GHEA Grapalat" w:cs="Times New Roman"/>
          <w:sz w:val="24"/>
          <w:szCs w:val="24"/>
          <w:lang w:val="en-US"/>
        </w:rPr>
        <w:t xml:space="preserve"> </w:t>
      </w:r>
      <w:r w:rsidR="007B348A" w:rsidRPr="003B5CDE">
        <w:rPr>
          <w:rFonts w:ascii="GHEA Grapalat" w:hAnsi="GHEA Grapalat" w:cs="Times New Roman"/>
          <w:sz w:val="24"/>
          <w:szCs w:val="24"/>
          <w:lang w:val="en-US"/>
        </w:rPr>
        <w:t>հ</w:t>
      </w:r>
      <w:r w:rsidR="007C4949" w:rsidRPr="003B5CDE">
        <w:rPr>
          <w:rFonts w:ascii="GHEA Grapalat" w:hAnsi="GHEA Grapalat" w:cs="Times New Roman"/>
          <w:sz w:val="24"/>
          <w:szCs w:val="24"/>
          <w:lang w:val="hy-AM"/>
        </w:rPr>
        <w:t xml:space="preserve">աշվեքննությունների թիվը՝ </w:t>
      </w:r>
      <w:r w:rsidR="00B257F1" w:rsidRPr="003B5CDE">
        <w:rPr>
          <w:rFonts w:ascii="GHEA Grapalat" w:hAnsi="GHEA Grapalat" w:cs="Times New Roman"/>
          <w:sz w:val="24"/>
          <w:szCs w:val="24"/>
          <w:lang w:val="en-US"/>
        </w:rPr>
        <w:t>5</w:t>
      </w:r>
      <w:r w:rsidR="005979E3">
        <w:rPr>
          <w:rFonts w:ascii="GHEA Grapalat" w:hAnsi="GHEA Grapalat" w:cs="Times New Roman"/>
          <w:sz w:val="24"/>
          <w:szCs w:val="24"/>
          <w:lang w:val="en-US"/>
        </w:rPr>
        <w:t xml:space="preserve"> է</w:t>
      </w:r>
      <w:r w:rsidR="00C00227">
        <w:rPr>
          <w:rFonts w:ascii="GHEA Grapalat" w:hAnsi="GHEA Grapalat" w:cs="Times New Roman"/>
          <w:sz w:val="24"/>
          <w:szCs w:val="24"/>
          <w:lang w:val="en-US"/>
        </w:rPr>
        <w:t xml:space="preserve">, </w:t>
      </w:r>
      <w:proofErr w:type="spellStart"/>
      <w:r w:rsidR="00C71A73" w:rsidRPr="00E613E8">
        <w:rPr>
          <w:rFonts w:ascii="GHEA Grapalat" w:hAnsi="GHEA Grapalat" w:cs="Times New Roman"/>
          <w:sz w:val="24"/>
          <w:szCs w:val="24"/>
          <w:lang w:val="en-US"/>
        </w:rPr>
        <w:t>որից</w:t>
      </w:r>
      <w:proofErr w:type="spellEnd"/>
      <w:r w:rsidR="00C71A73" w:rsidRPr="00E613E8">
        <w:rPr>
          <w:rFonts w:ascii="GHEA Grapalat" w:hAnsi="GHEA Grapalat" w:cs="Times New Roman"/>
          <w:sz w:val="24"/>
          <w:szCs w:val="24"/>
          <w:lang w:val="en-US"/>
        </w:rPr>
        <w:t xml:space="preserve"> 1-ը </w:t>
      </w:r>
      <w:r w:rsidR="004B41FD" w:rsidRPr="00E613E8">
        <w:rPr>
          <w:rFonts w:ascii="GHEA Grapalat" w:hAnsi="GHEA Grapalat" w:cs="Times New Roman"/>
          <w:sz w:val="24"/>
          <w:szCs w:val="24"/>
          <w:lang w:val="en-US"/>
        </w:rPr>
        <w:t>(</w:t>
      </w:r>
      <w:proofErr w:type="spellStart"/>
      <w:r w:rsidR="004B41FD" w:rsidRPr="00E613E8">
        <w:rPr>
          <w:rFonts w:ascii="GHEA Grapalat" w:hAnsi="GHEA Grapalat" w:cs="Times New Roman"/>
          <w:sz w:val="24"/>
          <w:szCs w:val="24"/>
          <w:lang w:val="en-US"/>
        </w:rPr>
        <w:t>առողջապահության</w:t>
      </w:r>
      <w:proofErr w:type="spellEnd"/>
      <w:r w:rsidR="004B41FD" w:rsidRPr="00E613E8">
        <w:rPr>
          <w:rFonts w:ascii="GHEA Grapalat" w:hAnsi="GHEA Grapalat" w:cs="Times New Roman"/>
          <w:sz w:val="24"/>
          <w:szCs w:val="24"/>
          <w:lang w:val="en-US"/>
        </w:rPr>
        <w:t xml:space="preserve"> </w:t>
      </w:r>
      <w:proofErr w:type="spellStart"/>
      <w:r w:rsidR="004B41FD" w:rsidRPr="00E613E8">
        <w:rPr>
          <w:rFonts w:ascii="GHEA Grapalat" w:hAnsi="GHEA Grapalat" w:cs="Times New Roman"/>
          <w:sz w:val="24"/>
          <w:szCs w:val="24"/>
          <w:lang w:val="en-US"/>
        </w:rPr>
        <w:t>ոլորտ</w:t>
      </w:r>
      <w:proofErr w:type="spellEnd"/>
      <w:r w:rsidR="004B41FD" w:rsidRPr="00E613E8">
        <w:rPr>
          <w:rFonts w:ascii="GHEA Grapalat" w:hAnsi="GHEA Grapalat" w:cs="Times New Roman"/>
          <w:sz w:val="24"/>
          <w:szCs w:val="24"/>
          <w:lang w:val="en-US"/>
        </w:rPr>
        <w:t xml:space="preserve">) </w:t>
      </w:r>
      <w:proofErr w:type="spellStart"/>
      <w:r w:rsidR="00C71A73" w:rsidRPr="00E613E8">
        <w:rPr>
          <w:rFonts w:ascii="GHEA Grapalat" w:hAnsi="GHEA Grapalat" w:cs="Times New Roman"/>
          <w:sz w:val="24"/>
          <w:szCs w:val="24"/>
          <w:lang w:val="en-US"/>
        </w:rPr>
        <w:t>տեղափոխվել</w:t>
      </w:r>
      <w:proofErr w:type="spellEnd"/>
      <w:r w:rsidR="00C71A73" w:rsidRPr="00E613E8">
        <w:rPr>
          <w:rFonts w:ascii="GHEA Grapalat" w:hAnsi="GHEA Grapalat" w:cs="Times New Roman"/>
          <w:sz w:val="24"/>
          <w:szCs w:val="24"/>
          <w:lang w:val="en-US"/>
        </w:rPr>
        <w:t xml:space="preserve"> է</w:t>
      </w:r>
      <w:r w:rsidR="003B3621" w:rsidRPr="00E613E8">
        <w:rPr>
          <w:rFonts w:ascii="GHEA Grapalat" w:hAnsi="GHEA Grapalat" w:cs="Times New Roman"/>
          <w:sz w:val="24"/>
          <w:szCs w:val="24"/>
          <w:lang w:val="en-US"/>
        </w:rPr>
        <w:t xml:space="preserve"> 2022 </w:t>
      </w:r>
      <w:proofErr w:type="spellStart"/>
      <w:r w:rsidR="003B3621" w:rsidRPr="00E613E8">
        <w:rPr>
          <w:rFonts w:ascii="GHEA Grapalat" w:hAnsi="GHEA Grapalat" w:cs="Times New Roman"/>
          <w:sz w:val="24"/>
          <w:szCs w:val="24"/>
          <w:lang w:val="en-US"/>
        </w:rPr>
        <w:t>թվականի</w:t>
      </w:r>
      <w:proofErr w:type="spellEnd"/>
      <w:r w:rsidR="003B3621" w:rsidRPr="00E613E8">
        <w:rPr>
          <w:rFonts w:ascii="GHEA Grapalat" w:hAnsi="GHEA Grapalat" w:cs="Times New Roman"/>
          <w:sz w:val="24"/>
          <w:szCs w:val="24"/>
          <w:lang w:val="en-US"/>
        </w:rPr>
        <w:t xml:space="preserve"> </w:t>
      </w:r>
      <w:proofErr w:type="spellStart"/>
      <w:r w:rsidR="003B3621" w:rsidRPr="00E613E8">
        <w:rPr>
          <w:rFonts w:ascii="GHEA Grapalat" w:hAnsi="GHEA Grapalat" w:cs="Times New Roman"/>
          <w:sz w:val="24"/>
          <w:szCs w:val="24"/>
          <w:lang w:val="en-US"/>
        </w:rPr>
        <w:t>գործունեության</w:t>
      </w:r>
      <w:proofErr w:type="spellEnd"/>
      <w:r w:rsidR="003B3621" w:rsidRPr="00E613E8">
        <w:rPr>
          <w:rFonts w:ascii="GHEA Grapalat" w:hAnsi="GHEA Grapalat" w:cs="Times New Roman"/>
          <w:sz w:val="24"/>
          <w:szCs w:val="24"/>
          <w:lang w:val="en-US"/>
        </w:rPr>
        <w:t xml:space="preserve"> </w:t>
      </w:r>
      <w:proofErr w:type="spellStart"/>
      <w:r w:rsidR="003B3621" w:rsidRPr="00E613E8">
        <w:rPr>
          <w:rFonts w:ascii="GHEA Grapalat" w:hAnsi="GHEA Grapalat" w:cs="Times New Roman"/>
          <w:sz w:val="24"/>
          <w:szCs w:val="24"/>
          <w:lang w:val="en-US"/>
        </w:rPr>
        <w:t>ծրագրից</w:t>
      </w:r>
      <w:proofErr w:type="spellEnd"/>
      <w:r w:rsidR="00F20461" w:rsidRPr="00E613E8">
        <w:rPr>
          <w:rFonts w:ascii="GHEA Grapalat" w:hAnsi="GHEA Grapalat" w:cs="Times New Roman"/>
          <w:sz w:val="24"/>
          <w:szCs w:val="24"/>
          <w:lang w:val="en-US"/>
        </w:rPr>
        <w:t>.</w:t>
      </w:r>
      <w:proofErr w:type="gramEnd"/>
      <w:r w:rsidR="008374CD" w:rsidRPr="00E613E8">
        <w:rPr>
          <w:rFonts w:ascii="GHEA Grapalat" w:hAnsi="GHEA Grapalat" w:cs="Times New Roman"/>
          <w:sz w:val="24"/>
          <w:szCs w:val="24"/>
          <w:lang w:val="en-US"/>
        </w:rPr>
        <w:t xml:space="preserve"> </w:t>
      </w:r>
      <w:r w:rsidR="00F20461" w:rsidRPr="00E613E8">
        <w:rPr>
          <w:rFonts w:ascii="GHEA Grapalat" w:hAnsi="GHEA Grapalat" w:cs="Times New Roman"/>
          <w:sz w:val="24"/>
          <w:szCs w:val="24"/>
          <w:lang w:val="en-US"/>
        </w:rPr>
        <w:t>«</w:t>
      </w:r>
      <w:proofErr w:type="spellStart"/>
      <w:r w:rsidR="00F20461" w:rsidRPr="00E613E8">
        <w:rPr>
          <w:rFonts w:ascii="GHEA Grapalat" w:hAnsi="GHEA Grapalat" w:cs="Times New Roman"/>
          <w:sz w:val="24"/>
          <w:szCs w:val="24"/>
          <w:lang w:val="en-US"/>
        </w:rPr>
        <w:t>Առողջապահության</w:t>
      </w:r>
      <w:proofErr w:type="spellEnd"/>
      <w:r w:rsidR="00F20461" w:rsidRPr="00E613E8">
        <w:rPr>
          <w:rFonts w:ascii="GHEA Grapalat" w:hAnsi="GHEA Grapalat" w:cs="Times New Roman"/>
          <w:sz w:val="24"/>
          <w:szCs w:val="24"/>
          <w:lang w:val="en-US"/>
        </w:rPr>
        <w:t xml:space="preserve"> </w:t>
      </w:r>
      <w:proofErr w:type="spellStart"/>
      <w:r w:rsidR="00F20461" w:rsidRPr="00E613E8">
        <w:rPr>
          <w:rFonts w:ascii="GHEA Grapalat" w:hAnsi="GHEA Grapalat" w:cs="Times New Roman"/>
          <w:sz w:val="24"/>
          <w:szCs w:val="24"/>
          <w:lang w:val="en-US"/>
        </w:rPr>
        <w:t>նախարարություն</w:t>
      </w:r>
      <w:r w:rsidR="002B1891" w:rsidRPr="00E613E8">
        <w:rPr>
          <w:rFonts w:ascii="GHEA Grapalat" w:hAnsi="GHEA Grapalat" w:cs="Times New Roman"/>
          <w:sz w:val="24"/>
          <w:szCs w:val="24"/>
          <w:lang w:val="en-US"/>
        </w:rPr>
        <w:t>ում</w:t>
      </w:r>
      <w:proofErr w:type="spellEnd"/>
      <w:r w:rsidR="002B1891" w:rsidRPr="00E613E8">
        <w:rPr>
          <w:rFonts w:ascii="GHEA Grapalat" w:hAnsi="GHEA Grapalat" w:cs="Times New Roman"/>
          <w:sz w:val="24"/>
          <w:szCs w:val="24"/>
          <w:lang w:val="en-US"/>
        </w:rPr>
        <w:t xml:space="preserve"> </w:t>
      </w:r>
      <w:proofErr w:type="spellStart"/>
      <w:r w:rsidR="002B1891" w:rsidRPr="00E613E8">
        <w:rPr>
          <w:rFonts w:ascii="GHEA Grapalat" w:hAnsi="GHEA Grapalat" w:cs="Times New Roman"/>
          <w:sz w:val="24"/>
          <w:szCs w:val="24"/>
          <w:lang w:val="en-US"/>
        </w:rPr>
        <w:t>ո</w:t>
      </w:r>
      <w:r w:rsidR="00F20461" w:rsidRPr="00E613E8">
        <w:rPr>
          <w:rFonts w:ascii="GHEA Grapalat" w:hAnsi="GHEA Grapalat" w:cs="Times New Roman"/>
          <w:sz w:val="24"/>
          <w:szCs w:val="24"/>
          <w:lang w:val="en-US"/>
        </w:rPr>
        <w:t>չ</w:t>
      </w:r>
      <w:proofErr w:type="spellEnd"/>
      <w:r w:rsidR="00F20461" w:rsidRPr="00E613E8">
        <w:rPr>
          <w:rFonts w:ascii="GHEA Grapalat" w:hAnsi="GHEA Grapalat" w:cs="Times New Roman"/>
          <w:sz w:val="24"/>
          <w:szCs w:val="24"/>
          <w:lang w:val="en-US"/>
        </w:rPr>
        <w:t xml:space="preserve"> </w:t>
      </w:r>
      <w:proofErr w:type="spellStart"/>
      <w:r w:rsidR="00F20461" w:rsidRPr="00E613E8">
        <w:rPr>
          <w:rFonts w:ascii="GHEA Grapalat" w:hAnsi="GHEA Grapalat" w:cs="Times New Roman"/>
          <w:sz w:val="24"/>
          <w:szCs w:val="24"/>
          <w:lang w:val="en-US"/>
        </w:rPr>
        <w:t>վարակիչ</w:t>
      </w:r>
      <w:proofErr w:type="spellEnd"/>
      <w:r w:rsidR="00F20461" w:rsidRPr="00E613E8">
        <w:rPr>
          <w:rFonts w:ascii="GHEA Grapalat" w:hAnsi="GHEA Grapalat" w:cs="Times New Roman"/>
          <w:sz w:val="24"/>
          <w:szCs w:val="24"/>
          <w:lang w:val="en-US"/>
        </w:rPr>
        <w:t xml:space="preserve"> </w:t>
      </w:r>
      <w:proofErr w:type="spellStart"/>
      <w:r w:rsidR="00F20461" w:rsidRPr="00E613E8">
        <w:rPr>
          <w:rFonts w:ascii="GHEA Grapalat" w:hAnsi="GHEA Grapalat" w:cs="Times New Roman"/>
          <w:sz w:val="24"/>
          <w:szCs w:val="24"/>
          <w:lang w:val="en-US"/>
        </w:rPr>
        <w:t>հիվանդությունների</w:t>
      </w:r>
      <w:proofErr w:type="spellEnd"/>
      <w:r w:rsidR="00F20461" w:rsidRPr="00E613E8">
        <w:rPr>
          <w:rFonts w:ascii="GHEA Grapalat" w:hAnsi="GHEA Grapalat" w:cs="Times New Roman"/>
          <w:sz w:val="24"/>
          <w:szCs w:val="24"/>
          <w:lang w:val="en-US"/>
        </w:rPr>
        <w:t xml:space="preserve"> </w:t>
      </w:r>
      <w:proofErr w:type="spellStart"/>
      <w:r w:rsidR="00F20461" w:rsidRPr="00E613E8">
        <w:rPr>
          <w:rFonts w:ascii="GHEA Grapalat" w:hAnsi="GHEA Grapalat" w:cs="Times New Roman"/>
          <w:sz w:val="24"/>
          <w:szCs w:val="24"/>
          <w:lang w:val="en-US"/>
        </w:rPr>
        <w:t>բժշկական</w:t>
      </w:r>
      <w:proofErr w:type="spellEnd"/>
      <w:r w:rsidR="00F20461" w:rsidRPr="00E613E8">
        <w:rPr>
          <w:rFonts w:ascii="GHEA Grapalat" w:hAnsi="GHEA Grapalat" w:cs="Times New Roman"/>
          <w:sz w:val="24"/>
          <w:szCs w:val="24"/>
          <w:lang w:val="en-US"/>
        </w:rPr>
        <w:t xml:space="preserve"> </w:t>
      </w:r>
      <w:proofErr w:type="spellStart"/>
      <w:r w:rsidR="00F20461" w:rsidRPr="00E613E8">
        <w:rPr>
          <w:rFonts w:ascii="GHEA Grapalat" w:hAnsi="GHEA Grapalat" w:cs="Times New Roman"/>
          <w:sz w:val="24"/>
          <w:szCs w:val="24"/>
          <w:lang w:val="en-US"/>
        </w:rPr>
        <w:t>օգնության</w:t>
      </w:r>
      <w:proofErr w:type="spellEnd"/>
      <w:r w:rsidR="00F20461" w:rsidRPr="00E613E8">
        <w:rPr>
          <w:rFonts w:ascii="GHEA Grapalat" w:hAnsi="GHEA Grapalat" w:cs="Times New Roman"/>
          <w:sz w:val="24"/>
          <w:szCs w:val="24"/>
          <w:lang w:val="en-US"/>
        </w:rPr>
        <w:t xml:space="preserve"> </w:t>
      </w:r>
      <w:proofErr w:type="spellStart"/>
      <w:r w:rsidR="00F20461" w:rsidRPr="00E613E8">
        <w:rPr>
          <w:rFonts w:ascii="GHEA Grapalat" w:hAnsi="GHEA Grapalat" w:cs="Times New Roman"/>
          <w:sz w:val="24"/>
          <w:szCs w:val="24"/>
          <w:lang w:val="en-US"/>
        </w:rPr>
        <w:t>ապահովման</w:t>
      </w:r>
      <w:proofErr w:type="spellEnd"/>
      <w:r w:rsidR="00F20461" w:rsidRPr="00E613E8">
        <w:rPr>
          <w:rFonts w:ascii="GHEA Grapalat" w:hAnsi="GHEA Grapalat" w:cs="Times New Roman"/>
          <w:sz w:val="24"/>
          <w:szCs w:val="24"/>
          <w:lang w:val="en-US"/>
        </w:rPr>
        <w:t xml:space="preserve"> </w:t>
      </w:r>
      <w:proofErr w:type="spellStart"/>
      <w:r w:rsidR="00F20461" w:rsidRPr="00E613E8">
        <w:rPr>
          <w:rFonts w:ascii="GHEA Grapalat" w:hAnsi="GHEA Grapalat" w:cs="Times New Roman"/>
          <w:sz w:val="24"/>
          <w:szCs w:val="24"/>
          <w:lang w:val="en-US"/>
        </w:rPr>
        <w:t>կատարողականի</w:t>
      </w:r>
      <w:proofErr w:type="spellEnd"/>
      <w:r w:rsidR="00F20461" w:rsidRPr="00E613E8">
        <w:rPr>
          <w:rFonts w:ascii="GHEA Grapalat" w:hAnsi="GHEA Grapalat" w:cs="Times New Roman"/>
          <w:sz w:val="24"/>
          <w:szCs w:val="24"/>
          <w:lang w:val="en-US"/>
        </w:rPr>
        <w:t xml:space="preserve"> </w:t>
      </w:r>
      <w:proofErr w:type="spellStart"/>
      <w:r w:rsidR="00F20461" w:rsidRPr="00E613E8">
        <w:rPr>
          <w:rFonts w:ascii="GHEA Grapalat" w:hAnsi="GHEA Grapalat" w:cs="Times New Roman"/>
          <w:sz w:val="24"/>
          <w:szCs w:val="24"/>
          <w:lang w:val="en-US"/>
        </w:rPr>
        <w:t>հաշվեքննություն</w:t>
      </w:r>
      <w:proofErr w:type="spellEnd"/>
      <w:r w:rsidR="00F20461" w:rsidRPr="00E613E8">
        <w:rPr>
          <w:rFonts w:ascii="GHEA Grapalat" w:hAnsi="GHEA Grapalat" w:cs="Times New Roman"/>
          <w:sz w:val="24"/>
          <w:szCs w:val="24"/>
          <w:lang w:val="en-US"/>
        </w:rPr>
        <w:t>»</w:t>
      </w:r>
      <w:r w:rsidR="007A2C11" w:rsidRPr="00E613E8">
        <w:rPr>
          <w:rFonts w:ascii="GHEA Grapalat" w:hAnsi="GHEA Grapalat" w:cs="Times New Roman"/>
          <w:sz w:val="24"/>
          <w:szCs w:val="24"/>
          <w:lang w:val="en-US"/>
        </w:rPr>
        <w:t>:</w:t>
      </w:r>
      <w:r w:rsidR="00E613E8">
        <w:rPr>
          <w:rFonts w:ascii="GHEA Grapalat" w:hAnsi="GHEA Grapalat" w:cs="Times New Roman"/>
          <w:sz w:val="24"/>
          <w:szCs w:val="24"/>
          <w:lang w:val="en-US"/>
        </w:rPr>
        <w:t xml:space="preserve"> </w:t>
      </w:r>
      <w:proofErr w:type="spellStart"/>
      <w:r w:rsidR="00E613E8">
        <w:rPr>
          <w:rFonts w:ascii="GHEA Grapalat" w:hAnsi="GHEA Grapalat" w:cs="Times New Roman"/>
          <w:sz w:val="24"/>
          <w:szCs w:val="24"/>
          <w:lang w:val="en-US"/>
        </w:rPr>
        <w:t>Իսկ</w:t>
      </w:r>
      <w:proofErr w:type="spellEnd"/>
      <w:r w:rsidR="00E613E8">
        <w:rPr>
          <w:rFonts w:ascii="GHEA Grapalat" w:hAnsi="GHEA Grapalat" w:cs="Times New Roman"/>
          <w:sz w:val="24"/>
          <w:szCs w:val="24"/>
          <w:lang w:val="en-US"/>
        </w:rPr>
        <w:t xml:space="preserve"> </w:t>
      </w:r>
      <w:proofErr w:type="spellStart"/>
      <w:r w:rsidR="00AB2CBD" w:rsidRPr="00E613E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թվով</w:t>
      </w:r>
      <w:proofErr w:type="spellEnd"/>
      <w:r w:rsidR="00AB2CBD" w:rsidRPr="00E613E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4</w:t>
      </w:r>
      <w:r w:rsidR="00C01B9F" w:rsidRPr="00E613E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AB2CBD" w:rsidRPr="00E613E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նոր</w:t>
      </w:r>
      <w:proofErr w:type="spellEnd"/>
      <w:r w:rsidR="00AB2CBD" w:rsidRPr="00E613E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A07C93" w:rsidRPr="00E613E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ծրագրային</w:t>
      </w:r>
      <w:proofErr w:type="spellEnd"/>
      <w:r w:rsidR="00A07C93" w:rsidRPr="00E613E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A07C93" w:rsidRPr="00E613E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կետեր</w:t>
      </w:r>
      <w:r w:rsidR="0007087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</w:t>
      </w:r>
      <w:proofErr w:type="spellEnd"/>
      <w:r w:rsidR="0007087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07087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ներկայացված</w:t>
      </w:r>
      <w:proofErr w:type="spellEnd"/>
      <w:r w:rsidR="0007087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07087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են</w:t>
      </w:r>
      <w:proofErr w:type="spellEnd"/>
      <w:r w:rsidR="0007087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07087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ստորև</w:t>
      </w:r>
      <w:proofErr w:type="spellEnd"/>
      <w:r w:rsidR="0007087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(</w:t>
      </w:r>
      <w:proofErr w:type="spellStart"/>
      <w:r w:rsidR="0007087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սույն</w:t>
      </w:r>
      <w:proofErr w:type="spellEnd"/>
      <w:r w:rsidR="00C06B72" w:rsidRPr="00E613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առաջարկները առավելապես բխում են ՀՀ կառավարության 2021-2026թթ.</w:t>
      </w:r>
      <w:r w:rsidR="00B44465" w:rsidRPr="00E613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գործունեության ծրագրով </w:t>
      </w:r>
      <w:r w:rsidR="00C06B72" w:rsidRPr="00E613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սահմանված ոլորտային հիմնական առաջնահերթություններից</w:t>
      </w:r>
      <w:r w:rsidR="0007087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)</w:t>
      </w:r>
      <w:r w:rsidR="00DA2775" w:rsidRPr="00E613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14:paraId="3EFEEF50" w14:textId="77777777" w:rsidR="00D3527B" w:rsidRPr="003B5CDE" w:rsidRDefault="00D3527B" w:rsidP="00D6269C">
      <w:pPr>
        <w:spacing w:after="80" w:line="276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14:paraId="41570EA7" w14:textId="5FC09373" w:rsidR="000D163D" w:rsidRPr="003B5CDE" w:rsidRDefault="00E51507" w:rsidP="003B5CDE">
      <w:pPr>
        <w:spacing w:after="80" w:line="276" w:lineRule="auto"/>
        <w:ind w:left="720"/>
        <w:rPr>
          <w:rFonts w:ascii="GHEA Grapalat" w:hAnsi="GHEA Grapalat" w:cs="Times New Roman"/>
          <w:b/>
          <w:sz w:val="24"/>
          <w:szCs w:val="24"/>
          <w:u w:val="single"/>
          <w:lang w:val="hy-AM"/>
        </w:rPr>
      </w:pPr>
      <w:r w:rsidRPr="003B5CDE">
        <w:rPr>
          <w:rFonts w:ascii="GHEA Grapalat" w:hAnsi="GHEA Grapalat" w:cs="Sylfaen"/>
          <w:b/>
          <w:sz w:val="24"/>
          <w:szCs w:val="24"/>
          <w:u w:val="single"/>
          <w:lang w:val="hy-AM"/>
        </w:rPr>
        <w:t>Շրջակա</w:t>
      </w:r>
      <w:r w:rsidRPr="003B5CDE">
        <w:rPr>
          <w:rFonts w:ascii="GHEA Grapalat" w:hAnsi="GHEA Grapalat" w:cs="Times New Roman"/>
          <w:b/>
          <w:sz w:val="24"/>
          <w:szCs w:val="24"/>
          <w:u w:val="single"/>
          <w:lang w:val="hy-AM"/>
        </w:rPr>
        <w:t xml:space="preserve"> </w:t>
      </w:r>
      <w:r w:rsidRPr="003B5CDE">
        <w:rPr>
          <w:rFonts w:ascii="GHEA Grapalat" w:hAnsi="GHEA Grapalat" w:cs="Sylfaen"/>
          <w:b/>
          <w:sz w:val="24"/>
          <w:szCs w:val="24"/>
          <w:u w:val="single"/>
          <w:lang w:val="hy-AM"/>
        </w:rPr>
        <w:t>միջավայր</w:t>
      </w:r>
      <w:r w:rsidRPr="003B5CDE">
        <w:rPr>
          <w:rFonts w:ascii="GHEA Grapalat" w:hAnsi="GHEA Grapalat" w:cs="Times New Roman"/>
          <w:b/>
          <w:sz w:val="24"/>
          <w:szCs w:val="24"/>
          <w:u w:val="single"/>
          <w:lang w:val="hy-AM"/>
        </w:rPr>
        <w:t xml:space="preserve">, </w:t>
      </w:r>
      <w:r w:rsidRPr="003B5CDE">
        <w:rPr>
          <w:rFonts w:ascii="GHEA Grapalat" w:hAnsi="GHEA Grapalat" w:cs="Sylfaen"/>
          <w:b/>
          <w:sz w:val="24"/>
          <w:szCs w:val="24"/>
          <w:u w:val="single"/>
          <w:lang w:val="hy-AM"/>
        </w:rPr>
        <w:t>ենթակառուցվածքներ</w:t>
      </w:r>
    </w:p>
    <w:p w14:paraId="79171155" w14:textId="49355FD7" w:rsidR="00E51507" w:rsidRPr="003B5CDE" w:rsidRDefault="00E51507" w:rsidP="00576690">
      <w:pPr>
        <w:spacing w:after="80" w:line="276" w:lineRule="auto"/>
        <w:ind w:left="567"/>
        <w:rPr>
          <w:rFonts w:ascii="GHEA Grapalat" w:hAnsi="GHEA Grapalat"/>
          <w:b/>
          <w:sz w:val="24"/>
          <w:szCs w:val="24"/>
          <w:lang w:val="hy-AM"/>
        </w:rPr>
      </w:pPr>
      <w:r w:rsidRPr="003B5CDE">
        <w:rPr>
          <w:rFonts w:ascii="GHEA Grapalat" w:hAnsi="GHEA Grapalat"/>
          <w:b/>
          <w:sz w:val="24"/>
          <w:szCs w:val="24"/>
          <w:lang w:val="hy-AM"/>
        </w:rPr>
        <w:t>Կոշտ թափոնների կառավարման գործընթաց (ՀՀ տարածքային կառավարման և ենթակառուցվածքների նախարարություն)</w:t>
      </w:r>
    </w:p>
    <w:p w14:paraId="42541FA5" w14:textId="4B81A64E" w:rsidR="00C06B72" w:rsidRPr="003B5CDE" w:rsidRDefault="00DA2775" w:rsidP="00D6269C">
      <w:pPr>
        <w:spacing w:after="8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B5C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Թափոնների կառավարման համակարգի բարելավումը ՀՀ կառավարության 2021-2026թթ. գործունեության ծրագրի շրջակա միջավայրի պահպանության կարևորագույն ուղղություններից է: Միևնույն ժամանակ, բնակչության համար հարմարավետ և էկոլոգիապես անվտանգ պայմանների ապահովումը, մարդու առողջության և շրջակա միջավայրի վրա կենցաղային կոշտ թափոնների բացասական (վտանգավոր) ներգործության նվազեցումը, ի թիվս այլոց, սահմանվում է որպես առանցքային նպատակ տարածքային կառավարման և տեղական ինքնակառավարման բնագավառում:</w:t>
      </w:r>
    </w:p>
    <w:p w14:paraId="47D5E2E4" w14:textId="42C6147A" w:rsidR="005600D0" w:rsidRPr="003B5CDE" w:rsidRDefault="000A4962" w:rsidP="00D6269C">
      <w:pPr>
        <w:spacing w:after="8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B5C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Սույն հիմնահարցի առնչությամբ մշակվել է </w:t>
      </w:r>
      <w:r w:rsidRPr="003B5CDE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Հայաստանի Հանրապետության 2017-2036 թվականների կոշտ</w:t>
      </w:r>
      <w:r w:rsidR="0093490F" w:rsidRPr="003B5CDE">
        <w:rPr>
          <w:rFonts w:ascii="Courier New" w:eastAsia="Times New Roman" w:hAnsi="Courier New" w:cs="Courier New"/>
          <w:bCs/>
          <w:sz w:val="24"/>
          <w:szCs w:val="24"/>
          <w:lang w:val="hy-AM" w:eastAsia="ru-RU"/>
        </w:rPr>
        <w:t> </w:t>
      </w:r>
      <w:r w:rsidRPr="003B5CDE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կենցաղային</w:t>
      </w:r>
      <w:r w:rsidRPr="003B5CDE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3B5CDE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թափոնների</w:t>
      </w:r>
      <w:r w:rsidRPr="003B5CDE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3B5CDE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կառավարման</w:t>
      </w:r>
      <w:r w:rsidRPr="003B5CDE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3B5CDE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համակարգի</w:t>
      </w:r>
      <w:r w:rsidRPr="003B5CDE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3B5CDE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զարգացման</w:t>
      </w:r>
      <w:r w:rsidRPr="003B5CDE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3B5CDE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ռազմավարությ</w:t>
      </w:r>
      <w:r w:rsidR="001F3CB0" w:rsidRPr="003B5CDE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ու</w:t>
      </w:r>
      <w:r w:rsidRPr="003B5CDE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նը</w:t>
      </w:r>
      <w:r w:rsidR="001F3CB0" w:rsidRPr="003B5CDE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 xml:space="preserve"> (ՀՀ կառավարության 08/12/16թ. թիվ 49 արձանագրային որոշում)։ </w:t>
      </w:r>
      <w:r w:rsidR="000E1F40" w:rsidRPr="003B5CDE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Սույն ռազմավարության և հիմնահարցին վերաբերող այլ միջոցառումների մինչ օրս իրականացված գործողությունների հաշվեքննությամբ հնարավոր կլինի գնահատել կառավարման գործընթացի արդյունավետությունը</w:t>
      </w:r>
      <w:r w:rsidR="00151A7F" w:rsidRPr="00D45ED0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 xml:space="preserve"> տնտեսման, ծախսային և նպատակային արդյունավետության (</w:t>
      </w:r>
      <w:r w:rsidR="000E1F40" w:rsidRPr="003B5CDE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3E-երի</w:t>
      </w:r>
      <w:r w:rsidR="00151A7F" w:rsidRPr="00D45ED0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)</w:t>
      </w:r>
      <w:r w:rsidR="000E1F40" w:rsidRPr="003B5CDE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 xml:space="preserve"> տեսանկյունից և ներկայացնել առաջարկություններ։</w:t>
      </w:r>
    </w:p>
    <w:p w14:paraId="09C5F92D" w14:textId="77777777" w:rsidR="00E51507" w:rsidRPr="00082996" w:rsidRDefault="00E51507" w:rsidP="00D6269C">
      <w:pPr>
        <w:spacing w:after="80" w:line="276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461B1631" w14:textId="359F9ECE" w:rsidR="00E51507" w:rsidRPr="003B5CDE" w:rsidRDefault="00E51507" w:rsidP="003B5CDE">
      <w:pPr>
        <w:spacing w:after="80" w:line="276" w:lineRule="auto"/>
        <w:ind w:left="720"/>
        <w:rPr>
          <w:rFonts w:ascii="GHEA Grapalat" w:hAnsi="GHEA Grapalat" w:cs="Times New Roman"/>
          <w:b/>
          <w:sz w:val="24"/>
          <w:szCs w:val="24"/>
          <w:u w:val="single"/>
          <w:lang w:val="hy-AM"/>
        </w:rPr>
      </w:pPr>
      <w:r w:rsidRPr="003B5CDE">
        <w:rPr>
          <w:rFonts w:ascii="GHEA Grapalat" w:hAnsi="GHEA Grapalat" w:cs="Sylfaen"/>
          <w:b/>
          <w:sz w:val="24"/>
          <w:szCs w:val="24"/>
          <w:u w:val="single"/>
          <w:lang w:val="hy-AM"/>
        </w:rPr>
        <w:t>Ազգային</w:t>
      </w:r>
      <w:r w:rsidRPr="003B5CDE">
        <w:rPr>
          <w:rFonts w:ascii="GHEA Grapalat" w:hAnsi="GHEA Grapalat" w:cs="Times New Roman"/>
          <w:b/>
          <w:sz w:val="24"/>
          <w:szCs w:val="24"/>
          <w:u w:val="single"/>
          <w:lang w:val="hy-AM"/>
        </w:rPr>
        <w:t xml:space="preserve"> </w:t>
      </w:r>
      <w:r w:rsidRPr="003B5CDE">
        <w:rPr>
          <w:rFonts w:ascii="GHEA Grapalat" w:hAnsi="GHEA Grapalat" w:cs="Sylfaen"/>
          <w:b/>
          <w:sz w:val="24"/>
          <w:szCs w:val="24"/>
          <w:u w:val="single"/>
          <w:lang w:val="hy-AM"/>
        </w:rPr>
        <w:t>տնտեսական</w:t>
      </w:r>
      <w:r w:rsidRPr="003B5CDE">
        <w:rPr>
          <w:rFonts w:ascii="GHEA Grapalat" w:hAnsi="GHEA Grapalat" w:cs="Times New Roman"/>
          <w:b/>
          <w:sz w:val="24"/>
          <w:szCs w:val="24"/>
          <w:u w:val="single"/>
          <w:lang w:val="hy-AM"/>
        </w:rPr>
        <w:t xml:space="preserve"> </w:t>
      </w:r>
      <w:r w:rsidRPr="003B5CDE">
        <w:rPr>
          <w:rFonts w:ascii="GHEA Grapalat" w:hAnsi="GHEA Grapalat" w:cs="Sylfaen"/>
          <w:b/>
          <w:sz w:val="24"/>
          <w:szCs w:val="24"/>
          <w:u w:val="single"/>
          <w:lang w:val="hy-AM"/>
        </w:rPr>
        <w:t>զարգացում</w:t>
      </w:r>
    </w:p>
    <w:p w14:paraId="6D37BD82" w14:textId="68755335" w:rsidR="00E51507" w:rsidRPr="003B5CDE" w:rsidRDefault="00E51507" w:rsidP="00576690">
      <w:pPr>
        <w:spacing w:after="80" w:line="276" w:lineRule="auto"/>
        <w:ind w:left="567"/>
        <w:rPr>
          <w:rFonts w:ascii="GHEA Grapalat" w:hAnsi="GHEA Grapalat"/>
          <w:b/>
          <w:sz w:val="24"/>
          <w:szCs w:val="24"/>
          <w:lang w:val="hy-AM"/>
        </w:rPr>
      </w:pPr>
      <w:r w:rsidRPr="003B5CDE">
        <w:rPr>
          <w:rFonts w:ascii="GHEA Grapalat" w:hAnsi="GHEA Grapalat"/>
          <w:b/>
          <w:sz w:val="24"/>
          <w:szCs w:val="24"/>
          <w:lang w:val="hy-AM"/>
        </w:rPr>
        <w:t>Կայուն զարգացման նպատակներին հասնելու պատրաստվածություն (ՀՀ վարչապետի աշխատակազմ)</w:t>
      </w:r>
    </w:p>
    <w:p w14:paraId="33AED3B5" w14:textId="466AED85" w:rsidR="006C2325" w:rsidRPr="003B5CDE" w:rsidRDefault="006C2325" w:rsidP="00D6269C">
      <w:pPr>
        <w:spacing w:after="8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B5CDE">
        <w:rPr>
          <w:rFonts w:ascii="GHEA Grapalat" w:hAnsi="GHEA Grapalat"/>
          <w:sz w:val="24"/>
          <w:szCs w:val="24"/>
          <w:lang w:val="hy-AM"/>
        </w:rPr>
        <w:lastRenderedPageBreak/>
        <w:t>2015թ. սեպտեմբերին ընդունվել է «ՄԱԿ-ի կայուն զարգացման 2030 օրակարգը», որը կիրառելի է անդամ բոլոր երկրների համար։</w:t>
      </w:r>
    </w:p>
    <w:p w14:paraId="0DB73CCC" w14:textId="2735F856" w:rsidR="009919E5" w:rsidRPr="003B5CDE" w:rsidRDefault="009919E5" w:rsidP="00D6269C">
      <w:pPr>
        <w:spacing w:after="8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B5CDE">
        <w:rPr>
          <w:rFonts w:ascii="GHEA Grapalat" w:hAnsi="GHEA Grapalat"/>
          <w:sz w:val="24"/>
          <w:szCs w:val="24"/>
          <w:lang w:val="hy-AM"/>
        </w:rPr>
        <w:t>ՀՀ-ում ձևավորվել է ՀՀ կայուն զարգացման նպատակների խորհուրդ (ՀՀ վարչապետի 22.04.2020թ. թիվ 479-Ա որոշում), որի աշխատակարգը վերաբերում է ՀՀ-ում ՄԱԿ-ի կայուն զարգացման նպատակների</w:t>
      </w:r>
      <w:r w:rsidR="006C2325" w:rsidRPr="003B5CDE">
        <w:rPr>
          <w:rFonts w:ascii="GHEA Grapalat" w:hAnsi="GHEA Grapalat"/>
          <w:sz w:val="24"/>
          <w:szCs w:val="24"/>
          <w:lang w:val="hy-AM"/>
        </w:rPr>
        <w:t xml:space="preserve"> (այսուհետ՝ ԿԶՆ)</w:t>
      </w:r>
      <w:r w:rsidRPr="003B5CDE">
        <w:rPr>
          <w:rFonts w:ascii="GHEA Grapalat" w:hAnsi="GHEA Grapalat"/>
          <w:sz w:val="24"/>
          <w:szCs w:val="24"/>
          <w:lang w:val="hy-AM"/>
        </w:rPr>
        <w:t xml:space="preserve"> ազգայնացման առաջնահերթությունների և ուղղությունների սահմանմանը, դրանց ազգային ռազմավարական ծրագրերում ամրագրմանը և մինչև 2030 թվականն </w:t>
      </w:r>
      <w:r w:rsidR="006C2325" w:rsidRPr="003B5CDE">
        <w:rPr>
          <w:rFonts w:ascii="GHEA Grapalat" w:hAnsi="GHEA Grapalat"/>
          <w:sz w:val="24"/>
          <w:szCs w:val="24"/>
          <w:lang w:val="hy-AM"/>
        </w:rPr>
        <w:t>ԿԶՆ</w:t>
      </w:r>
      <w:r w:rsidRPr="003B5CDE">
        <w:rPr>
          <w:rFonts w:ascii="GHEA Grapalat" w:hAnsi="GHEA Grapalat"/>
          <w:sz w:val="24"/>
          <w:szCs w:val="24"/>
          <w:lang w:val="hy-AM"/>
        </w:rPr>
        <w:t xml:space="preserve"> համալիր իրականացման ընթացքի համակարգման և մշտադիտարկման ապահովմանը։</w:t>
      </w:r>
    </w:p>
    <w:p w14:paraId="6195AD55" w14:textId="3A9C2DD6" w:rsidR="006C2325" w:rsidRPr="003B5CDE" w:rsidRDefault="006C2325" w:rsidP="00D6269C">
      <w:pPr>
        <w:spacing w:after="8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B5CDE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C04548" w:rsidRPr="003B5CDE">
        <w:rPr>
          <w:rFonts w:ascii="GHEA Grapalat" w:hAnsi="GHEA Grapalat"/>
          <w:sz w:val="24"/>
          <w:szCs w:val="24"/>
          <w:lang w:val="hy-AM"/>
        </w:rPr>
        <w:t>վ</w:t>
      </w:r>
      <w:r w:rsidRPr="003B5CDE">
        <w:rPr>
          <w:rFonts w:ascii="GHEA Grapalat" w:hAnsi="GHEA Grapalat"/>
          <w:sz w:val="24"/>
          <w:szCs w:val="24"/>
          <w:lang w:val="hy-AM"/>
        </w:rPr>
        <w:t xml:space="preserve">իճակագրական </w:t>
      </w:r>
      <w:r w:rsidR="00C04548" w:rsidRPr="003B5CDE">
        <w:rPr>
          <w:rFonts w:ascii="GHEA Grapalat" w:hAnsi="GHEA Grapalat"/>
          <w:sz w:val="24"/>
          <w:szCs w:val="24"/>
          <w:lang w:val="hy-AM"/>
        </w:rPr>
        <w:t>կոմիտեն</w:t>
      </w:r>
      <w:r w:rsidRPr="003B5CDE">
        <w:rPr>
          <w:rFonts w:ascii="GHEA Grapalat" w:hAnsi="GHEA Grapalat"/>
          <w:sz w:val="24"/>
          <w:szCs w:val="24"/>
          <w:lang w:val="hy-AM"/>
        </w:rPr>
        <w:t xml:space="preserve"> մշակել է</w:t>
      </w:r>
      <w:r w:rsidRPr="003B5CDE">
        <w:rPr>
          <w:rFonts w:ascii="Courier New" w:hAnsi="Courier New" w:cs="Courier New"/>
          <w:sz w:val="24"/>
          <w:szCs w:val="24"/>
          <w:lang w:val="hy-AM"/>
        </w:rPr>
        <w:t>  </w:t>
      </w:r>
      <w:r w:rsidRPr="003B5CDE">
        <w:rPr>
          <w:rFonts w:ascii="GHEA Grapalat" w:hAnsi="GHEA Grapalat"/>
          <w:sz w:val="24"/>
          <w:szCs w:val="24"/>
          <w:lang w:val="hy-AM"/>
        </w:rPr>
        <w:t>հարթակ, որը գլոբալ ԿԶՆ ցուցանիշների համար ազգային վիճակագրության, մեթատվյալների և հարակից տեղեկատվության գործիք է:</w:t>
      </w:r>
    </w:p>
    <w:p w14:paraId="66194AC0" w14:textId="799896BD" w:rsidR="00FA44F1" w:rsidRPr="003B5CDE" w:rsidRDefault="00FA44F1" w:rsidP="00D6269C">
      <w:pPr>
        <w:spacing w:after="8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B5CDE">
        <w:rPr>
          <w:rFonts w:ascii="GHEA Grapalat" w:hAnsi="GHEA Grapalat"/>
          <w:sz w:val="24"/>
          <w:szCs w:val="24"/>
          <w:lang w:val="hy-AM"/>
        </w:rPr>
        <w:t>Նման հարթակի ձևավորումը հնարավորություն է ընձեռում ավելի առարկայական և չափելի ցուցանիշների միջոցով իրականացնելու պատրաստվածության գնահատման աշխատանքներ, բացահայտելու առկա խնդիրները</w:t>
      </w:r>
      <w:r w:rsidR="007E4F71" w:rsidRPr="00D45ED0">
        <w:rPr>
          <w:rFonts w:ascii="GHEA Grapalat" w:hAnsi="GHEA Grapalat"/>
          <w:sz w:val="24"/>
          <w:szCs w:val="24"/>
          <w:lang w:val="hy-AM"/>
        </w:rPr>
        <w:t xml:space="preserve"> </w:t>
      </w:r>
      <w:r w:rsidR="007E4F71" w:rsidRPr="00D00235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տնտեսման, ծախսային և նպատակային արդյունավետության</w:t>
      </w:r>
      <w:r w:rsidRPr="003B5CDE">
        <w:rPr>
          <w:rFonts w:ascii="GHEA Grapalat" w:hAnsi="GHEA Grapalat"/>
          <w:sz w:val="24"/>
          <w:szCs w:val="24"/>
          <w:lang w:val="hy-AM"/>
        </w:rPr>
        <w:t xml:space="preserve"> </w:t>
      </w:r>
      <w:r w:rsidR="007E4F71" w:rsidRPr="00D45ED0">
        <w:rPr>
          <w:rFonts w:ascii="GHEA Grapalat" w:hAnsi="GHEA Grapalat"/>
          <w:sz w:val="24"/>
          <w:szCs w:val="24"/>
          <w:lang w:val="hy-AM"/>
        </w:rPr>
        <w:t>(</w:t>
      </w:r>
      <w:r w:rsidRPr="003B5CDE">
        <w:rPr>
          <w:rFonts w:ascii="GHEA Grapalat" w:hAnsi="GHEA Grapalat"/>
          <w:sz w:val="24"/>
          <w:szCs w:val="24"/>
          <w:lang w:val="hy-AM"/>
        </w:rPr>
        <w:t>3E-երի</w:t>
      </w:r>
      <w:r w:rsidR="007E4F71" w:rsidRPr="00D45ED0">
        <w:rPr>
          <w:rFonts w:ascii="GHEA Grapalat" w:hAnsi="GHEA Grapalat"/>
          <w:sz w:val="24"/>
          <w:szCs w:val="24"/>
          <w:lang w:val="hy-AM"/>
        </w:rPr>
        <w:t>)</w:t>
      </w:r>
      <w:r w:rsidRPr="003B5CDE">
        <w:rPr>
          <w:rFonts w:ascii="GHEA Grapalat" w:hAnsi="GHEA Grapalat"/>
          <w:sz w:val="24"/>
          <w:szCs w:val="24"/>
          <w:lang w:val="hy-AM"/>
        </w:rPr>
        <w:t xml:space="preserve"> տեսանկյունից, ներկայացնելու խնդրո առարկային վերաբերող առաջարկություններ։</w:t>
      </w:r>
    </w:p>
    <w:p w14:paraId="0BC66D1B" w14:textId="14974662" w:rsidR="004067DB" w:rsidRPr="003B5CDE" w:rsidRDefault="00FA44F1" w:rsidP="00D6269C">
      <w:pPr>
        <w:spacing w:after="8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B5CDE">
        <w:rPr>
          <w:rFonts w:ascii="GHEA Grapalat" w:hAnsi="GHEA Grapalat"/>
          <w:sz w:val="24"/>
          <w:szCs w:val="24"/>
          <w:lang w:val="hy-AM"/>
        </w:rPr>
        <w:t>Սույն հաշվեքննությունը կարևորվում է նաև հաշվի առնելով միջազգային միտումները այս հիմնահարցի առնչությամբ, մասնավորապես՝</w:t>
      </w:r>
      <w:r w:rsidR="00340157" w:rsidRPr="003B5CDE">
        <w:rPr>
          <w:rFonts w:ascii="GHEA Grapalat" w:hAnsi="GHEA Grapalat"/>
          <w:sz w:val="24"/>
          <w:szCs w:val="24"/>
          <w:lang w:val="hy-AM"/>
        </w:rPr>
        <w:t xml:space="preserve"> INTOSAI IDI-ի ավելի քան 73 պետության հաշվեքննիչ մարմիններ իրականացրել են </w:t>
      </w:r>
      <w:r w:rsidR="006C2325" w:rsidRPr="003B5CDE">
        <w:rPr>
          <w:rFonts w:ascii="GHEA Grapalat" w:hAnsi="GHEA Grapalat"/>
          <w:sz w:val="24"/>
          <w:szCs w:val="24"/>
          <w:lang w:val="hy-AM"/>
        </w:rPr>
        <w:t>ԿԶՆ պատրաստվածության</w:t>
      </w:r>
      <w:r w:rsidR="00340157" w:rsidRPr="003B5CDE">
        <w:rPr>
          <w:rFonts w:ascii="GHEA Grapalat" w:hAnsi="GHEA Grapalat"/>
          <w:sz w:val="24"/>
          <w:szCs w:val="24"/>
          <w:lang w:val="hy-AM"/>
        </w:rPr>
        <w:t xml:space="preserve"> կատարողականի աուդիտներ՝ տրամադրելով ՄԱԿ-ի կայուն զարգացման համընդհանուր նպատակներին հասնելու երկրի համար կարևոր առաջարկություններ, որին ապագայում կհետևի դրա</w:t>
      </w:r>
      <w:r w:rsidRPr="003B5CDE">
        <w:rPr>
          <w:rFonts w:ascii="GHEA Grapalat" w:hAnsi="GHEA Grapalat"/>
          <w:sz w:val="24"/>
          <w:szCs w:val="24"/>
          <w:lang w:val="hy-AM"/>
        </w:rPr>
        <w:t>նց</w:t>
      </w:r>
      <w:r w:rsidR="00340157" w:rsidRPr="003B5CDE">
        <w:rPr>
          <w:rFonts w:ascii="GHEA Grapalat" w:hAnsi="GHEA Grapalat"/>
          <w:sz w:val="24"/>
          <w:szCs w:val="24"/>
          <w:lang w:val="hy-AM"/>
        </w:rPr>
        <w:t xml:space="preserve"> ներդրման աուդիտները:</w:t>
      </w:r>
    </w:p>
    <w:p w14:paraId="5D4BF1B0" w14:textId="08BB2D35" w:rsidR="00C04548" w:rsidRPr="003B5CDE" w:rsidRDefault="00C04548" w:rsidP="00D6269C">
      <w:pPr>
        <w:spacing w:after="8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B5CDE">
        <w:rPr>
          <w:rFonts w:ascii="GHEA Grapalat" w:hAnsi="GHEA Grapalat"/>
          <w:sz w:val="24"/>
          <w:szCs w:val="24"/>
          <w:lang w:val="hy-AM"/>
        </w:rPr>
        <w:t xml:space="preserve">ԿԶՆ-ները արտացոլված են նաև </w:t>
      </w:r>
      <w:r w:rsidRPr="003B5C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կառավարության 2021-2026թթ. գործունեության ծրագրում, մասնավորապես՝ հետևյալ գերակայությունների տեսքով</w:t>
      </w:r>
    </w:p>
    <w:p w14:paraId="0FC1F3D8" w14:textId="14FB097D" w:rsidR="00C04548" w:rsidRPr="003B5CDE" w:rsidRDefault="00C04548" w:rsidP="00D6269C">
      <w:pPr>
        <w:pStyle w:val="ListParagraph"/>
        <w:numPr>
          <w:ilvl w:val="0"/>
          <w:numId w:val="16"/>
        </w:numPr>
        <w:spacing w:after="80" w:line="276" w:lineRule="auto"/>
        <w:jc w:val="both"/>
        <w:rPr>
          <w:szCs w:val="24"/>
          <w:lang w:val="hy-AM"/>
        </w:rPr>
      </w:pPr>
      <w:r w:rsidRPr="003B5CDE">
        <w:rPr>
          <w:szCs w:val="24"/>
          <w:lang w:val="hy-AM"/>
        </w:rPr>
        <w:t>կանաչ տնտեսության զարգացում, որի շրջանակներում արձանագրված է, որ ածխածնի արտանետման ծավալների սահմանափակումը կենսական անհրաժեշտություն է Հայաստանի Հանրապետության տնտեսության կայուն զարգացման համար,</w:t>
      </w:r>
    </w:p>
    <w:p w14:paraId="7DA7BD8C" w14:textId="01B66979" w:rsidR="00C04548" w:rsidRPr="003B5CDE" w:rsidRDefault="00C04548" w:rsidP="00D6269C">
      <w:pPr>
        <w:pStyle w:val="ListParagraph"/>
        <w:numPr>
          <w:ilvl w:val="0"/>
          <w:numId w:val="16"/>
        </w:numPr>
        <w:spacing w:after="80" w:line="276" w:lineRule="auto"/>
        <w:jc w:val="both"/>
        <w:rPr>
          <w:szCs w:val="24"/>
          <w:lang w:val="hy-AM"/>
        </w:rPr>
      </w:pPr>
      <w:r w:rsidRPr="003B5CDE">
        <w:rPr>
          <w:szCs w:val="24"/>
          <w:lang w:val="hy-AM"/>
        </w:rPr>
        <w:t>բնական ռեսուրսների կայուն կառավարում, որի շրջանակներում նպատակադրված է ը</w:t>
      </w:r>
      <w:r w:rsidRPr="003B5CDE">
        <w:rPr>
          <w:rFonts w:cs="Sylfaen"/>
          <w:szCs w:val="24"/>
          <w:lang w:val="hy-AM"/>
        </w:rPr>
        <w:t>նդերքի</w:t>
      </w:r>
      <w:r w:rsidRPr="003B5CDE">
        <w:rPr>
          <w:szCs w:val="24"/>
          <w:lang w:val="hy-AM"/>
        </w:rPr>
        <w:t xml:space="preserve"> </w:t>
      </w:r>
      <w:r w:rsidRPr="003B5CDE">
        <w:rPr>
          <w:rFonts w:cs="Sylfaen"/>
          <w:szCs w:val="24"/>
          <w:lang w:val="hy-AM"/>
        </w:rPr>
        <w:t>ողջամիտ</w:t>
      </w:r>
      <w:r w:rsidRPr="003B5CDE">
        <w:rPr>
          <w:szCs w:val="24"/>
          <w:lang w:val="hy-AM"/>
        </w:rPr>
        <w:t xml:space="preserve"> </w:t>
      </w:r>
      <w:r w:rsidRPr="003B5CDE">
        <w:rPr>
          <w:rFonts w:cs="Sylfaen"/>
          <w:szCs w:val="24"/>
          <w:lang w:val="hy-AM"/>
        </w:rPr>
        <w:t>և</w:t>
      </w:r>
      <w:r w:rsidRPr="003B5CDE">
        <w:rPr>
          <w:szCs w:val="24"/>
          <w:lang w:val="hy-AM"/>
        </w:rPr>
        <w:t xml:space="preserve"> </w:t>
      </w:r>
      <w:r w:rsidRPr="003B5CDE">
        <w:rPr>
          <w:rFonts w:cs="Sylfaen"/>
          <w:szCs w:val="24"/>
          <w:lang w:val="hy-AM"/>
        </w:rPr>
        <w:t>համալիր</w:t>
      </w:r>
      <w:r w:rsidRPr="003B5CDE">
        <w:rPr>
          <w:szCs w:val="24"/>
          <w:lang w:val="hy-AM"/>
        </w:rPr>
        <w:t xml:space="preserve"> </w:t>
      </w:r>
      <w:r w:rsidRPr="003B5CDE">
        <w:rPr>
          <w:rFonts w:cs="Sylfaen"/>
          <w:szCs w:val="24"/>
          <w:lang w:val="hy-AM"/>
        </w:rPr>
        <w:t>օգտագործումն</w:t>
      </w:r>
      <w:r w:rsidRPr="003B5CDE">
        <w:rPr>
          <w:szCs w:val="24"/>
          <w:lang w:val="hy-AM"/>
        </w:rPr>
        <w:t xml:space="preserve"> </w:t>
      </w:r>
      <w:r w:rsidRPr="003B5CDE">
        <w:rPr>
          <w:rFonts w:cs="Sylfaen"/>
          <w:szCs w:val="24"/>
          <w:lang w:val="hy-AM"/>
        </w:rPr>
        <w:t>ապահովելը</w:t>
      </w:r>
      <w:r w:rsidRPr="003B5CDE">
        <w:rPr>
          <w:szCs w:val="24"/>
          <w:lang w:val="hy-AM"/>
        </w:rPr>
        <w:t xml:space="preserve">, </w:t>
      </w:r>
      <w:r w:rsidRPr="003B5CDE">
        <w:rPr>
          <w:rFonts w:cs="Sylfaen"/>
          <w:szCs w:val="24"/>
          <w:lang w:val="hy-AM"/>
        </w:rPr>
        <w:t>բնական</w:t>
      </w:r>
      <w:r w:rsidRPr="003B5CDE">
        <w:rPr>
          <w:szCs w:val="24"/>
          <w:lang w:val="hy-AM"/>
        </w:rPr>
        <w:t xml:space="preserve"> </w:t>
      </w:r>
      <w:r w:rsidRPr="003B5CDE">
        <w:rPr>
          <w:rFonts w:cs="Sylfaen"/>
          <w:szCs w:val="24"/>
          <w:lang w:val="hy-AM"/>
        </w:rPr>
        <w:t>պաշարների</w:t>
      </w:r>
      <w:r w:rsidRPr="003B5CDE">
        <w:rPr>
          <w:szCs w:val="24"/>
          <w:lang w:val="hy-AM"/>
        </w:rPr>
        <w:t xml:space="preserve"> </w:t>
      </w:r>
      <w:r w:rsidRPr="003B5CDE">
        <w:rPr>
          <w:rFonts w:cs="Sylfaen"/>
          <w:szCs w:val="24"/>
          <w:lang w:val="hy-AM"/>
        </w:rPr>
        <w:t>գերշահագործումը</w:t>
      </w:r>
      <w:r w:rsidRPr="003B5CDE">
        <w:rPr>
          <w:szCs w:val="24"/>
          <w:lang w:val="hy-AM"/>
        </w:rPr>
        <w:t xml:space="preserve"> </w:t>
      </w:r>
      <w:r w:rsidRPr="003B5CDE">
        <w:rPr>
          <w:rFonts w:cs="Sylfaen"/>
          <w:szCs w:val="24"/>
          <w:lang w:val="hy-AM"/>
        </w:rPr>
        <w:t>բացառելը,</w:t>
      </w:r>
    </w:p>
    <w:p w14:paraId="4CD6EF2D" w14:textId="445CCDE4" w:rsidR="00C04548" w:rsidRPr="003B5CDE" w:rsidRDefault="00C04548" w:rsidP="00D6269C">
      <w:pPr>
        <w:pStyle w:val="ListParagraph"/>
        <w:numPr>
          <w:ilvl w:val="0"/>
          <w:numId w:val="16"/>
        </w:numPr>
        <w:spacing w:after="80" w:line="276" w:lineRule="auto"/>
        <w:jc w:val="both"/>
        <w:rPr>
          <w:szCs w:val="24"/>
          <w:lang w:val="hy-AM"/>
        </w:rPr>
      </w:pPr>
      <w:r w:rsidRPr="003B5CDE">
        <w:rPr>
          <w:szCs w:val="24"/>
          <w:lang w:val="hy-AM"/>
        </w:rPr>
        <w:t xml:space="preserve">ճանապարհային ցանցի </w:t>
      </w:r>
      <w:r w:rsidR="001F1146" w:rsidRPr="003B5CDE">
        <w:rPr>
          <w:szCs w:val="24"/>
          <w:lang w:val="hy-AM"/>
        </w:rPr>
        <w:t xml:space="preserve">արդիականացումը՝ որպես </w:t>
      </w:r>
      <w:r w:rsidRPr="003B5CDE">
        <w:rPr>
          <w:szCs w:val="24"/>
          <w:lang w:val="hy-AM"/>
        </w:rPr>
        <w:t>համայնքների տնտեսական և սոցիալական կյանքի</w:t>
      </w:r>
      <w:r w:rsidR="001F1146" w:rsidRPr="003B5CDE">
        <w:rPr>
          <w:szCs w:val="24"/>
          <w:lang w:val="hy-AM"/>
        </w:rPr>
        <w:t xml:space="preserve"> </w:t>
      </w:r>
      <w:r w:rsidRPr="003B5CDE">
        <w:rPr>
          <w:szCs w:val="24"/>
          <w:lang w:val="hy-AM"/>
        </w:rPr>
        <w:t>կայուն զարգացման</w:t>
      </w:r>
      <w:r w:rsidR="001F1146" w:rsidRPr="003B5CDE">
        <w:rPr>
          <w:szCs w:val="24"/>
          <w:lang w:val="hy-AM"/>
        </w:rPr>
        <w:t xml:space="preserve"> խթան,</w:t>
      </w:r>
    </w:p>
    <w:p w14:paraId="37538FE0" w14:textId="0DDDDE86" w:rsidR="001F1146" w:rsidRPr="003B5CDE" w:rsidRDefault="001F1146" w:rsidP="00D6269C">
      <w:pPr>
        <w:pStyle w:val="ListParagraph"/>
        <w:numPr>
          <w:ilvl w:val="0"/>
          <w:numId w:val="16"/>
        </w:numPr>
        <w:spacing w:after="80" w:line="276" w:lineRule="auto"/>
        <w:jc w:val="both"/>
        <w:rPr>
          <w:szCs w:val="24"/>
          <w:lang w:val="hy-AM"/>
        </w:rPr>
      </w:pPr>
      <w:r w:rsidRPr="003B5CDE">
        <w:rPr>
          <w:szCs w:val="24"/>
          <w:lang w:val="hy-AM"/>
        </w:rPr>
        <w:t>բնակչությանը խմելու ջրի մատակարարման (ջրամատակարարման) ու ջրահեռացման (կեղտաջրերի մաքրման) և ոռոգման ջրի մատակարարման կայուն ծառայությունների ապահովումը,</w:t>
      </w:r>
    </w:p>
    <w:p w14:paraId="20E5D3FD" w14:textId="7D826953" w:rsidR="001F1146" w:rsidRPr="003B5CDE" w:rsidRDefault="001F1146" w:rsidP="00D6269C">
      <w:pPr>
        <w:pStyle w:val="ListParagraph"/>
        <w:numPr>
          <w:ilvl w:val="0"/>
          <w:numId w:val="16"/>
        </w:numPr>
        <w:spacing w:after="80" w:line="276" w:lineRule="auto"/>
        <w:jc w:val="both"/>
        <w:rPr>
          <w:szCs w:val="24"/>
          <w:lang w:val="hy-AM"/>
        </w:rPr>
      </w:pPr>
      <w:r w:rsidRPr="003B5CDE">
        <w:rPr>
          <w:szCs w:val="24"/>
          <w:lang w:val="hy-AM"/>
        </w:rPr>
        <w:t xml:space="preserve">Հայաստանի էներգետիկայի ոլորտի կայուն զարգացումը, որի գրավականներն են արձանագրված վերականգնվող էներգետիկ ներուժի </w:t>
      </w:r>
      <w:r w:rsidRPr="003B5CDE">
        <w:rPr>
          <w:szCs w:val="24"/>
          <w:lang w:val="hy-AM"/>
        </w:rPr>
        <w:lastRenderedPageBreak/>
        <w:t>տնտեսապես հիմնավորված, արդյունավետ և պատասխանատու օգտագործումը, ատոմային էներգետիկայի խաղաղ նպատակներով զարգացումը, էլեկտրաէներգետիկական համակարգի տարածաշրջանային ինտեգրումը, էներգակիրների մատակարարման ուղիների և ձևերի տարատեսակումը, էներգաարդյունավետության և էներգախնայողության միջոցառումների ներդրումը, թվային էներգետիկայի վերափոխումը,</w:t>
      </w:r>
    </w:p>
    <w:p w14:paraId="13AE62FF" w14:textId="412E5E43" w:rsidR="001F1146" w:rsidRPr="003B5CDE" w:rsidRDefault="001F1146" w:rsidP="00D6269C">
      <w:pPr>
        <w:pStyle w:val="ListParagraph"/>
        <w:numPr>
          <w:ilvl w:val="0"/>
          <w:numId w:val="16"/>
        </w:numPr>
        <w:spacing w:after="80" w:line="276" w:lineRule="auto"/>
        <w:jc w:val="both"/>
        <w:rPr>
          <w:szCs w:val="24"/>
          <w:lang w:val="hy-AM"/>
        </w:rPr>
      </w:pPr>
      <w:r w:rsidRPr="003B5CDE">
        <w:rPr>
          <w:szCs w:val="24"/>
          <w:lang w:val="hy-AM"/>
        </w:rPr>
        <w:t>կրթության և գիտության զարգացումը, որպես կայուն ու ներառական զարգացման նախադրյալ և այլն:</w:t>
      </w:r>
    </w:p>
    <w:p w14:paraId="776E5A70" w14:textId="77777777" w:rsidR="00511362" w:rsidRPr="003B5CDE" w:rsidRDefault="00511362" w:rsidP="00D6269C">
      <w:pPr>
        <w:spacing w:after="80" w:line="276" w:lineRule="auto"/>
        <w:ind w:firstLine="567"/>
        <w:rPr>
          <w:rFonts w:ascii="GHEA Grapalat" w:hAnsi="GHEA Grapalat"/>
          <w:b/>
          <w:sz w:val="24"/>
          <w:szCs w:val="24"/>
          <w:lang w:val="hy-AM"/>
        </w:rPr>
      </w:pPr>
    </w:p>
    <w:p w14:paraId="4EB2E1E7" w14:textId="35DF898D" w:rsidR="00E51507" w:rsidRPr="003B5CDE" w:rsidRDefault="00617DEE" w:rsidP="003B5CDE">
      <w:pPr>
        <w:spacing w:after="80" w:line="276" w:lineRule="auto"/>
        <w:ind w:left="720"/>
        <w:rPr>
          <w:rFonts w:ascii="GHEA Grapalat" w:hAnsi="GHEA Grapalat" w:cs="Times New Roman"/>
          <w:b/>
          <w:sz w:val="24"/>
          <w:szCs w:val="24"/>
          <w:u w:val="single"/>
          <w:lang w:val="hy-AM"/>
        </w:rPr>
      </w:pPr>
      <w:r w:rsidRPr="003B5CDE">
        <w:rPr>
          <w:rFonts w:ascii="GHEA Grapalat" w:hAnsi="GHEA Grapalat" w:cs="Sylfaen"/>
          <w:b/>
          <w:sz w:val="24"/>
          <w:szCs w:val="24"/>
          <w:u w:val="single"/>
          <w:lang w:val="hy-AM"/>
        </w:rPr>
        <w:t>Պետական</w:t>
      </w:r>
      <w:r w:rsidRPr="003B5CDE">
        <w:rPr>
          <w:rFonts w:ascii="GHEA Grapalat" w:hAnsi="GHEA Grapalat" w:cs="Times New Roman"/>
          <w:b/>
          <w:sz w:val="24"/>
          <w:szCs w:val="24"/>
          <w:u w:val="single"/>
          <w:lang w:val="hy-AM"/>
        </w:rPr>
        <w:t xml:space="preserve"> </w:t>
      </w:r>
      <w:r w:rsidRPr="003B5CDE">
        <w:rPr>
          <w:rFonts w:ascii="GHEA Grapalat" w:hAnsi="GHEA Grapalat" w:cs="Sylfaen"/>
          <w:b/>
          <w:sz w:val="24"/>
          <w:szCs w:val="24"/>
          <w:u w:val="single"/>
          <w:lang w:val="hy-AM"/>
        </w:rPr>
        <w:t>եկամուտների</w:t>
      </w:r>
      <w:r w:rsidRPr="003B5CDE">
        <w:rPr>
          <w:rFonts w:ascii="GHEA Grapalat" w:hAnsi="GHEA Grapalat" w:cs="Times New Roman"/>
          <w:b/>
          <w:sz w:val="24"/>
          <w:szCs w:val="24"/>
          <w:u w:val="single"/>
          <w:lang w:val="hy-AM"/>
        </w:rPr>
        <w:t xml:space="preserve"> </w:t>
      </w:r>
      <w:r w:rsidRPr="003B5CDE">
        <w:rPr>
          <w:rFonts w:ascii="GHEA Grapalat" w:hAnsi="GHEA Grapalat" w:cs="Sylfaen"/>
          <w:b/>
          <w:sz w:val="24"/>
          <w:szCs w:val="24"/>
          <w:u w:val="single"/>
          <w:lang w:val="hy-AM"/>
        </w:rPr>
        <w:t>հավաքագրում</w:t>
      </w:r>
    </w:p>
    <w:p w14:paraId="66BDCEB6" w14:textId="2AD66723" w:rsidR="00617DEE" w:rsidRPr="003B5CDE" w:rsidRDefault="00617DEE" w:rsidP="00576690">
      <w:pPr>
        <w:spacing w:after="80" w:line="276" w:lineRule="auto"/>
        <w:ind w:left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B5CDE">
        <w:rPr>
          <w:rFonts w:ascii="GHEA Grapalat" w:hAnsi="GHEA Grapalat"/>
          <w:b/>
          <w:sz w:val="24"/>
          <w:szCs w:val="24"/>
          <w:lang w:val="hy-AM"/>
        </w:rPr>
        <w:t>Էլեկտրոնային առևտրի և ծառայությունների մատուցման հարկման գործընթաց (ՀՀ պետական եկամուտների կոմիտե)</w:t>
      </w:r>
    </w:p>
    <w:p w14:paraId="666A1174" w14:textId="0805352B" w:rsidR="00617DEE" w:rsidRPr="003B5CDE" w:rsidRDefault="00BA07D4" w:rsidP="00D6269C">
      <w:pPr>
        <w:autoSpaceDE w:val="0"/>
        <w:autoSpaceDN w:val="0"/>
        <w:adjustRightInd w:val="0"/>
        <w:spacing w:after="8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B5C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Հարկաբյուջետային քաղաքականության հիմնական ուղղություններից մեկը, համաձայն ՀՀ կառավարության 2021-2026թթ. գործունեության ծրագրի, վերաբերում է հարկային եկամուտների ընդլայնման</w:t>
      </w:r>
      <w:r w:rsidR="00092B96" w:rsidRPr="003B5C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</w:t>
      </w:r>
      <w:r w:rsidR="005600D0" w:rsidRPr="003B5C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որը</w:t>
      </w:r>
      <w:r w:rsidR="00092B96" w:rsidRPr="003B5C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B2732" w:rsidRPr="003B5C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հանրային ռեսուրսների կառավարման արդյունավետության ու հասցեականության բարձրացման և այդ ռեսուրսների՝ հանրօգուտ ու համապետական նշանակություն ունեցող ծրագրերի վրա ծախսման գործընթացների ապահովման հիմնական ուղղություններից է։</w:t>
      </w:r>
      <w:r w:rsidR="005600D0" w:rsidRPr="003B5C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14:paraId="4AD571EF" w14:textId="2005857B" w:rsidR="005600D0" w:rsidRPr="003B5CDE" w:rsidRDefault="005600D0" w:rsidP="00D6269C">
      <w:pPr>
        <w:autoSpaceDE w:val="0"/>
        <w:autoSpaceDN w:val="0"/>
        <w:adjustRightInd w:val="0"/>
        <w:spacing w:after="8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B5CDE">
        <w:rPr>
          <w:rFonts w:ascii="GHEA Grapalat" w:hAnsi="GHEA Grapalat"/>
          <w:sz w:val="24"/>
          <w:szCs w:val="24"/>
          <w:lang w:val="hy-AM"/>
        </w:rPr>
        <w:t xml:space="preserve">Ներկայումս թվային գործառնությունների ծավալի արագընթաց աճը ռիսկեր է ստեղծում էլեկտրոնային առևտրի և ծառայությունների հարկման առումով։ Ուստի, հաշվի առնելով կանխիկի </w:t>
      </w:r>
      <w:r w:rsidR="001F1146" w:rsidRPr="003B5CDE">
        <w:rPr>
          <w:rFonts w:ascii="GHEA Grapalat" w:hAnsi="GHEA Grapalat"/>
          <w:sz w:val="24"/>
          <w:szCs w:val="24"/>
          <w:lang w:val="hy-AM"/>
        </w:rPr>
        <w:t>սահմանափակմանն</w:t>
      </w:r>
      <w:r w:rsidRPr="003B5CDE">
        <w:rPr>
          <w:rFonts w:ascii="GHEA Grapalat" w:hAnsi="GHEA Grapalat"/>
          <w:sz w:val="24"/>
          <w:szCs w:val="24"/>
          <w:lang w:val="hy-AM"/>
        </w:rPr>
        <w:t xml:space="preserve"> ուղղված քաղաքականությունը՝ հնարավորություն է ստեղծվել գնահատելու հարկման գործընթացի պատրաստվածությունը իրականացվող փոփոխություններին, վեր հանելու տնտեսմանը, նպատակային և ծախսային արդյունավետությանն առնչվող հիմնախնդիրները սույն գործընթացում, ներկայացնելու բարելավմանն ուղղված առաջարկություններ։</w:t>
      </w:r>
    </w:p>
    <w:p w14:paraId="3435B751" w14:textId="1B2A9422" w:rsidR="004067DB" w:rsidRPr="003B5CDE" w:rsidRDefault="004067DB" w:rsidP="00D6269C">
      <w:pPr>
        <w:spacing w:after="80" w:line="276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066C30C4" w14:textId="44D86347" w:rsidR="00617DEE" w:rsidRPr="00082996" w:rsidRDefault="00617DEE" w:rsidP="003B5CDE">
      <w:pPr>
        <w:spacing w:after="80" w:line="276" w:lineRule="auto"/>
        <w:ind w:left="720"/>
        <w:rPr>
          <w:rFonts w:ascii="GHEA Grapalat" w:hAnsi="GHEA Grapalat"/>
          <w:b/>
          <w:sz w:val="24"/>
          <w:szCs w:val="24"/>
          <w:lang w:val="hy-AM"/>
        </w:rPr>
      </w:pPr>
      <w:r w:rsidRPr="003B5CDE">
        <w:rPr>
          <w:rFonts w:ascii="GHEA Grapalat" w:hAnsi="GHEA Grapalat" w:cs="Sylfaen"/>
          <w:b/>
          <w:sz w:val="24"/>
          <w:szCs w:val="24"/>
          <w:u w:val="single"/>
          <w:lang w:val="hy-AM"/>
        </w:rPr>
        <w:t>Պաշտպանություն</w:t>
      </w:r>
    </w:p>
    <w:p w14:paraId="73101BD1" w14:textId="352FA4B6" w:rsidR="00617DEE" w:rsidRPr="003B5CDE" w:rsidRDefault="00617DEE" w:rsidP="00576690">
      <w:pPr>
        <w:spacing w:after="80" w:line="276" w:lineRule="auto"/>
        <w:ind w:left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B5CDE">
        <w:rPr>
          <w:rFonts w:ascii="GHEA Grapalat" w:hAnsi="GHEA Grapalat"/>
          <w:b/>
          <w:sz w:val="24"/>
          <w:szCs w:val="24"/>
          <w:lang w:val="hy-AM"/>
        </w:rPr>
        <w:t>Սեյսմիկ պաշտպանության գործընթաց (ՀՀ արտակարգ իրավիճակների նախարարություն)</w:t>
      </w:r>
    </w:p>
    <w:p w14:paraId="3E896973" w14:textId="715A3EE8" w:rsidR="00617DEE" w:rsidRPr="003B5CDE" w:rsidRDefault="003556BF" w:rsidP="00D6269C">
      <w:pPr>
        <w:spacing w:after="8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B5C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2021-2026թթ. գործունեության ծրագրով անվտանգության և արտաքին քաղաքականության </w:t>
      </w:r>
      <w:r w:rsidR="004A0B39" w:rsidRPr="003B5C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բնագավառում</w:t>
      </w:r>
      <w:r w:rsidRPr="003B5C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A0B39" w:rsidRPr="003B5C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առանցքային</w:t>
      </w:r>
      <w:r w:rsidRPr="003B5C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 աղետներին դիմակայունության բարձրացման </w:t>
      </w:r>
      <w:r w:rsidR="004A0B39" w:rsidRPr="003B5C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նշանակությունը</w:t>
      </w:r>
      <w:r w:rsidRPr="003B5C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: </w:t>
      </w:r>
      <w:r w:rsidR="004A0B39" w:rsidRPr="003B5C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Հաշվի առնելով </w:t>
      </w:r>
      <w:r w:rsidR="004A0B39" w:rsidRPr="003B5CDE">
        <w:rPr>
          <w:rFonts w:ascii="GHEA Grapalat" w:hAnsi="GHEA Grapalat"/>
          <w:sz w:val="24"/>
          <w:szCs w:val="24"/>
          <w:lang w:val="hy-AM"/>
        </w:rPr>
        <w:t>ՀՀ-ի ակտիվ սեյսմիկ գոտում գտնվելու փաստը՝ այդ</w:t>
      </w:r>
      <w:r w:rsidR="00CC1E4B" w:rsidRPr="003B5C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համատեքստում </w:t>
      </w:r>
      <w:r w:rsidR="004A0B39" w:rsidRPr="003B5C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կարևորվում են</w:t>
      </w:r>
      <w:r w:rsidR="00CC1E4B" w:rsidRPr="003B5C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սեյսմիկ պաշտպանության, հետևաբար և սեյսմիկ ռիսկի նվազեցման հիմնահարց</w:t>
      </w:r>
      <w:r w:rsidR="004A0B39" w:rsidRPr="003B5C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եր</w:t>
      </w:r>
      <w:r w:rsidR="00CC1E4B" w:rsidRPr="003B5C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ը։ Սույն հիմնահարց</w:t>
      </w:r>
      <w:r w:rsidR="004A0B39" w:rsidRPr="003B5C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եր</w:t>
      </w:r>
      <w:r w:rsidR="00CC1E4B" w:rsidRPr="003B5C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ի առնչությամբ ձեռնարկվել են մի շարք միջոցառումներ, </w:t>
      </w:r>
      <w:r w:rsidR="00A50D29" w:rsidRPr="003B5C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այդ թվում</w:t>
      </w:r>
      <w:r w:rsidR="00CC1E4B" w:rsidRPr="003B5C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 «Սեյսմիկ պաշտպանության տարածքային ծառայություն» ՊՈԱ</w:t>
      </w:r>
      <w:r w:rsidR="00CC1E4B" w:rsidRPr="003B5CDE">
        <w:rPr>
          <w:rFonts w:ascii="GHEA Grapalat" w:eastAsia="Times New Roman" w:hAnsi="GHEA Grapalat" w:cs="Times New Roman"/>
          <w:smallCaps/>
          <w:sz w:val="24"/>
          <w:szCs w:val="24"/>
          <w:lang w:val="hy-AM" w:eastAsia="ru-RU"/>
        </w:rPr>
        <w:t>Կ</w:t>
      </w:r>
      <w:r w:rsidR="00CC1E4B" w:rsidRPr="003B5C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-ի հիմնում</w:t>
      </w:r>
      <w:r w:rsidR="00CC1E4B" w:rsidRPr="003B5CDE">
        <w:rPr>
          <w:rFonts w:ascii="GHEA Grapalat" w:eastAsia="Times New Roman" w:hAnsi="GHEA Grapalat" w:cs="Times New Roman"/>
          <w:smallCaps/>
          <w:sz w:val="24"/>
          <w:szCs w:val="24"/>
          <w:lang w:val="hy-AM" w:eastAsia="ru-RU"/>
        </w:rPr>
        <w:t xml:space="preserve"> (</w:t>
      </w:r>
      <w:r w:rsidR="00CC1E4B" w:rsidRPr="003B5C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1991թ.), Երևանի տարածքում սեյսմիկ ռիսկ</w:t>
      </w:r>
      <w:r w:rsidR="00A50D29" w:rsidRPr="003B5C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ի նվազեցման համալիր ծրագրի հաստատում (ՀՀ </w:t>
      </w:r>
      <w:r w:rsidR="00A50D29" w:rsidRPr="003B5C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կառավարության 07/06/1999թ. թիվ 392 որոշում), ՀՀ տարածքում սեյսմիկ ռիսկի նվազեցման համալիր ծրագրի հաստատում (ՀՀ կառավարության 10/06/1999թ. թիվ 429 որոշում): </w:t>
      </w:r>
    </w:p>
    <w:p w14:paraId="2CF34253" w14:textId="2FAAAE74" w:rsidR="004A1695" w:rsidRPr="00D45ED0" w:rsidRDefault="009A3779" w:rsidP="006D3EDC">
      <w:pPr>
        <w:spacing w:after="8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C77B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նախագահի 2010թ. օգոստոսի 28-ի թիվ </w:t>
      </w:r>
      <w:r w:rsidRPr="002F21D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ՆԿ-140-Ն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A377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կարգադրությամբ հաստատված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Pr="009A377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 Հանրապետության սեյսմիկ անվտանգության համակարգի զարգացման հայեցակարգ</w:t>
      </w:r>
      <w:r w:rsidRPr="00D45ED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Pr="00D45ED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համաձայն՝ </w:t>
      </w:r>
      <w:r w:rsidR="009E5C87" w:rsidRPr="009E5C8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 ողջ տարածքը գտնվում է սեյսմիկ ակտիվ գոտում</w:t>
      </w:r>
      <w:r w:rsidR="00EF6512" w:rsidRPr="00D45ED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ընդ որում, մ</w:t>
      </w:r>
      <w:r w:rsidR="00EF6512" w:rsidRPr="00EF65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իայն 20-րդ դարում Հայաստանում տեղի են ունեցել 8-10 բալ ուժգնությամբ չորս</w:t>
      </w:r>
      <w:r w:rsidR="00925915" w:rsidRPr="00D45ED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երկրաշարժ</w:t>
      </w:r>
      <w:r w:rsidR="006A0B2D" w:rsidRPr="00D45ED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որից վերջինի՝</w:t>
      </w:r>
      <w:r w:rsidR="00925915" w:rsidRPr="00D45ED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A0B2D" w:rsidRPr="00D45ED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Սպիտակի 1988թ. ավերիչ երկրաշարժի հետևանքով զոհվեց ավելի քան 25 հազար մարդ, 15 հազարը դարձավ հաշմանդամ, 500 հազարը մնաց անօթևան, իսկ պատճառված վնասը կազմեց մոտ 12 միլիարդ ԱՄՆ դոլար</w:t>
      </w:r>
      <w:r w:rsidR="00D52F48" w:rsidRPr="00D45ED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: </w:t>
      </w:r>
      <w:r w:rsidR="00596E08" w:rsidRPr="00D45ED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Ներկայումս</w:t>
      </w:r>
      <w:r w:rsidR="00994CA4" w:rsidRPr="005344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EF6B7A" w:rsidRPr="00D45ED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Հայաստանում </w:t>
      </w:r>
      <w:r w:rsidR="00EF6B7A" w:rsidRPr="00EF6B7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շենքերն ու շինությունները հիմնականում կառուցված են 7-8 բալ հաշվարկային սեյսմակայունությամբ, որն ավելի ցածր է, քա</w:t>
      </w:r>
      <w:r w:rsidR="00D22B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 առկա սեյսմիկ վտանգի մակարդակը</w:t>
      </w:r>
      <w:r w:rsidR="00D22B93" w:rsidRPr="00D45ED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14:paraId="2E2C301C" w14:textId="4188629D" w:rsidR="00B44465" w:rsidRPr="00D45ED0" w:rsidRDefault="00B44465" w:rsidP="006D3EDC">
      <w:pPr>
        <w:spacing w:after="80" w:line="276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B5C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Առանձնապես   բարձր  ռիսկի  գոտում   է   գտնվում   Երևանի   տարածքի   15%-ը կամ   բնակչության   26%-ը։   Ըստ   այդմ՝   Երևանի   տարածքում   սեյսմիկ   ռիսկի նվազեցումն ազգային անվտանգության հիմնախնդիր է։ Էական կարևորություն ունի նաև կրիտիկական ֆիզիկական   ենթակառուցվածքների</w:t>
      </w:r>
      <w:r w:rsidR="00FB06A4" w:rsidRPr="003B5C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3B5C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սեյսմադիմացկունությունը։  Հատկանշական   է   նաև,   որ  Աղետների</w:t>
      </w:r>
      <w:r w:rsidR="00FB06A4" w:rsidRPr="003B5C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3B5C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կառավարման աուդիտը SAI-ների առանձնահատուկ ուշադրության առարկա</w:t>
      </w:r>
      <w:r w:rsidR="00FB06A4" w:rsidRPr="003B5C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3B5C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է, ինչով պայմանավորված INTOSAI-ն նախագծել է ISSAI GUID 5330 (Guidelines</w:t>
      </w:r>
      <w:r w:rsidR="00FB06A4" w:rsidRPr="003B5C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3B5C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on   Audit   of   Disaster   Management)   ուղեցույցը,   որը   թույլ   կտա   Հաշվեքննիչ</w:t>
      </w:r>
      <w:r w:rsidR="00FB06A4" w:rsidRPr="003B5C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3B5C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պալատին   տվյալ   թեմայով   պլանավորել   և   իրականացնել   միջազգային</w:t>
      </w:r>
      <w:r w:rsidR="00FB06A4" w:rsidRPr="003B5C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3B5C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լավագույն փորձին համահունչ</w:t>
      </w:r>
      <w:r w:rsidRPr="00C1416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աուդիտ</w:t>
      </w:r>
      <w:r w:rsidR="00FB06A4" w:rsidRPr="00C1416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14:paraId="10078A81" w14:textId="77777777" w:rsidR="00FC222F" w:rsidRPr="00D45ED0" w:rsidRDefault="00FC222F" w:rsidP="00D6269C">
      <w:pPr>
        <w:spacing w:after="8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53A57982" w14:textId="77777777" w:rsidR="009E5670" w:rsidRPr="00D45ED0" w:rsidRDefault="009E5670" w:rsidP="00D6269C">
      <w:pPr>
        <w:spacing w:after="8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29276263" w14:textId="77777777" w:rsidR="006E3458" w:rsidRDefault="006E3458" w:rsidP="006E3458">
      <w:pPr>
        <w:tabs>
          <w:tab w:val="left" w:pos="2043"/>
        </w:tabs>
        <w:spacing w:after="0" w:line="240" w:lineRule="auto"/>
        <w:jc w:val="right"/>
        <w:rPr>
          <w:rFonts w:ascii="GHEA Grapalat" w:hAnsi="GHEA Grapalat"/>
          <w:color w:val="2F5496" w:themeColor="accent1" w:themeShade="BF"/>
          <w:sz w:val="20"/>
          <w:szCs w:val="20"/>
        </w:rPr>
      </w:pPr>
    </w:p>
    <w:p w14:paraId="66F6477B" w14:textId="77777777" w:rsidR="006E3458" w:rsidRDefault="006E3458" w:rsidP="006E3458">
      <w:pPr>
        <w:tabs>
          <w:tab w:val="left" w:pos="2043"/>
        </w:tabs>
        <w:spacing w:after="0" w:line="240" w:lineRule="auto"/>
        <w:jc w:val="right"/>
        <w:rPr>
          <w:rFonts w:ascii="GHEA Grapalat" w:hAnsi="GHEA Grapalat"/>
          <w:color w:val="2F5496" w:themeColor="accent1" w:themeShade="BF"/>
          <w:sz w:val="20"/>
          <w:szCs w:val="20"/>
        </w:rPr>
      </w:pPr>
    </w:p>
    <w:p w14:paraId="11211985" w14:textId="77777777" w:rsidR="006E3458" w:rsidRDefault="006E3458" w:rsidP="006E3458">
      <w:pPr>
        <w:tabs>
          <w:tab w:val="left" w:pos="2043"/>
        </w:tabs>
        <w:spacing w:after="0" w:line="240" w:lineRule="auto"/>
        <w:jc w:val="right"/>
        <w:rPr>
          <w:rFonts w:ascii="GHEA Grapalat" w:hAnsi="GHEA Grapalat"/>
          <w:color w:val="2F5496" w:themeColor="accent1" w:themeShade="BF"/>
          <w:sz w:val="20"/>
          <w:szCs w:val="20"/>
        </w:rPr>
      </w:pPr>
    </w:p>
    <w:p w14:paraId="3DDCC302" w14:textId="77777777" w:rsidR="006E3458" w:rsidRDefault="006E3458" w:rsidP="006E3458">
      <w:pPr>
        <w:tabs>
          <w:tab w:val="left" w:pos="2043"/>
        </w:tabs>
        <w:spacing w:after="0" w:line="240" w:lineRule="auto"/>
        <w:jc w:val="right"/>
        <w:rPr>
          <w:rFonts w:ascii="GHEA Grapalat" w:hAnsi="GHEA Grapalat"/>
          <w:color w:val="2F5496" w:themeColor="accent1" w:themeShade="BF"/>
          <w:sz w:val="20"/>
          <w:szCs w:val="20"/>
        </w:rPr>
      </w:pPr>
    </w:p>
    <w:p w14:paraId="5931E656" w14:textId="77777777" w:rsidR="006E3458" w:rsidRDefault="006E3458" w:rsidP="006E3458">
      <w:pPr>
        <w:tabs>
          <w:tab w:val="left" w:pos="2043"/>
        </w:tabs>
        <w:spacing w:after="0" w:line="240" w:lineRule="auto"/>
        <w:jc w:val="right"/>
        <w:rPr>
          <w:rFonts w:ascii="GHEA Grapalat" w:hAnsi="GHEA Grapalat"/>
          <w:color w:val="2F5496" w:themeColor="accent1" w:themeShade="BF"/>
          <w:sz w:val="20"/>
          <w:szCs w:val="20"/>
        </w:rPr>
      </w:pPr>
    </w:p>
    <w:p w14:paraId="6A5E5D70" w14:textId="77777777" w:rsidR="006E3458" w:rsidRDefault="006E3458" w:rsidP="006E3458">
      <w:pPr>
        <w:tabs>
          <w:tab w:val="left" w:pos="2043"/>
        </w:tabs>
        <w:spacing w:after="0" w:line="240" w:lineRule="auto"/>
        <w:jc w:val="right"/>
        <w:rPr>
          <w:rFonts w:ascii="GHEA Grapalat" w:hAnsi="GHEA Grapalat"/>
          <w:color w:val="2F5496" w:themeColor="accent1" w:themeShade="BF"/>
          <w:sz w:val="20"/>
          <w:szCs w:val="20"/>
        </w:rPr>
      </w:pPr>
    </w:p>
    <w:p w14:paraId="4133769E" w14:textId="77777777" w:rsidR="006E3458" w:rsidRDefault="006E3458" w:rsidP="006E3458">
      <w:pPr>
        <w:tabs>
          <w:tab w:val="left" w:pos="2043"/>
        </w:tabs>
        <w:spacing w:after="0" w:line="240" w:lineRule="auto"/>
        <w:jc w:val="right"/>
        <w:rPr>
          <w:rFonts w:ascii="GHEA Grapalat" w:hAnsi="GHEA Grapalat"/>
          <w:color w:val="2F5496" w:themeColor="accent1" w:themeShade="BF"/>
          <w:sz w:val="20"/>
          <w:szCs w:val="20"/>
        </w:rPr>
      </w:pPr>
    </w:p>
    <w:p w14:paraId="6E5A5892" w14:textId="77777777" w:rsidR="006E3458" w:rsidRDefault="006E3458" w:rsidP="006E3458">
      <w:pPr>
        <w:tabs>
          <w:tab w:val="left" w:pos="2043"/>
        </w:tabs>
        <w:spacing w:after="0" w:line="240" w:lineRule="auto"/>
        <w:jc w:val="right"/>
        <w:rPr>
          <w:rFonts w:ascii="GHEA Grapalat" w:hAnsi="GHEA Grapalat"/>
          <w:color w:val="2F5496" w:themeColor="accent1" w:themeShade="BF"/>
          <w:sz w:val="20"/>
          <w:szCs w:val="20"/>
        </w:rPr>
      </w:pPr>
    </w:p>
    <w:p w14:paraId="1B04DCB1" w14:textId="77777777" w:rsidR="006E3458" w:rsidRDefault="006E3458" w:rsidP="006E3458">
      <w:pPr>
        <w:tabs>
          <w:tab w:val="left" w:pos="2043"/>
        </w:tabs>
        <w:spacing w:after="0" w:line="240" w:lineRule="auto"/>
        <w:jc w:val="right"/>
        <w:rPr>
          <w:rFonts w:ascii="GHEA Grapalat" w:hAnsi="GHEA Grapalat"/>
          <w:color w:val="2F5496" w:themeColor="accent1" w:themeShade="BF"/>
          <w:sz w:val="20"/>
          <w:szCs w:val="20"/>
        </w:rPr>
      </w:pPr>
    </w:p>
    <w:p w14:paraId="24932B53" w14:textId="77777777" w:rsidR="006E3458" w:rsidRDefault="006E3458" w:rsidP="006E3458">
      <w:pPr>
        <w:tabs>
          <w:tab w:val="left" w:pos="2043"/>
        </w:tabs>
        <w:spacing w:after="0" w:line="240" w:lineRule="auto"/>
        <w:jc w:val="right"/>
        <w:rPr>
          <w:rFonts w:ascii="GHEA Grapalat" w:hAnsi="GHEA Grapalat"/>
          <w:color w:val="2F5496" w:themeColor="accent1" w:themeShade="BF"/>
          <w:sz w:val="20"/>
          <w:szCs w:val="20"/>
        </w:rPr>
      </w:pPr>
    </w:p>
    <w:p w14:paraId="3CF1CB65" w14:textId="77777777" w:rsidR="006E3458" w:rsidRDefault="006E3458" w:rsidP="006E3458">
      <w:pPr>
        <w:tabs>
          <w:tab w:val="left" w:pos="2043"/>
        </w:tabs>
        <w:spacing w:after="0" w:line="240" w:lineRule="auto"/>
        <w:jc w:val="right"/>
        <w:rPr>
          <w:rFonts w:ascii="GHEA Grapalat" w:hAnsi="GHEA Grapalat"/>
          <w:color w:val="2F5496" w:themeColor="accent1" w:themeShade="BF"/>
          <w:sz w:val="20"/>
          <w:szCs w:val="20"/>
        </w:rPr>
      </w:pPr>
    </w:p>
    <w:p w14:paraId="2314BD08" w14:textId="77777777" w:rsidR="006E3458" w:rsidRDefault="006E3458" w:rsidP="006E3458">
      <w:pPr>
        <w:tabs>
          <w:tab w:val="left" w:pos="2043"/>
        </w:tabs>
        <w:spacing w:after="0" w:line="240" w:lineRule="auto"/>
        <w:jc w:val="right"/>
        <w:rPr>
          <w:rFonts w:ascii="GHEA Grapalat" w:hAnsi="GHEA Grapalat"/>
          <w:color w:val="2F5496" w:themeColor="accent1" w:themeShade="BF"/>
          <w:sz w:val="20"/>
          <w:szCs w:val="20"/>
        </w:rPr>
      </w:pPr>
    </w:p>
    <w:p w14:paraId="6DA49F7D" w14:textId="77777777" w:rsidR="006E3458" w:rsidRDefault="006E3458" w:rsidP="006E3458">
      <w:pPr>
        <w:tabs>
          <w:tab w:val="left" w:pos="2043"/>
        </w:tabs>
        <w:spacing w:after="0" w:line="240" w:lineRule="auto"/>
        <w:jc w:val="right"/>
        <w:rPr>
          <w:rFonts w:ascii="GHEA Grapalat" w:hAnsi="GHEA Grapalat"/>
          <w:color w:val="2F5496" w:themeColor="accent1" w:themeShade="BF"/>
          <w:sz w:val="20"/>
          <w:szCs w:val="20"/>
        </w:rPr>
      </w:pPr>
    </w:p>
    <w:p w14:paraId="5F877877" w14:textId="77777777" w:rsidR="006E3458" w:rsidRDefault="006E3458" w:rsidP="006E3458">
      <w:pPr>
        <w:tabs>
          <w:tab w:val="left" w:pos="2043"/>
        </w:tabs>
        <w:spacing w:after="0" w:line="240" w:lineRule="auto"/>
        <w:jc w:val="right"/>
        <w:rPr>
          <w:rFonts w:ascii="GHEA Grapalat" w:hAnsi="GHEA Grapalat"/>
          <w:color w:val="2F5496" w:themeColor="accent1" w:themeShade="BF"/>
          <w:sz w:val="20"/>
          <w:szCs w:val="20"/>
        </w:rPr>
      </w:pPr>
    </w:p>
    <w:p w14:paraId="6B256962" w14:textId="77777777" w:rsidR="006E3458" w:rsidRDefault="006E3458" w:rsidP="006E3458">
      <w:pPr>
        <w:tabs>
          <w:tab w:val="left" w:pos="2043"/>
        </w:tabs>
        <w:spacing w:after="0" w:line="240" w:lineRule="auto"/>
        <w:jc w:val="right"/>
        <w:rPr>
          <w:rFonts w:ascii="GHEA Grapalat" w:hAnsi="GHEA Grapalat"/>
          <w:color w:val="2F5496" w:themeColor="accent1" w:themeShade="BF"/>
          <w:sz w:val="20"/>
          <w:szCs w:val="20"/>
        </w:rPr>
      </w:pPr>
    </w:p>
    <w:p w14:paraId="1548D3FC" w14:textId="77777777" w:rsidR="006E3458" w:rsidRDefault="006E3458" w:rsidP="006E3458">
      <w:pPr>
        <w:tabs>
          <w:tab w:val="left" w:pos="2043"/>
        </w:tabs>
        <w:spacing w:after="0" w:line="240" w:lineRule="auto"/>
        <w:jc w:val="right"/>
        <w:rPr>
          <w:rFonts w:ascii="GHEA Grapalat" w:hAnsi="GHEA Grapalat"/>
          <w:color w:val="2F5496" w:themeColor="accent1" w:themeShade="BF"/>
          <w:sz w:val="20"/>
          <w:szCs w:val="20"/>
        </w:rPr>
      </w:pPr>
    </w:p>
    <w:p w14:paraId="48161DCE" w14:textId="77777777" w:rsidR="006E3458" w:rsidRDefault="006E3458" w:rsidP="006E3458">
      <w:pPr>
        <w:tabs>
          <w:tab w:val="left" w:pos="2043"/>
        </w:tabs>
        <w:spacing w:after="0" w:line="240" w:lineRule="auto"/>
        <w:jc w:val="right"/>
        <w:rPr>
          <w:rFonts w:ascii="GHEA Grapalat" w:hAnsi="GHEA Grapalat"/>
          <w:color w:val="2F5496" w:themeColor="accent1" w:themeShade="BF"/>
          <w:sz w:val="20"/>
          <w:szCs w:val="20"/>
        </w:rPr>
      </w:pPr>
      <w:r>
        <w:rPr>
          <w:rFonts w:ascii="GHEA Grapalat" w:hAnsi="GHEA Grapalat"/>
          <w:color w:val="2F5496" w:themeColor="accent1" w:themeShade="BF"/>
          <w:sz w:val="20"/>
          <w:szCs w:val="20"/>
        </w:rPr>
        <w:t xml:space="preserve">ՀԱՍՏԱՏՎԱԾ Է </w:t>
      </w:r>
    </w:p>
    <w:p w14:paraId="13823431" w14:textId="77777777" w:rsidR="006E3458" w:rsidRDefault="006E3458" w:rsidP="006E3458">
      <w:pPr>
        <w:tabs>
          <w:tab w:val="left" w:pos="2043"/>
        </w:tabs>
        <w:spacing w:after="0" w:line="240" w:lineRule="auto"/>
        <w:jc w:val="right"/>
        <w:rPr>
          <w:rFonts w:ascii="GHEA Grapalat" w:hAnsi="GHEA Grapalat"/>
          <w:color w:val="2F5496" w:themeColor="accent1" w:themeShade="BF"/>
          <w:sz w:val="20"/>
          <w:szCs w:val="20"/>
        </w:rPr>
      </w:pPr>
      <w:r>
        <w:rPr>
          <w:rFonts w:ascii="GHEA Grapalat" w:hAnsi="GHEA Grapalat"/>
          <w:color w:val="2F5496" w:themeColor="accent1" w:themeShade="BF"/>
          <w:sz w:val="20"/>
          <w:szCs w:val="20"/>
        </w:rPr>
        <w:t>ԷԼԵԿՏՐՈՆԱՅԻՆ</w:t>
      </w:r>
    </w:p>
    <w:p w14:paraId="0C593CED" w14:textId="583E0D38" w:rsidR="00FC222F" w:rsidRPr="0042647F" w:rsidRDefault="006E3458" w:rsidP="006425AF">
      <w:pPr>
        <w:tabs>
          <w:tab w:val="left" w:pos="2043"/>
        </w:tabs>
        <w:spacing w:after="0" w:line="240" w:lineRule="auto"/>
        <w:jc w:val="right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>
        <w:rPr>
          <w:rFonts w:ascii="GHEA Grapalat" w:hAnsi="GHEA Grapalat"/>
          <w:color w:val="2F5496" w:themeColor="accent1" w:themeShade="BF"/>
          <w:sz w:val="20"/>
          <w:szCs w:val="20"/>
        </w:rPr>
        <w:t xml:space="preserve"> ՍՏՈՐԱԳՐՈՒԹՅԱՄԲ</w:t>
      </w:r>
      <w:bookmarkStart w:id="0" w:name="_GoBack"/>
      <w:bookmarkEnd w:id="0"/>
    </w:p>
    <w:sectPr w:rsidR="00FC222F" w:rsidRPr="0042647F" w:rsidSect="00615F56">
      <w:pgSz w:w="11906" w:h="16838"/>
      <w:pgMar w:top="1134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DF0E6" w14:textId="77777777" w:rsidR="0050107E" w:rsidRDefault="0050107E" w:rsidP="00B715FC">
      <w:pPr>
        <w:spacing w:after="0" w:line="240" w:lineRule="auto"/>
      </w:pPr>
      <w:r>
        <w:separator/>
      </w:r>
    </w:p>
  </w:endnote>
  <w:endnote w:type="continuationSeparator" w:id="0">
    <w:p w14:paraId="715FBCAB" w14:textId="77777777" w:rsidR="0050107E" w:rsidRDefault="0050107E" w:rsidP="00B7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1EAF8" w14:textId="77777777" w:rsidR="0050107E" w:rsidRDefault="0050107E" w:rsidP="00B715FC">
      <w:pPr>
        <w:spacing w:after="0" w:line="240" w:lineRule="auto"/>
      </w:pPr>
      <w:r>
        <w:separator/>
      </w:r>
    </w:p>
  </w:footnote>
  <w:footnote w:type="continuationSeparator" w:id="0">
    <w:p w14:paraId="1190DF53" w14:textId="77777777" w:rsidR="0050107E" w:rsidRDefault="0050107E" w:rsidP="00B715FC">
      <w:pPr>
        <w:spacing w:after="0" w:line="240" w:lineRule="auto"/>
      </w:pPr>
      <w:r>
        <w:continuationSeparator/>
      </w:r>
    </w:p>
  </w:footnote>
  <w:footnote w:id="1">
    <w:p w14:paraId="72015149" w14:textId="78362D31" w:rsidR="00DE6E24" w:rsidRPr="00A23ADE" w:rsidRDefault="00DE6E24" w:rsidP="00DE6E24">
      <w:pPr>
        <w:jc w:val="both"/>
        <w:rPr>
          <w:rFonts w:ascii="GHEA Grapalat" w:hAnsi="GHEA Grapalat" w:cs="Times New Roman"/>
          <w:bCs/>
          <w:i/>
          <w:sz w:val="20"/>
          <w:szCs w:val="20"/>
          <w:lang w:val="hy-AM"/>
        </w:rPr>
      </w:pPr>
      <w:r w:rsidRPr="00A23ADE">
        <w:rPr>
          <w:rStyle w:val="FootnoteReference"/>
          <w:rFonts w:ascii="GHEA Grapalat" w:hAnsi="GHEA Grapalat"/>
          <w:i/>
          <w:sz w:val="20"/>
          <w:szCs w:val="20"/>
        </w:rPr>
        <w:footnoteRef/>
      </w:r>
      <w:r w:rsidRPr="00A23ADE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="008E1E97" w:rsidRPr="00A23ADE">
        <w:rPr>
          <w:rFonts w:ascii="GHEA Grapalat" w:hAnsi="GHEA Grapalat"/>
          <w:i/>
          <w:sz w:val="20"/>
          <w:szCs w:val="20"/>
        </w:rPr>
        <w:t>Հիմքը</w:t>
      </w:r>
      <w:proofErr w:type="spellEnd"/>
      <w:r w:rsidR="008E1E97" w:rsidRPr="00A23ADE">
        <w:rPr>
          <w:rFonts w:ascii="GHEA Grapalat" w:hAnsi="GHEA Grapalat"/>
          <w:i/>
          <w:sz w:val="20"/>
          <w:szCs w:val="20"/>
        </w:rPr>
        <w:t>՝ ՀՊ</w:t>
      </w:r>
      <w:r w:rsidR="00A23ADE" w:rsidRPr="00A23ADE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="00A23ADE" w:rsidRPr="00A23ADE">
        <w:rPr>
          <w:rFonts w:ascii="GHEA Grapalat" w:hAnsi="GHEA Grapalat"/>
          <w:i/>
          <w:sz w:val="20"/>
          <w:szCs w:val="20"/>
        </w:rPr>
        <w:t>կողմից</w:t>
      </w:r>
      <w:proofErr w:type="spellEnd"/>
      <w:r w:rsidR="00A23ADE" w:rsidRPr="00A23ADE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="00A23ADE" w:rsidRPr="00A23ADE">
        <w:rPr>
          <w:rFonts w:ascii="GHEA Grapalat" w:hAnsi="GHEA Grapalat"/>
          <w:i/>
          <w:sz w:val="20"/>
          <w:szCs w:val="20"/>
        </w:rPr>
        <w:t>հաստատված</w:t>
      </w:r>
      <w:proofErr w:type="spellEnd"/>
      <w:r w:rsidR="008E1E97" w:rsidRPr="00A23ADE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="008E1E97" w:rsidRPr="00A23ADE">
        <w:rPr>
          <w:rFonts w:ascii="GHEA Grapalat" w:hAnsi="GHEA Grapalat" w:cs="Times New Roman"/>
          <w:bCs/>
          <w:i/>
          <w:sz w:val="20"/>
          <w:szCs w:val="20"/>
          <w:lang w:val="en-US"/>
        </w:rPr>
        <w:t>պե</w:t>
      </w:r>
      <w:proofErr w:type="spellEnd"/>
      <w:r w:rsidRPr="00A23ADE">
        <w:rPr>
          <w:rFonts w:ascii="GHEA Grapalat" w:hAnsi="GHEA Grapalat" w:cs="Times New Roman"/>
          <w:bCs/>
          <w:i/>
          <w:sz w:val="20"/>
          <w:szCs w:val="20"/>
          <w:lang w:val="hy-AM"/>
        </w:rPr>
        <w:t>տական բյուջեի երեք, վեց, ինն ամիսների և տարեկան կատարման հաշվեքննության ուղեցույց</w:t>
      </w:r>
      <w:proofErr w:type="spellStart"/>
      <w:r w:rsidR="003176CA">
        <w:rPr>
          <w:rFonts w:ascii="GHEA Grapalat" w:hAnsi="GHEA Grapalat" w:cs="Times New Roman"/>
          <w:bCs/>
          <w:i/>
          <w:sz w:val="20"/>
          <w:szCs w:val="20"/>
          <w:lang w:val="en-US"/>
        </w:rPr>
        <w:t>ով</w:t>
      </w:r>
      <w:proofErr w:type="spellEnd"/>
      <w:r w:rsidR="00B85335">
        <w:rPr>
          <w:rFonts w:ascii="GHEA Grapalat" w:hAnsi="GHEA Grapalat" w:cs="Times New Roman"/>
          <w:bCs/>
          <w:i/>
          <w:sz w:val="20"/>
          <w:szCs w:val="20"/>
          <w:lang w:val="en-US"/>
        </w:rPr>
        <w:t xml:space="preserve"> </w:t>
      </w:r>
      <w:r w:rsidRPr="00A23ADE">
        <w:rPr>
          <w:rFonts w:ascii="GHEA Grapalat" w:hAnsi="GHEA Grapalat" w:cs="Times New Roman"/>
          <w:bCs/>
          <w:i/>
          <w:sz w:val="20"/>
          <w:szCs w:val="20"/>
          <w:lang w:val="hy-AM"/>
        </w:rPr>
        <w:t>(10-12-րդ կետեր)</w:t>
      </w:r>
      <w:r w:rsidR="00B85335">
        <w:rPr>
          <w:rFonts w:ascii="GHEA Grapalat" w:hAnsi="GHEA Grapalat" w:cs="Times New Roman"/>
          <w:bCs/>
          <w:i/>
          <w:sz w:val="20"/>
          <w:szCs w:val="20"/>
          <w:lang w:val="en-US"/>
        </w:rPr>
        <w:t xml:space="preserve"> </w:t>
      </w:r>
      <w:proofErr w:type="spellStart"/>
      <w:r w:rsidR="003176CA">
        <w:rPr>
          <w:rFonts w:ascii="GHEA Grapalat" w:hAnsi="GHEA Grapalat" w:cs="Times New Roman"/>
          <w:bCs/>
          <w:i/>
          <w:sz w:val="20"/>
          <w:szCs w:val="20"/>
          <w:lang w:val="en-US"/>
        </w:rPr>
        <w:t>ընտրված</w:t>
      </w:r>
      <w:proofErr w:type="spellEnd"/>
      <w:r w:rsidRPr="00A23ADE">
        <w:rPr>
          <w:rFonts w:ascii="GHEA Grapalat" w:hAnsi="GHEA Grapalat" w:cs="Times New Roman"/>
          <w:bCs/>
          <w:i/>
          <w:sz w:val="20"/>
          <w:szCs w:val="20"/>
          <w:lang w:val="hy-AM"/>
        </w:rPr>
        <w:t xml:space="preserve"> ծրագրային կետեր</w:t>
      </w:r>
    </w:p>
    <w:p w14:paraId="7D72CCD6" w14:textId="201C1FEC" w:rsidR="00DE6E24" w:rsidRPr="00DE6E24" w:rsidRDefault="00DE6E24">
      <w:pPr>
        <w:pStyle w:val="FootnoteText"/>
        <w:rPr>
          <w:lang w:val="en-US"/>
        </w:rPr>
      </w:pPr>
    </w:p>
  </w:footnote>
  <w:footnote w:id="2">
    <w:p w14:paraId="520DCADE" w14:textId="77777777" w:rsidR="00DD2AD4" w:rsidRPr="00E72C66" w:rsidRDefault="00DD2AD4" w:rsidP="00DD2AD4">
      <w:pPr>
        <w:spacing w:after="0" w:line="276" w:lineRule="auto"/>
        <w:jc w:val="both"/>
        <w:rPr>
          <w:i/>
          <w:lang w:val="en-US"/>
        </w:rPr>
      </w:pPr>
      <w:r w:rsidRPr="00EB2955">
        <w:rPr>
          <w:rStyle w:val="FootnoteReference"/>
          <w:rFonts w:ascii="GHEA Grapalat" w:hAnsi="GHEA Grapalat"/>
          <w:i/>
          <w:sz w:val="20"/>
          <w:szCs w:val="20"/>
        </w:rPr>
        <w:footnoteRef/>
      </w:r>
      <w:r w:rsidRPr="00EB2955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EB2955">
        <w:rPr>
          <w:rFonts w:ascii="GHEA Grapalat" w:hAnsi="GHEA Grapalat"/>
          <w:i/>
          <w:sz w:val="20"/>
          <w:szCs w:val="20"/>
        </w:rPr>
        <w:t>Հիմքը</w:t>
      </w:r>
      <w:proofErr w:type="spellEnd"/>
      <w:r w:rsidRPr="00EB2955">
        <w:rPr>
          <w:rFonts w:ascii="GHEA Grapalat" w:hAnsi="GHEA Grapalat"/>
          <w:i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i/>
          <w:sz w:val="20"/>
          <w:szCs w:val="20"/>
        </w:rPr>
        <w:t>Մեթոդաբանության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r w:rsidRPr="00EB2955">
        <w:rPr>
          <w:rFonts w:ascii="GHEA Grapalat" w:hAnsi="GHEA Grapalat" w:cs="Times New Roman"/>
          <w:bCs/>
          <w:i/>
          <w:sz w:val="20"/>
          <w:szCs w:val="20"/>
          <w:lang w:val="hy-AM"/>
        </w:rPr>
        <w:t>(8-րդ, 17-րդ կետեր)</w:t>
      </w:r>
      <w:r>
        <w:rPr>
          <w:rFonts w:ascii="GHEA Grapalat" w:hAnsi="GHEA Grapalat" w:cs="Times New Roman"/>
          <w:bCs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bCs/>
          <w:i/>
          <w:sz w:val="20"/>
          <w:szCs w:val="20"/>
          <w:lang w:val="en-US"/>
        </w:rPr>
        <w:t>ընտրված</w:t>
      </w:r>
      <w:proofErr w:type="spellEnd"/>
      <w:r>
        <w:rPr>
          <w:rFonts w:ascii="GHEA Grapalat" w:hAnsi="GHEA Grapalat" w:cs="Times New Roman"/>
          <w:bCs/>
          <w:i/>
          <w:sz w:val="20"/>
          <w:szCs w:val="20"/>
          <w:lang w:val="en-US"/>
        </w:rPr>
        <w:t xml:space="preserve"> </w:t>
      </w:r>
      <w:r w:rsidRPr="00EB2955">
        <w:rPr>
          <w:rFonts w:ascii="GHEA Grapalat" w:hAnsi="GHEA Grapalat" w:cs="Times New Roman"/>
          <w:bCs/>
          <w:i/>
          <w:sz w:val="20"/>
          <w:szCs w:val="20"/>
          <w:lang w:val="hy-AM"/>
        </w:rPr>
        <w:t>ծրագրային կետեր</w:t>
      </w:r>
    </w:p>
  </w:footnote>
  <w:footnote w:id="3">
    <w:p w14:paraId="3E9DDD3B" w14:textId="39652154" w:rsidR="00B44465" w:rsidRPr="00B44465" w:rsidRDefault="00B44465" w:rsidP="00E72C66">
      <w:pPr>
        <w:pStyle w:val="FootnoteText"/>
        <w:jc w:val="both"/>
        <w:rPr>
          <w:rFonts w:ascii="GHEA Grapalat" w:hAnsi="GHEA Grapalat"/>
          <w:lang w:val="en-US"/>
        </w:rPr>
      </w:pPr>
      <w:r w:rsidRPr="00E72C66">
        <w:rPr>
          <w:rStyle w:val="FootnoteReference"/>
          <w:rFonts w:ascii="GHEA Grapalat" w:hAnsi="GHEA Grapalat"/>
          <w:i/>
        </w:rPr>
        <w:footnoteRef/>
      </w:r>
      <w:r w:rsidRPr="00E72C66">
        <w:rPr>
          <w:rFonts w:ascii="GHEA Grapalat" w:hAnsi="GHEA Grapalat"/>
          <w:i/>
        </w:rPr>
        <w:t xml:space="preserve"> </w:t>
      </w:r>
      <w:r w:rsidRPr="00E72C66">
        <w:rPr>
          <w:rFonts w:ascii="GHEA Grapalat" w:hAnsi="GHEA Grapalat" w:cs="Sylfaen"/>
          <w:i/>
          <w:szCs w:val="24"/>
          <w:lang w:val="hy-AM"/>
        </w:rPr>
        <w:t>Ցածր ռիսկային գերատեսչությունների դեպքում դիտարկվել են խմբում առավել շատ ծրագրերի թիվ ունեցող գերատեսչությունները</w:t>
      </w:r>
      <w:r w:rsidRPr="00E72C66">
        <w:rPr>
          <w:rFonts w:ascii="GHEA Grapalat" w:hAnsi="GHEA Grapalat" w:cs="Sylfaen"/>
          <w:i/>
          <w:szCs w:val="24"/>
          <w:lang w:val="en-US"/>
        </w:rPr>
        <w:t>:</w:t>
      </w:r>
    </w:p>
  </w:footnote>
  <w:footnote w:id="4">
    <w:p w14:paraId="2676AEF7" w14:textId="5BBC4AF4" w:rsidR="00BC7D48" w:rsidRPr="00D45ED0" w:rsidRDefault="00BC7D48">
      <w:pPr>
        <w:pStyle w:val="FootnoteText"/>
        <w:rPr>
          <w:rFonts w:ascii="GHEA Grapalat" w:hAnsi="GHEA Grapalat"/>
          <w:i/>
        </w:rPr>
      </w:pPr>
      <w:r w:rsidRPr="00D45ED0">
        <w:rPr>
          <w:rStyle w:val="FootnoteReference"/>
          <w:rFonts w:ascii="GHEA Grapalat" w:hAnsi="GHEA Grapalat"/>
          <w:i/>
        </w:rPr>
        <w:footnoteRef/>
      </w:r>
      <w:r w:rsidRPr="00D45ED0">
        <w:rPr>
          <w:rFonts w:ascii="GHEA Grapalat" w:hAnsi="GHEA Grapalat"/>
          <w:i/>
        </w:rPr>
        <w:t xml:space="preserve"> ՀՊ 2022 </w:t>
      </w:r>
      <w:proofErr w:type="spellStart"/>
      <w:r w:rsidRPr="00D45ED0">
        <w:rPr>
          <w:rFonts w:ascii="GHEA Grapalat" w:hAnsi="GHEA Grapalat"/>
          <w:i/>
        </w:rPr>
        <w:t>թվականի</w:t>
      </w:r>
      <w:proofErr w:type="spellEnd"/>
      <w:r w:rsidRPr="00D45ED0">
        <w:rPr>
          <w:rFonts w:ascii="GHEA Grapalat" w:hAnsi="GHEA Grapalat"/>
          <w:i/>
        </w:rPr>
        <w:t xml:space="preserve"> </w:t>
      </w:r>
      <w:proofErr w:type="spellStart"/>
      <w:r w:rsidRPr="00D45ED0">
        <w:rPr>
          <w:rFonts w:ascii="GHEA Grapalat" w:hAnsi="GHEA Grapalat"/>
          <w:i/>
        </w:rPr>
        <w:t>սեպտեմբերի</w:t>
      </w:r>
      <w:proofErr w:type="spellEnd"/>
      <w:r w:rsidRPr="00D45ED0">
        <w:rPr>
          <w:rFonts w:ascii="GHEA Grapalat" w:hAnsi="GHEA Grapalat"/>
          <w:i/>
        </w:rPr>
        <w:t xml:space="preserve"> 20-ի </w:t>
      </w:r>
      <w:proofErr w:type="spellStart"/>
      <w:r w:rsidRPr="00D45ED0">
        <w:rPr>
          <w:rFonts w:ascii="GHEA Grapalat" w:hAnsi="GHEA Grapalat"/>
          <w:i/>
        </w:rPr>
        <w:t>թիվ</w:t>
      </w:r>
      <w:proofErr w:type="spellEnd"/>
      <w:r w:rsidRPr="00D45ED0">
        <w:rPr>
          <w:rFonts w:ascii="GHEA Grapalat" w:hAnsi="GHEA Grapalat"/>
          <w:i/>
        </w:rPr>
        <w:t xml:space="preserve"> 188-Ա </w:t>
      </w:r>
      <w:proofErr w:type="spellStart"/>
      <w:r w:rsidRPr="00D45ED0">
        <w:rPr>
          <w:rFonts w:ascii="GHEA Grapalat" w:hAnsi="GHEA Grapalat"/>
          <w:i/>
        </w:rPr>
        <w:t>որոշմամբ</w:t>
      </w:r>
      <w:proofErr w:type="spellEnd"/>
    </w:p>
  </w:footnote>
  <w:footnote w:id="5">
    <w:p w14:paraId="6E41E111" w14:textId="77777777" w:rsidR="000449B7" w:rsidRPr="0076709B" w:rsidRDefault="000449B7" w:rsidP="000449B7">
      <w:pPr>
        <w:pStyle w:val="FootnoteText"/>
        <w:rPr>
          <w:rFonts w:ascii="GHEA Grapalat" w:hAnsi="GHEA Grapalat"/>
          <w:i/>
        </w:rPr>
      </w:pPr>
      <w:r w:rsidRPr="0076709B">
        <w:rPr>
          <w:rStyle w:val="FootnoteReference"/>
          <w:rFonts w:ascii="GHEA Grapalat" w:hAnsi="GHEA Grapalat"/>
          <w:i/>
        </w:rPr>
        <w:footnoteRef/>
      </w:r>
      <w:r>
        <w:rPr>
          <w:rFonts w:ascii="GHEA Grapalat" w:hAnsi="GHEA Grapalat"/>
          <w:i/>
        </w:rPr>
        <w:t xml:space="preserve"> </w:t>
      </w:r>
      <w:proofErr w:type="spellStart"/>
      <w:r>
        <w:rPr>
          <w:rFonts w:ascii="GHEA Grapalat" w:hAnsi="GHEA Grapalat"/>
          <w:i/>
        </w:rPr>
        <w:t>Մեթոդաբանությամբ</w:t>
      </w:r>
      <w:proofErr w:type="spellEnd"/>
      <w:r>
        <w:rPr>
          <w:rFonts w:ascii="GHEA Grapalat" w:hAnsi="GHEA Grapalat"/>
          <w:i/>
        </w:rPr>
        <w:t xml:space="preserve"> </w:t>
      </w:r>
      <w:r w:rsidRPr="0076709B">
        <w:rPr>
          <w:rFonts w:ascii="GHEA Grapalat" w:hAnsi="GHEA Grapalat"/>
          <w:i/>
        </w:rPr>
        <w:t>(15-</w:t>
      </w:r>
      <w:r w:rsidRPr="0076709B">
        <w:rPr>
          <w:rFonts w:ascii="GHEA Grapalat" w:hAnsi="GHEA Grapalat" w:cs="Sylfaen"/>
          <w:i/>
        </w:rPr>
        <w:t>րդ</w:t>
      </w:r>
      <w:r w:rsidRPr="0076709B">
        <w:rPr>
          <w:rFonts w:ascii="GHEA Grapalat" w:hAnsi="GHEA Grapalat"/>
          <w:i/>
        </w:rPr>
        <w:t xml:space="preserve"> </w:t>
      </w:r>
      <w:proofErr w:type="spellStart"/>
      <w:r w:rsidRPr="0076709B">
        <w:rPr>
          <w:rFonts w:ascii="GHEA Grapalat" w:hAnsi="GHEA Grapalat" w:cs="Sylfaen"/>
          <w:i/>
        </w:rPr>
        <w:t>կետ</w:t>
      </w:r>
      <w:proofErr w:type="spellEnd"/>
      <w:r w:rsidRPr="0076709B">
        <w:rPr>
          <w:rFonts w:ascii="GHEA Grapalat" w:hAnsi="GHEA Grapalat"/>
          <w:i/>
        </w:rPr>
        <w:t xml:space="preserve">) </w:t>
      </w:r>
      <w:proofErr w:type="spellStart"/>
      <w:r w:rsidRPr="0076709B">
        <w:rPr>
          <w:rFonts w:ascii="GHEA Grapalat" w:hAnsi="GHEA Grapalat" w:cs="Sylfaen"/>
          <w:i/>
        </w:rPr>
        <w:t>ընտրված</w:t>
      </w:r>
      <w:proofErr w:type="spellEnd"/>
      <w:r w:rsidRPr="0076709B">
        <w:rPr>
          <w:rFonts w:ascii="GHEA Grapalat" w:hAnsi="GHEA Grapalat"/>
          <w:i/>
        </w:rPr>
        <w:t xml:space="preserve"> </w:t>
      </w:r>
      <w:proofErr w:type="spellStart"/>
      <w:r w:rsidRPr="0076709B">
        <w:rPr>
          <w:rFonts w:ascii="GHEA Grapalat" w:hAnsi="GHEA Grapalat" w:cs="Sylfaen"/>
          <w:i/>
        </w:rPr>
        <w:t>ծրագրային</w:t>
      </w:r>
      <w:proofErr w:type="spellEnd"/>
      <w:r w:rsidRPr="0076709B">
        <w:rPr>
          <w:rFonts w:ascii="GHEA Grapalat" w:hAnsi="GHEA Grapalat"/>
          <w:i/>
        </w:rPr>
        <w:t xml:space="preserve"> </w:t>
      </w:r>
      <w:proofErr w:type="spellStart"/>
      <w:r w:rsidRPr="0076709B">
        <w:rPr>
          <w:rFonts w:ascii="GHEA Grapalat" w:hAnsi="GHEA Grapalat" w:cs="Sylfaen"/>
          <w:i/>
        </w:rPr>
        <w:t>կետ</w:t>
      </w:r>
      <w:proofErr w:type="spellEnd"/>
    </w:p>
  </w:footnote>
  <w:footnote w:id="6">
    <w:p w14:paraId="5139E221" w14:textId="6F1C9C6F" w:rsidR="007E0493" w:rsidRPr="005D6AE7" w:rsidRDefault="007E0493" w:rsidP="005D6AE7">
      <w:pPr>
        <w:pStyle w:val="FootnoteText"/>
        <w:jc w:val="both"/>
        <w:rPr>
          <w:rFonts w:ascii="GHEA Grapalat" w:hAnsi="GHEA Grapalat"/>
          <w:i/>
        </w:rPr>
      </w:pPr>
      <w:r w:rsidRPr="005D6AE7">
        <w:rPr>
          <w:rStyle w:val="FootnoteReference"/>
          <w:rFonts w:ascii="GHEA Grapalat" w:hAnsi="GHEA Grapalat"/>
          <w:i/>
        </w:rPr>
        <w:footnoteRef/>
      </w:r>
      <w:r w:rsidRPr="005D6AE7">
        <w:rPr>
          <w:rFonts w:ascii="GHEA Grapalat" w:hAnsi="GHEA Grapalat"/>
          <w:i/>
        </w:rPr>
        <w:t xml:space="preserve"> </w:t>
      </w:r>
      <w:proofErr w:type="spellStart"/>
      <w:r w:rsidR="00E25B1C" w:rsidRPr="005D6AE7">
        <w:rPr>
          <w:rFonts w:ascii="GHEA Grapalat" w:hAnsi="GHEA Grapalat"/>
          <w:i/>
        </w:rPr>
        <w:t>Մեթոդաբանությամբ</w:t>
      </w:r>
      <w:proofErr w:type="spellEnd"/>
      <w:r w:rsidRPr="005D6AE7">
        <w:rPr>
          <w:rFonts w:ascii="GHEA Grapalat" w:hAnsi="GHEA Grapalat"/>
          <w:i/>
        </w:rPr>
        <w:t xml:space="preserve"> (19-</w:t>
      </w:r>
      <w:r w:rsidRPr="005D6AE7">
        <w:rPr>
          <w:rFonts w:ascii="GHEA Grapalat" w:hAnsi="GHEA Grapalat" w:cs="Sylfaen"/>
          <w:i/>
        </w:rPr>
        <w:t>րդ</w:t>
      </w:r>
      <w:r w:rsidRPr="005D6AE7">
        <w:rPr>
          <w:rFonts w:ascii="GHEA Grapalat" w:hAnsi="GHEA Grapalat"/>
          <w:i/>
        </w:rPr>
        <w:t>, 20-</w:t>
      </w:r>
      <w:r w:rsidRPr="005D6AE7">
        <w:rPr>
          <w:rFonts w:ascii="GHEA Grapalat" w:hAnsi="GHEA Grapalat" w:cs="Sylfaen"/>
          <w:i/>
        </w:rPr>
        <w:t>րդ</w:t>
      </w:r>
      <w:r w:rsidRPr="005D6AE7">
        <w:rPr>
          <w:rFonts w:ascii="GHEA Grapalat" w:hAnsi="GHEA Grapalat"/>
          <w:i/>
        </w:rPr>
        <w:t xml:space="preserve"> </w:t>
      </w:r>
      <w:proofErr w:type="spellStart"/>
      <w:r w:rsidRPr="005D6AE7">
        <w:rPr>
          <w:rFonts w:ascii="GHEA Grapalat" w:hAnsi="GHEA Grapalat" w:cs="Sylfaen"/>
          <w:i/>
        </w:rPr>
        <w:t>կետեր</w:t>
      </w:r>
      <w:proofErr w:type="spellEnd"/>
      <w:r w:rsidRPr="005D6AE7">
        <w:rPr>
          <w:rFonts w:ascii="GHEA Grapalat" w:hAnsi="GHEA Grapalat"/>
          <w:i/>
        </w:rPr>
        <w:t xml:space="preserve">) </w:t>
      </w:r>
      <w:proofErr w:type="spellStart"/>
      <w:r w:rsidR="00E25B1C" w:rsidRPr="005D6AE7">
        <w:rPr>
          <w:rFonts w:ascii="GHEA Grapalat" w:hAnsi="GHEA Grapalat" w:cs="Sylfaen"/>
          <w:i/>
        </w:rPr>
        <w:t>ընտրված</w:t>
      </w:r>
      <w:proofErr w:type="spellEnd"/>
      <w:r w:rsidRPr="005D6AE7">
        <w:rPr>
          <w:rFonts w:ascii="GHEA Grapalat" w:hAnsi="GHEA Grapalat"/>
          <w:i/>
        </w:rPr>
        <w:t xml:space="preserve"> </w:t>
      </w:r>
      <w:proofErr w:type="spellStart"/>
      <w:r w:rsidRPr="005D6AE7">
        <w:rPr>
          <w:rFonts w:ascii="GHEA Grapalat" w:hAnsi="GHEA Grapalat" w:cs="Sylfaen"/>
          <w:i/>
        </w:rPr>
        <w:t>ծրագրային</w:t>
      </w:r>
      <w:proofErr w:type="spellEnd"/>
      <w:r w:rsidRPr="005D6AE7">
        <w:rPr>
          <w:rFonts w:ascii="GHEA Grapalat" w:hAnsi="GHEA Grapalat"/>
          <w:i/>
        </w:rPr>
        <w:t xml:space="preserve"> </w:t>
      </w:r>
      <w:proofErr w:type="spellStart"/>
      <w:r w:rsidRPr="005D6AE7">
        <w:rPr>
          <w:rFonts w:ascii="GHEA Grapalat" w:hAnsi="GHEA Grapalat" w:cs="Sylfaen"/>
          <w:i/>
        </w:rPr>
        <w:t>կետեր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A9F"/>
    <w:multiLevelType w:val="hybridMultilevel"/>
    <w:tmpl w:val="124AFC64"/>
    <w:lvl w:ilvl="0" w:tplc="040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>
    <w:nsid w:val="06C553DF"/>
    <w:multiLevelType w:val="hybridMultilevel"/>
    <w:tmpl w:val="67BCEDA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>
    <w:nsid w:val="0B1F5FEA"/>
    <w:multiLevelType w:val="hybridMultilevel"/>
    <w:tmpl w:val="B52A7D3A"/>
    <w:lvl w:ilvl="0" w:tplc="76E0FE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31A35"/>
    <w:multiLevelType w:val="hybridMultilevel"/>
    <w:tmpl w:val="74D477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406AE"/>
    <w:multiLevelType w:val="hybridMultilevel"/>
    <w:tmpl w:val="C9F0797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3A76E0"/>
    <w:multiLevelType w:val="hybridMultilevel"/>
    <w:tmpl w:val="9D66E4D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5270CC"/>
    <w:multiLevelType w:val="hybridMultilevel"/>
    <w:tmpl w:val="4A4CBA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52478"/>
    <w:multiLevelType w:val="hybridMultilevel"/>
    <w:tmpl w:val="B35EC7B2"/>
    <w:lvl w:ilvl="0" w:tplc="B49AF0BE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E1D65"/>
    <w:multiLevelType w:val="hybridMultilevel"/>
    <w:tmpl w:val="B52A7D3A"/>
    <w:lvl w:ilvl="0" w:tplc="76E0FE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B14AE"/>
    <w:multiLevelType w:val="hybridMultilevel"/>
    <w:tmpl w:val="B52A7D3A"/>
    <w:lvl w:ilvl="0" w:tplc="76E0FE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C232A"/>
    <w:multiLevelType w:val="hybridMultilevel"/>
    <w:tmpl w:val="72E6650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601CC"/>
    <w:multiLevelType w:val="hybridMultilevel"/>
    <w:tmpl w:val="5ADC17A6"/>
    <w:lvl w:ilvl="0" w:tplc="08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61D1069"/>
    <w:multiLevelType w:val="hybridMultilevel"/>
    <w:tmpl w:val="0CD80348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E50B7"/>
    <w:multiLevelType w:val="hybridMultilevel"/>
    <w:tmpl w:val="F9BC2A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55AF9"/>
    <w:multiLevelType w:val="hybridMultilevel"/>
    <w:tmpl w:val="B52A7D3A"/>
    <w:lvl w:ilvl="0" w:tplc="76E0FE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D7FD5"/>
    <w:multiLevelType w:val="hybridMultilevel"/>
    <w:tmpl w:val="A38231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700F92"/>
    <w:multiLevelType w:val="multilevel"/>
    <w:tmpl w:val="4692BC62"/>
    <w:lvl w:ilvl="0">
      <w:start w:val="1"/>
      <w:numFmt w:val="decimal"/>
      <w:lvlText w:val="%1)"/>
      <w:lvlJc w:val="left"/>
      <w:pPr>
        <w:ind w:left="135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 w:cs="Wingdings"/>
      </w:rPr>
    </w:lvl>
  </w:abstractNum>
  <w:abstractNum w:abstractNumId="17">
    <w:nsid w:val="750B6DF9"/>
    <w:multiLevelType w:val="hybridMultilevel"/>
    <w:tmpl w:val="6392651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4"/>
  </w:num>
  <w:num w:numId="5">
    <w:abstractNumId w:val="9"/>
  </w:num>
  <w:num w:numId="6">
    <w:abstractNumId w:val="8"/>
  </w:num>
  <w:num w:numId="7">
    <w:abstractNumId w:val="1"/>
  </w:num>
  <w:num w:numId="8">
    <w:abstractNumId w:val="16"/>
  </w:num>
  <w:num w:numId="9">
    <w:abstractNumId w:val="6"/>
  </w:num>
  <w:num w:numId="10">
    <w:abstractNumId w:val="15"/>
  </w:num>
  <w:num w:numId="11">
    <w:abstractNumId w:val="17"/>
  </w:num>
  <w:num w:numId="12">
    <w:abstractNumId w:val="7"/>
  </w:num>
  <w:num w:numId="13">
    <w:abstractNumId w:val="5"/>
  </w:num>
  <w:num w:numId="14">
    <w:abstractNumId w:val="0"/>
  </w:num>
  <w:num w:numId="15">
    <w:abstractNumId w:val="11"/>
  </w:num>
  <w:num w:numId="16">
    <w:abstractNumId w:val="4"/>
  </w:num>
  <w:num w:numId="17">
    <w:abstractNumId w:val="3"/>
  </w:num>
  <w:num w:numId="18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 J">
    <w15:presenceInfo w15:providerId="None" w15:userId="A 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B3"/>
    <w:rsid w:val="00006D64"/>
    <w:rsid w:val="00007684"/>
    <w:rsid w:val="00012D18"/>
    <w:rsid w:val="000141EC"/>
    <w:rsid w:val="000147E6"/>
    <w:rsid w:val="000154A5"/>
    <w:rsid w:val="000156F1"/>
    <w:rsid w:val="00015ECA"/>
    <w:rsid w:val="00016A00"/>
    <w:rsid w:val="000176AB"/>
    <w:rsid w:val="000210E1"/>
    <w:rsid w:val="00023A76"/>
    <w:rsid w:val="00023D7C"/>
    <w:rsid w:val="00026D9C"/>
    <w:rsid w:val="00030874"/>
    <w:rsid w:val="000321E8"/>
    <w:rsid w:val="00033593"/>
    <w:rsid w:val="000413F5"/>
    <w:rsid w:val="00041A93"/>
    <w:rsid w:val="000449B7"/>
    <w:rsid w:val="00046531"/>
    <w:rsid w:val="00046945"/>
    <w:rsid w:val="00046B1A"/>
    <w:rsid w:val="00050387"/>
    <w:rsid w:val="0005088C"/>
    <w:rsid w:val="000518CA"/>
    <w:rsid w:val="00055E95"/>
    <w:rsid w:val="00064B12"/>
    <w:rsid w:val="00066E47"/>
    <w:rsid w:val="00070874"/>
    <w:rsid w:val="00070F51"/>
    <w:rsid w:val="000710AC"/>
    <w:rsid w:val="00073260"/>
    <w:rsid w:val="0007374C"/>
    <w:rsid w:val="00082996"/>
    <w:rsid w:val="00085E92"/>
    <w:rsid w:val="000908B4"/>
    <w:rsid w:val="00092B96"/>
    <w:rsid w:val="00095CFE"/>
    <w:rsid w:val="000A2C91"/>
    <w:rsid w:val="000A4962"/>
    <w:rsid w:val="000A5FAD"/>
    <w:rsid w:val="000B1412"/>
    <w:rsid w:val="000B17BC"/>
    <w:rsid w:val="000C2809"/>
    <w:rsid w:val="000C4D3B"/>
    <w:rsid w:val="000C569F"/>
    <w:rsid w:val="000C616B"/>
    <w:rsid w:val="000D163D"/>
    <w:rsid w:val="000D3699"/>
    <w:rsid w:val="000D6576"/>
    <w:rsid w:val="000E1B22"/>
    <w:rsid w:val="000E1F22"/>
    <w:rsid w:val="000E1F40"/>
    <w:rsid w:val="000E2646"/>
    <w:rsid w:val="000E3876"/>
    <w:rsid w:val="000E5D84"/>
    <w:rsid w:val="000E62BA"/>
    <w:rsid w:val="000F0485"/>
    <w:rsid w:val="000F0FEF"/>
    <w:rsid w:val="000F4925"/>
    <w:rsid w:val="000F5DD1"/>
    <w:rsid w:val="000F7F03"/>
    <w:rsid w:val="00100506"/>
    <w:rsid w:val="00100960"/>
    <w:rsid w:val="00103709"/>
    <w:rsid w:val="0010553B"/>
    <w:rsid w:val="00105B87"/>
    <w:rsid w:val="00111143"/>
    <w:rsid w:val="00111811"/>
    <w:rsid w:val="00112B8E"/>
    <w:rsid w:val="0011424C"/>
    <w:rsid w:val="00114D24"/>
    <w:rsid w:val="00120AA5"/>
    <w:rsid w:val="00126BDF"/>
    <w:rsid w:val="00127DD5"/>
    <w:rsid w:val="00131645"/>
    <w:rsid w:val="001334FB"/>
    <w:rsid w:val="00137D98"/>
    <w:rsid w:val="00142596"/>
    <w:rsid w:val="00151A7F"/>
    <w:rsid w:val="0015333B"/>
    <w:rsid w:val="001611CD"/>
    <w:rsid w:val="00164891"/>
    <w:rsid w:val="001672AE"/>
    <w:rsid w:val="001711A2"/>
    <w:rsid w:val="00176E11"/>
    <w:rsid w:val="00181684"/>
    <w:rsid w:val="00182EAB"/>
    <w:rsid w:val="00183097"/>
    <w:rsid w:val="001879E3"/>
    <w:rsid w:val="00193C64"/>
    <w:rsid w:val="001947DE"/>
    <w:rsid w:val="001950CC"/>
    <w:rsid w:val="001A1B1B"/>
    <w:rsid w:val="001A1E6E"/>
    <w:rsid w:val="001B2F63"/>
    <w:rsid w:val="001B5518"/>
    <w:rsid w:val="001B64B0"/>
    <w:rsid w:val="001C3214"/>
    <w:rsid w:val="001C3568"/>
    <w:rsid w:val="001C5625"/>
    <w:rsid w:val="001D120D"/>
    <w:rsid w:val="001D1B0B"/>
    <w:rsid w:val="001D50F7"/>
    <w:rsid w:val="001E0F6D"/>
    <w:rsid w:val="001E1BA0"/>
    <w:rsid w:val="001E20B4"/>
    <w:rsid w:val="001E31FD"/>
    <w:rsid w:val="001E4D85"/>
    <w:rsid w:val="001E50CE"/>
    <w:rsid w:val="001F027F"/>
    <w:rsid w:val="001F1146"/>
    <w:rsid w:val="001F3CB0"/>
    <w:rsid w:val="001F4F15"/>
    <w:rsid w:val="002010A9"/>
    <w:rsid w:val="00202BB5"/>
    <w:rsid w:val="002043AC"/>
    <w:rsid w:val="0021097E"/>
    <w:rsid w:val="00221419"/>
    <w:rsid w:val="0022323F"/>
    <w:rsid w:val="00224F50"/>
    <w:rsid w:val="00225289"/>
    <w:rsid w:val="00226D3F"/>
    <w:rsid w:val="00226E04"/>
    <w:rsid w:val="00230510"/>
    <w:rsid w:val="002333EC"/>
    <w:rsid w:val="002425F1"/>
    <w:rsid w:val="00244FDC"/>
    <w:rsid w:val="00252411"/>
    <w:rsid w:val="00253847"/>
    <w:rsid w:val="0025545F"/>
    <w:rsid w:val="00255EC9"/>
    <w:rsid w:val="0026579D"/>
    <w:rsid w:val="00280408"/>
    <w:rsid w:val="00284FA9"/>
    <w:rsid w:val="002858FF"/>
    <w:rsid w:val="0028763E"/>
    <w:rsid w:val="0028764D"/>
    <w:rsid w:val="0029101A"/>
    <w:rsid w:val="00296BD8"/>
    <w:rsid w:val="002A7ECD"/>
    <w:rsid w:val="002B1891"/>
    <w:rsid w:val="002B2FF1"/>
    <w:rsid w:val="002B6ACA"/>
    <w:rsid w:val="002B7915"/>
    <w:rsid w:val="002B7E28"/>
    <w:rsid w:val="002C330C"/>
    <w:rsid w:val="002C3451"/>
    <w:rsid w:val="002C52D6"/>
    <w:rsid w:val="002D1F8B"/>
    <w:rsid w:val="002D35CC"/>
    <w:rsid w:val="002D4A57"/>
    <w:rsid w:val="002D7860"/>
    <w:rsid w:val="002E0DFB"/>
    <w:rsid w:val="002E15D1"/>
    <w:rsid w:val="002F21D9"/>
    <w:rsid w:val="002F3513"/>
    <w:rsid w:val="0030035A"/>
    <w:rsid w:val="00301D89"/>
    <w:rsid w:val="003040C8"/>
    <w:rsid w:val="0030553D"/>
    <w:rsid w:val="00310D2A"/>
    <w:rsid w:val="00317056"/>
    <w:rsid w:val="003176CA"/>
    <w:rsid w:val="00322142"/>
    <w:rsid w:val="00324267"/>
    <w:rsid w:val="00324BCC"/>
    <w:rsid w:val="003303D5"/>
    <w:rsid w:val="00330AA8"/>
    <w:rsid w:val="00332F80"/>
    <w:rsid w:val="00334F8E"/>
    <w:rsid w:val="00336EB5"/>
    <w:rsid w:val="00340157"/>
    <w:rsid w:val="0034033E"/>
    <w:rsid w:val="00340786"/>
    <w:rsid w:val="00341069"/>
    <w:rsid w:val="003556BF"/>
    <w:rsid w:val="0036289D"/>
    <w:rsid w:val="00362EFC"/>
    <w:rsid w:val="00363C16"/>
    <w:rsid w:val="00366733"/>
    <w:rsid w:val="00367805"/>
    <w:rsid w:val="00371AB6"/>
    <w:rsid w:val="00373BF9"/>
    <w:rsid w:val="00375D37"/>
    <w:rsid w:val="00380E69"/>
    <w:rsid w:val="003839B5"/>
    <w:rsid w:val="003866D9"/>
    <w:rsid w:val="00394149"/>
    <w:rsid w:val="003946F1"/>
    <w:rsid w:val="00395D9B"/>
    <w:rsid w:val="003960E2"/>
    <w:rsid w:val="003A1F78"/>
    <w:rsid w:val="003A254A"/>
    <w:rsid w:val="003A6286"/>
    <w:rsid w:val="003B0F6D"/>
    <w:rsid w:val="003B3621"/>
    <w:rsid w:val="003B5CDE"/>
    <w:rsid w:val="003C2747"/>
    <w:rsid w:val="003C2E15"/>
    <w:rsid w:val="003C3CB2"/>
    <w:rsid w:val="003C726A"/>
    <w:rsid w:val="003C7439"/>
    <w:rsid w:val="003D1773"/>
    <w:rsid w:val="003D2840"/>
    <w:rsid w:val="003D29F8"/>
    <w:rsid w:val="003D4EDD"/>
    <w:rsid w:val="003E0366"/>
    <w:rsid w:val="003F0A29"/>
    <w:rsid w:val="00404148"/>
    <w:rsid w:val="0040539E"/>
    <w:rsid w:val="004067DB"/>
    <w:rsid w:val="00413322"/>
    <w:rsid w:val="0041593C"/>
    <w:rsid w:val="004204CF"/>
    <w:rsid w:val="00421C54"/>
    <w:rsid w:val="00424713"/>
    <w:rsid w:val="00424F93"/>
    <w:rsid w:val="0042647F"/>
    <w:rsid w:val="00427A07"/>
    <w:rsid w:val="00433519"/>
    <w:rsid w:val="0044391A"/>
    <w:rsid w:val="00444D90"/>
    <w:rsid w:val="00453A3C"/>
    <w:rsid w:val="00453B9B"/>
    <w:rsid w:val="00461D85"/>
    <w:rsid w:val="00462653"/>
    <w:rsid w:val="00464796"/>
    <w:rsid w:val="0046503E"/>
    <w:rsid w:val="00474A86"/>
    <w:rsid w:val="00476728"/>
    <w:rsid w:val="00481A9E"/>
    <w:rsid w:val="00481E9B"/>
    <w:rsid w:val="0048201D"/>
    <w:rsid w:val="0048351D"/>
    <w:rsid w:val="00483E6D"/>
    <w:rsid w:val="00493433"/>
    <w:rsid w:val="004A0B39"/>
    <w:rsid w:val="004A1695"/>
    <w:rsid w:val="004A7EBC"/>
    <w:rsid w:val="004B41FD"/>
    <w:rsid w:val="004B4C89"/>
    <w:rsid w:val="004B679D"/>
    <w:rsid w:val="004C7079"/>
    <w:rsid w:val="004D1130"/>
    <w:rsid w:val="004D14DB"/>
    <w:rsid w:val="004D5F98"/>
    <w:rsid w:val="004E400F"/>
    <w:rsid w:val="004F08A2"/>
    <w:rsid w:val="004F1735"/>
    <w:rsid w:val="004F2646"/>
    <w:rsid w:val="004F350F"/>
    <w:rsid w:val="004F5292"/>
    <w:rsid w:val="0050107E"/>
    <w:rsid w:val="0050537E"/>
    <w:rsid w:val="00510E3F"/>
    <w:rsid w:val="00511362"/>
    <w:rsid w:val="005116EA"/>
    <w:rsid w:val="00512000"/>
    <w:rsid w:val="0051593B"/>
    <w:rsid w:val="0051656E"/>
    <w:rsid w:val="00516678"/>
    <w:rsid w:val="0052121B"/>
    <w:rsid w:val="00523A9E"/>
    <w:rsid w:val="00524748"/>
    <w:rsid w:val="005271CC"/>
    <w:rsid w:val="0053075C"/>
    <w:rsid w:val="00531D5C"/>
    <w:rsid w:val="005338F0"/>
    <w:rsid w:val="0053406D"/>
    <w:rsid w:val="005344EF"/>
    <w:rsid w:val="005352DE"/>
    <w:rsid w:val="005376EC"/>
    <w:rsid w:val="005418C6"/>
    <w:rsid w:val="00544390"/>
    <w:rsid w:val="005562F0"/>
    <w:rsid w:val="005570D1"/>
    <w:rsid w:val="00557179"/>
    <w:rsid w:val="005600D0"/>
    <w:rsid w:val="00562EF0"/>
    <w:rsid w:val="0056595F"/>
    <w:rsid w:val="0057242D"/>
    <w:rsid w:val="00576690"/>
    <w:rsid w:val="00584D3A"/>
    <w:rsid w:val="005863F7"/>
    <w:rsid w:val="00590CBC"/>
    <w:rsid w:val="00592FE8"/>
    <w:rsid w:val="00594CE9"/>
    <w:rsid w:val="005955E4"/>
    <w:rsid w:val="00596E08"/>
    <w:rsid w:val="005979E3"/>
    <w:rsid w:val="005A0497"/>
    <w:rsid w:val="005A364F"/>
    <w:rsid w:val="005A3EE5"/>
    <w:rsid w:val="005B1680"/>
    <w:rsid w:val="005B3C3F"/>
    <w:rsid w:val="005B3ED8"/>
    <w:rsid w:val="005B5CE7"/>
    <w:rsid w:val="005B612D"/>
    <w:rsid w:val="005B6E3C"/>
    <w:rsid w:val="005C269A"/>
    <w:rsid w:val="005C4564"/>
    <w:rsid w:val="005C4A59"/>
    <w:rsid w:val="005C7AF3"/>
    <w:rsid w:val="005C7BE1"/>
    <w:rsid w:val="005D0AF1"/>
    <w:rsid w:val="005D5BB7"/>
    <w:rsid w:val="005D6AE7"/>
    <w:rsid w:val="005E0325"/>
    <w:rsid w:val="005E6104"/>
    <w:rsid w:val="005E6F88"/>
    <w:rsid w:val="005E759D"/>
    <w:rsid w:val="005F0C09"/>
    <w:rsid w:val="005F1C2D"/>
    <w:rsid w:val="005F2785"/>
    <w:rsid w:val="005F2811"/>
    <w:rsid w:val="005F3580"/>
    <w:rsid w:val="005F37AD"/>
    <w:rsid w:val="006032A1"/>
    <w:rsid w:val="00606F6E"/>
    <w:rsid w:val="00610D41"/>
    <w:rsid w:val="00615F56"/>
    <w:rsid w:val="00617DEE"/>
    <w:rsid w:val="00617E1A"/>
    <w:rsid w:val="00620E39"/>
    <w:rsid w:val="00627920"/>
    <w:rsid w:val="0063035B"/>
    <w:rsid w:val="006379A9"/>
    <w:rsid w:val="006425AF"/>
    <w:rsid w:val="00650D97"/>
    <w:rsid w:val="0065445A"/>
    <w:rsid w:val="00662E67"/>
    <w:rsid w:val="0066302C"/>
    <w:rsid w:val="006669F9"/>
    <w:rsid w:val="00670596"/>
    <w:rsid w:val="00673566"/>
    <w:rsid w:val="00676F8A"/>
    <w:rsid w:val="006815AF"/>
    <w:rsid w:val="006859BB"/>
    <w:rsid w:val="006866D8"/>
    <w:rsid w:val="006A0B2D"/>
    <w:rsid w:val="006A276D"/>
    <w:rsid w:val="006A29D3"/>
    <w:rsid w:val="006A2B8B"/>
    <w:rsid w:val="006A39B8"/>
    <w:rsid w:val="006B03EA"/>
    <w:rsid w:val="006B3136"/>
    <w:rsid w:val="006B4445"/>
    <w:rsid w:val="006C2325"/>
    <w:rsid w:val="006C2BA6"/>
    <w:rsid w:val="006C4F3B"/>
    <w:rsid w:val="006C5F7B"/>
    <w:rsid w:val="006D197C"/>
    <w:rsid w:val="006D1B41"/>
    <w:rsid w:val="006D2E50"/>
    <w:rsid w:val="006D3EDC"/>
    <w:rsid w:val="006E1909"/>
    <w:rsid w:val="006E3458"/>
    <w:rsid w:val="006E3BA5"/>
    <w:rsid w:val="006E57D9"/>
    <w:rsid w:val="006E5CAF"/>
    <w:rsid w:val="006F023E"/>
    <w:rsid w:val="006F28C9"/>
    <w:rsid w:val="006F2F40"/>
    <w:rsid w:val="006F3779"/>
    <w:rsid w:val="006F685E"/>
    <w:rsid w:val="00703D68"/>
    <w:rsid w:val="00716447"/>
    <w:rsid w:val="0071747C"/>
    <w:rsid w:val="00723321"/>
    <w:rsid w:val="00723885"/>
    <w:rsid w:val="00737592"/>
    <w:rsid w:val="00740A99"/>
    <w:rsid w:val="00741684"/>
    <w:rsid w:val="0074236A"/>
    <w:rsid w:val="00745DFB"/>
    <w:rsid w:val="007470D8"/>
    <w:rsid w:val="00747EFB"/>
    <w:rsid w:val="00750BB6"/>
    <w:rsid w:val="007518E8"/>
    <w:rsid w:val="00754732"/>
    <w:rsid w:val="00757610"/>
    <w:rsid w:val="00757BB0"/>
    <w:rsid w:val="00763CF8"/>
    <w:rsid w:val="00766F76"/>
    <w:rsid w:val="0076709B"/>
    <w:rsid w:val="00767C4E"/>
    <w:rsid w:val="00774A4F"/>
    <w:rsid w:val="00780D42"/>
    <w:rsid w:val="00783633"/>
    <w:rsid w:val="0078782D"/>
    <w:rsid w:val="007923E6"/>
    <w:rsid w:val="00794207"/>
    <w:rsid w:val="007955D8"/>
    <w:rsid w:val="007956F7"/>
    <w:rsid w:val="0079618E"/>
    <w:rsid w:val="007A2C11"/>
    <w:rsid w:val="007A725C"/>
    <w:rsid w:val="007A76C0"/>
    <w:rsid w:val="007B348A"/>
    <w:rsid w:val="007B394B"/>
    <w:rsid w:val="007B53A9"/>
    <w:rsid w:val="007C4949"/>
    <w:rsid w:val="007C6973"/>
    <w:rsid w:val="007D26CA"/>
    <w:rsid w:val="007D480F"/>
    <w:rsid w:val="007D6296"/>
    <w:rsid w:val="007D736A"/>
    <w:rsid w:val="007E0493"/>
    <w:rsid w:val="007E4F71"/>
    <w:rsid w:val="007E4FBF"/>
    <w:rsid w:val="007E5283"/>
    <w:rsid w:val="007E5DE4"/>
    <w:rsid w:val="007E600A"/>
    <w:rsid w:val="007E66A3"/>
    <w:rsid w:val="007E6B19"/>
    <w:rsid w:val="007F2AAF"/>
    <w:rsid w:val="007F3946"/>
    <w:rsid w:val="007F4C64"/>
    <w:rsid w:val="008007E0"/>
    <w:rsid w:val="00802F0B"/>
    <w:rsid w:val="0080450E"/>
    <w:rsid w:val="00805FF4"/>
    <w:rsid w:val="00810CEB"/>
    <w:rsid w:val="00832A7D"/>
    <w:rsid w:val="008374CD"/>
    <w:rsid w:val="0084116F"/>
    <w:rsid w:val="0084207F"/>
    <w:rsid w:val="0084278E"/>
    <w:rsid w:val="00847A9D"/>
    <w:rsid w:val="00850F70"/>
    <w:rsid w:val="00852718"/>
    <w:rsid w:val="00854043"/>
    <w:rsid w:val="00862B35"/>
    <w:rsid w:val="00864678"/>
    <w:rsid w:val="008655BE"/>
    <w:rsid w:val="00866AE3"/>
    <w:rsid w:val="00872537"/>
    <w:rsid w:val="00872D17"/>
    <w:rsid w:val="008755C9"/>
    <w:rsid w:val="00881E00"/>
    <w:rsid w:val="00882E75"/>
    <w:rsid w:val="0088301F"/>
    <w:rsid w:val="008856AB"/>
    <w:rsid w:val="008862EB"/>
    <w:rsid w:val="00895CCE"/>
    <w:rsid w:val="008A12A4"/>
    <w:rsid w:val="008A1480"/>
    <w:rsid w:val="008A254F"/>
    <w:rsid w:val="008A662F"/>
    <w:rsid w:val="008B3668"/>
    <w:rsid w:val="008B5558"/>
    <w:rsid w:val="008C12AC"/>
    <w:rsid w:val="008C29C5"/>
    <w:rsid w:val="008C29E4"/>
    <w:rsid w:val="008C5BD9"/>
    <w:rsid w:val="008C5FA5"/>
    <w:rsid w:val="008C7271"/>
    <w:rsid w:val="008C7BAB"/>
    <w:rsid w:val="008D000D"/>
    <w:rsid w:val="008D40B8"/>
    <w:rsid w:val="008E1E97"/>
    <w:rsid w:val="008E2671"/>
    <w:rsid w:val="008E2C81"/>
    <w:rsid w:val="008E5082"/>
    <w:rsid w:val="008E74E3"/>
    <w:rsid w:val="008F2CFF"/>
    <w:rsid w:val="008F71B1"/>
    <w:rsid w:val="008F725D"/>
    <w:rsid w:val="00901FEB"/>
    <w:rsid w:val="0090534F"/>
    <w:rsid w:val="0090751C"/>
    <w:rsid w:val="00910BA2"/>
    <w:rsid w:val="00925915"/>
    <w:rsid w:val="0092761F"/>
    <w:rsid w:val="0093490F"/>
    <w:rsid w:val="0094497E"/>
    <w:rsid w:val="00946282"/>
    <w:rsid w:val="00951CE5"/>
    <w:rsid w:val="00953233"/>
    <w:rsid w:val="009560BF"/>
    <w:rsid w:val="00962CD9"/>
    <w:rsid w:val="00966656"/>
    <w:rsid w:val="00970C90"/>
    <w:rsid w:val="00970C9E"/>
    <w:rsid w:val="00971E22"/>
    <w:rsid w:val="00972BF4"/>
    <w:rsid w:val="00981AAC"/>
    <w:rsid w:val="0098688F"/>
    <w:rsid w:val="0098726A"/>
    <w:rsid w:val="00991520"/>
    <w:rsid w:val="009919E5"/>
    <w:rsid w:val="00994CA4"/>
    <w:rsid w:val="009953AE"/>
    <w:rsid w:val="0099569F"/>
    <w:rsid w:val="00995F22"/>
    <w:rsid w:val="009A1595"/>
    <w:rsid w:val="009A3779"/>
    <w:rsid w:val="009A7A46"/>
    <w:rsid w:val="009A7C80"/>
    <w:rsid w:val="009A7FC3"/>
    <w:rsid w:val="009B000F"/>
    <w:rsid w:val="009B1DDC"/>
    <w:rsid w:val="009B5717"/>
    <w:rsid w:val="009B6AE4"/>
    <w:rsid w:val="009B6C3C"/>
    <w:rsid w:val="009B7D2C"/>
    <w:rsid w:val="009C1F96"/>
    <w:rsid w:val="009C4BFF"/>
    <w:rsid w:val="009C7E6A"/>
    <w:rsid w:val="009D486F"/>
    <w:rsid w:val="009D4B6E"/>
    <w:rsid w:val="009E0FB3"/>
    <w:rsid w:val="009E105B"/>
    <w:rsid w:val="009E1115"/>
    <w:rsid w:val="009E3688"/>
    <w:rsid w:val="009E3B24"/>
    <w:rsid w:val="009E44E5"/>
    <w:rsid w:val="009E4BEC"/>
    <w:rsid w:val="009E4CCF"/>
    <w:rsid w:val="009E5670"/>
    <w:rsid w:val="009E5C87"/>
    <w:rsid w:val="009F1793"/>
    <w:rsid w:val="009F5A85"/>
    <w:rsid w:val="00A01828"/>
    <w:rsid w:val="00A04EE7"/>
    <w:rsid w:val="00A07C93"/>
    <w:rsid w:val="00A132AB"/>
    <w:rsid w:val="00A15DE9"/>
    <w:rsid w:val="00A23ADE"/>
    <w:rsid w:val="00A241CD"/>
    <w:rsid w:val="00A2541E"/>
    <w:rsid w:val="00A27DF6"/>
    <w:rsid w:val="00A31746"/>
    <w:rsid w:val="00A327F2"/>
    <w:rsid w:val="00A353E8"/>
    <w:rsid w:val="00A36395"/>
    <w:rsid w:val="00A377EB"/>
    <w:rsid w:val="00A423BB"/>
    <w:rsid w:val="00A441FC"/>
    <w:rsid w:val="00A50D29"/>
    <w:rsid w:val="00A52B56"/>
    <w:rsid w:val="00A53C86"/>
    <w:rsid w:val="00A57A64"/>
    <w:rsid w:val="00A6151B"/>
    <w:rsid w:val="00A63480"/>
    <w:rsid w:val="00A653AC"/>
    <w:rsid w:val="00A72EFA"/>
    <w:rsid w:val="00A73770"/>
    <w:rsid w:val="00A775AE"/>
    <w:rsid w:val="00A77DE1"/>
    <w:rsid w:val="00A8087F"/>
    <w:rsid w:val="00A80DAF"/>
    <w:rsid w:val="00A80F66"/>
    <w:rsid w:val="00A841CB"/>
    <w:rsid w:val="00A84560"/>
    <w:rsid w:val="00A84C29"/>
    <w:rsid w:val="00A8790B"/>
    <w:rsid w:val="00A90FB4"/>
    <w:rsid w:val="00A93170"/>
    <w:rsid w:val="00A9327F"/>
    <w:rsid w:val="00A96CB0"/>
    <w:rsid w:val="00A97215"/>
    <w:rsid w:val="00AA04F2"/>
    <w:rsid w:val="00AA7269"/>
    <w:rsid w:val="00AB2CBD"/>
    <w:rsid w:val="00AB5B5A"/>
    <w:rsid w:val="00AC2097"/>
    <w:rsid w:val="00AC214B"/>
    <w:rsid w:val="00AC29E9"/>
    <w:rsid w:val="00AC57C0"/>
    <w:rsid w:val="00AD1D1A"/>
    <w:rsid w:val="00AD4CDD"/>
    <w:rsid w:val="00AD7138"/>
    <w:rsid w:val="00AE1FD0"/>
    <w:rsid w:val="00AE2332"/>
    <w:rsid w:val="00AE2A6E"/>
    <w:rsid w:val="00AE308D"/>
    <w:rsid w:val="00AF35A7"/>
    <w:rsid w:val="00AF380F"/>
    <w:rsid w:val="00AF6AFB"/>
    <w:rsid w:val="00B035D9"/>
    <w:rsid w:val="00B03910"/>
    <w:rsid w:val="00B05850"/>
    <w:rsid w:val="00B06846"/>
    <w:rsid w:val="00B07033"/>
    <w:rsid w:val="00B13C76"/>
    <w:rsid w:val="00B161E5"/>
    <w:rsid w:val="00B177EF"/>
    <w:rsid w:val="00B257F1"/>
    <w:rsid w:val="00B34D9D"/>
    <w:rsid w:val="00B35576"/>
    <w:rsid w:val="00B409AD"/>
    <w:rsid w:val="00B4146A"/>
    <w:rsid w:val="00B4244A"/>
    <w:rsid w:val="00B443C1"/>
    <w:rsid w:val="00B44465"/>
    <w:rsid w:val="00B47674"/>
    <w:rsid w:val="00B50CC2"/>
    <w:rsid w:val="00B62758"/>
    <w:rsid w:val="00B70A1E"/>
    <w:rsid w:val="00B715FC"/>
    <w:rsid w:val="00B77EE6"/>
    <w:rsid w:val="00B80C4A"/>
    <w:rsid w:val="00B80D41"/>
    <w:rsid w:val="00B80DC2"/>
    <w:rsid w:val="00B83A4F"/>
    <w:rsid w:val="00B85335"/>
    <w:rsid w:val="00B9128F"/>
    <w:rsid w:val="00B949C2"/>
    <w:rsid w:val="00B94BA0"/>
    <w:rsid w:val="00BA07D4"/>
    <w:rsid w:val="00BA2958"/>
    <w:rsid w:val="00BA360F"/>
    <w:rsid w:val="00BA6F9E"/>
    <w:rsid w:val="00BB6346"/>
    <w:rsid w:val="00BB73F5"/>
    <w:rsid w:val="00BC2C40"/>
    <w:rsid w:val="00BC3ADE"/>
    <w:rsid w:val="00BC7D48"/>
    <w:rsid w:val="00BD068B"/>
    <w:rsid w:val="00BD0F6B"/>
    <w:rsid w:val="00BD229A"/>
    <w:rsid w:val="00BD63F3"/>
    <w:rsid w:val="00BD6E6B"/>
    <w:rsid w:val="00BD7714"/>
    <w:rsid w:val="00BD7D33"/>
    <w:rsid w:val="00BE0C27"/>
    <w:rsid w:val="00BE2D48"/>
    <w:rsid w:val="00BE548F"/>
    <w:rsid w:val="00BE5B65"/>
    <w:rsid w:val="00BF1DA8"/>
    <w:rsid w:val="00BF4867"/>
    <w:rsid w:val="00BF5938"/>
    <w:rsid w:val="00C00227"/>
    <w:rsid w:val="00C01B9F"/>
    <w:rsid w:val="00C04548"/>
    <w:rsid w:val="00C06123"/>
    <w:rsid w:val="00C06B72"/>
    <w:rsid w:val="00C074A3"/>
    <w:rsid w:val="00C11662"/>
    <w:rsid w:val="00C14168"/>
    <w:rsid w:val="00C150B8"/>
    <w:rsid w:val="00C157F6"/>
    <w:rsid w:val="00C2028F"/>
    <w:rsid w:val="00C2274D"/>
    <w:rsid w:val="00C27A10"/>
    <w:rsid w:val="00C35924"/>
    <w:rsid w:val="00C41965"/>
    <w:rsid w:val="00C41A08"/>
    <w:rsid w:val="00C4249F"/>
    <w:rsid w:val="00C47D9E"/>
    <w:rsid w:val="00C47E14"/>
    <w:rsid w:val="00C539A3"/>
    <w:rsid w:val="00C555D5"/>
    <w:rsid w:val="00C57270"/>
    <w:rsid w:val="00C63417"/>
    <w:rsid w:val="00C71A73"/>
    <w:rsid w:val="00C73E2F"/>
    <w:rsid w:val="00C74AAD"/>
    <w:rsid w:val="00C769E3"/>
    <w:rsid w:val="00C80FF7"/>
    <w:rsid w:val="00C820AD"/>
    <w:rsid w:val="00C83C1A"/>
    <w:rsid w:val="00C83EA6"/>
    <w:rsid w:val="00C863C5"/>
    <w:rsid w:val="00C95B05"/>
    <w:rsid w:val="00CA1039"/>
    <w:rsid w:val="00CA1434"/>
    <w:rsid w:val="00CA3F5F"/>
    <w:rsid w:val="00CA45F7"/>
    <w:rsid w:val="00CA7A65"/>
    <w:rsid w:val="00CB234E"/>
    <w:rsid w:val="00CB5ADC"/>
    <w:rsid w:val="00CB6A52"/>
    <w:rsid w:val="00CB7589"/>
    <w:rsid w:val="00CB7F52"/>
    <w:rsid w:val="00CC1E4B"/>
    <w:rsid w:val="00CC2502"/>
    <w:rsid w:val="00CC3BD3"/>
    <w:rsid w:val="00CC3E74"/>
    <w:rsid w:val="00CC4DA9"/>
    <w:rsid w:val="00CD1F73"/>
    <w:rsid w:val="00CD414D"/>
    <w:rsid w:val="00CD4CDA"/>
    <w:rsid w:val="00CD52D0"/>
    <w:rsid w:val="00CD5540"/>
    <w:rsid w:val="00CE03C3"/>
    <w:rsid w:val="00CE1816"/>
    <w:rsid w:val="00CE4207"/>
    <w:rsid w:val="00CE5B24"/>
    <w:rsid w:val="00CE7661"/>
    <w:rsid w:val="00CF008C"/>
    <w:rsid w:val="00CF0D45"/>
    <w:rsid w:val="00D00AE6"/>
    <w:rsid w:val="00D018A5"/>
    <w:rsid w:val="00D02E9B"/>
    <w:rsid w:val="00D05DEA"/>
    <w:rsid w:val="00D0621D"/>
    <w:rsid w:val="00D12E3C"/>
    <w:rsid w:val="00D15F96"/>
    <w:rsid w:val="00D20F1E"/>
    <w:rsid w:val="00D22B93"/>
    <w:rsid w:val="00D24733"/>
    <w:rsid w:val="00D27F1F"/>
    <w:rsid w:val="00D3527B"/>
    <w:rsid w:val="00D37E1D"/>
    <w:rsid w:val="00D42BBC"/>
    <w:rsid w:val="00D45ED0"/>
    <w:rsid w:val="00D52F48"/>
    <w:rsid w:val="00D533F8"/>
    <w:rsid w:val="00D55D96"/>
    <w:rsid w:val="00D56BBE"/>
    <w:rsid w:val="00D573A3"/>
    <w:rsid w:val="00D6269C"/>
    <w:rsid w:val="00D64A6C"/>
    <w:rsid w:val="00D65ABF"/>
    <w:rsid w:val="00D8015E"/>
    <w:rsid w:val="00D80A9B"/>
    <w:rsid w:val="00D82495"/>
    <w:rsid w:val="00D841BA"/>
    <w:rsid w:val="00D86F16"/>
    <w:rsid w:val="00D87B62"/>
    <w:rsid w:val="00D9315E"/>
    <w:rsid w:val="00DA07AF"/>
    <w:rsid w:val="00DA2775"/>
    <w:rsid w:val="00DA4EE7"/>
    <w:rsid w:val="00DA70F7"/>
    <w:rsid w:val="00DA7567"/>
    <w:rsid w:val="00DB23B1"/>
    <w:rsid w:val="00DB73C2"/>
    <w:rsid w:val="00DB7680"/>
    <w:rsid w:val="00DC13F5"/>
    <w:rsid w:val="00DC1AC6"/>
    <w:rsid w:val="00DC4DD1"/>
    <w:rsid w:val="00DC5DDB"/>
    <w:rsid w:val="00DD28D5"/>
    <w:rsid w:val="00DD2AD4"/>
    <w:rsid w:val="00DD31F5"/>
    <w:rsid w:val="00DD595E"/>
    <w:rsid w:val="00DE27F9"/>
    <w:rsid w:val="00DE28BE"/>
    <w:rsid w:val="00DE6E24"/>
    <w:rsid w:val="00DE7B9D"/>
    <w:rsid w:val="00DE7EDF"/>
    <w:rsid w:val="00DF1CDC"/>
    <w:rsid w:val="00DF1FF9"/>
    <w:rsid w:val="00DF2821"/>
    <w:rsid w:val="00E00A63"/>
    <w:rsid w:val="00E00FC7"/>
    <w:rsid w:val="00E06B78"/>
    <w:rsid w:val="00E11605"/>
    <w:rsid w:val="00E14965"/>
    <w:rsid w:val="00E15AAD"/>
    <w:rsid w:val="00E15B85"/>
    <w:rsid w:val="00E168D9"/>
    <w:rsid w:val="00E17EF2"/>
    <w:rsid w:val="00E251B6"/>
    <w:rsid w:val="00E25B1C"/>
    <w:rsid w:val="00E27BA6"/>
    <w:rsid w:val="00E440B1"/>
    <w:rsid w:val="00E44167"/>
    <w:rsid w:val="00E51507"/>
    <w:rsid w:val="00E52AC1"/>
    <w:rsid w:val="00E54AA0"/>
    <w:rsid w:val="00E5722E"/>
    <w:rsid w:val="00E57AE4"/>
    <w:rsid w:val="00E57BB1"/>
    <w:rsid w:val="00E613E8"/>
    <w:rsid w:val="00E61836"/>
    <w:rsid w:val="00E62C07"/>
    <w:rsid w:val="00E6378A"/>
    <w:rsid w:val="00E70109"/>
    <w:rsid w:val="00E72C66"/>
    <w:rsid w:val="00E737AC"/>
    <w:rsid w:val="00E84289"/>
    <w:rsid w:val="00E90784"/>
    <w:rsid w:val="00E9797C"/>
    <w:rsid w:val="00EA134E"/>
    <w:rsid w:val="00EA54DE"/>
    <w:rsid w:val="00EA62CF"/>
    <w:rsid w:val="00EA679B"/>
    <w:rsid w:val="00EB0D31"/>
    <w:rsid w:val="00EB2163"/>
    <w:rsid w:val="00EB2732"/>
    <w:rsid w:val="00EB2955"/>
    <w:rsid w:val="00EB2F15"/>
    <w:rsid w:val="00EB56A3"/>
    <w:rsid w:val="00EB6F09"/>
    <w:rsid w:val="00EC1145"/>
    <w:rsid w:val="00EC3233"/>
    <w:rsid w:val="00EC542E"/>
    <w:rsid w:val="00EE0A6F"/>
    <w:rsid w:val="00EE2F6C"/>
    <w:rsid w:val="00EE323F"/>
    <w:rsid w:val="00EE4053"/>
    <w:rsid w:val="00EE4A67"/>
    <w:rsid w:val="00EE4F2A"/>
    <w:rsid w:val="00EF0711"/>
    <w:rsid w:val="00EF6512"/>
    <w:rsid w:val="00EF6B7A"/>
    <w:rsid w:val="00F00F90"/>
    <w:rsid w:val="00F02B3A"/>
    <w:rsid w:val="00F02B4A"/>
    <w:rsid w:val="00F07BC2"/>
    <w:rsid w:val="00F07F3C"/>
    <w:rsid w:val="00F13F03"/>
    <w:rsid w:val="00F13FF6"/>
    <w:rsid w:val="00F14341"/>
    <w:rsid w:val="00F14EDE"/>
    <w:rsid w:val="00F16CE8"/>
    <w:rsid w:val="00F17083"/>
    <w:rsid w:val="00F20461"/>
    <w:rsid w:val="00F216CC"/>
    <w:rsid w:val="00F2604A"/>
    <w:rsid w:val="00F2720F"/>
    <w:rsid w:val="00F27282"/>
    <w:rsid w:val="00F30F23"/>
    <w:rsid w:val="00F31EEB"/>
    <w:rsid w:val="00F320CB"/>
    <w:rsid w:val="00F404F6"/>
    <w:rsid w:val="00F45346"/>
    <w:rsid w:val="00F4575C"/>
    <w:rsid w:val="00F5522E"/>
    <w:rsid w:val="00F619A9"/>
    <w:rsid w:val="00F63227"/>
    <w:rsid w:val="00F639FD"/>
    <w:rsid w:val="00F65CFB"/>
    <w:rsid w:val="00F66132"/>
    <w:rsid w:val="00F70BD9"/>
    <w:rsid w:val="00F70D4B"/>
    <w:rsid w:val="00F7435F"/>
    <w:rsid w:val="00F80817"/>
    <w:rsid w:val="00F86BDE"/>
    <w:rsid w:val="00F90C8D"/>
    <w:rsid w:val="00F91E64"/>
    <w:rsid w:val="00F96E6E"/>
    <w:rsid w:val="00FA3683"/>
    <w:rsid w:val="00FA44F1"/>
    <w:rsid w:val="00FA55C0"/>
    <w:rsid w:val="00FA6F38"/>
    <w:rsid w:val="00FB06A4"/>
    <w:rsid w:val="00FB2861"/>
    <w:rsid w:val="00FB2BD4"/>
    <w:rsid w:val="00FB5C38"/>
    <w:rsid w:val="00FC1D38"/>
    <w:rsid w:val="00FC222F"/>
    <w:rsid w:val="00FC5850"/>
    <w:rsid w:val="00FD26D7"/>
    <w:rsid w:val="00FD5DFE"/>
    <w:rsid w:val="00FE0CC4"/>
    <w:rsid w:val="00FE7420"/>
    <w:rsid w:val="00FE7D9B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0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E50"/>
    <w:pPr>
      <w:ind w:left="720"/>
      <w:contextualSpacing/>
    </w:pPr>
    <w:rPr>
      <w:rFonts w:ascii="GHEA Grapalat" w:hAnsi="GHEA Grapalat"/>
      <w:sz w:val="24"/>
      <w:lang w:val="en-US"/>
    </w:rPr>
  </w:style>
  <w:style w:type="paragraph" w:customStyle="1" w:styleId="Default">
    <w:name w:val="Default"/>
    <w:rsid w:val="006D2E50"/>
    <w:pPr>
      <w:widowControl w:val="0"/>
      <w:autoSpaceDN w:val="0"/>
      <w:adjustRightInd w:val="0"/>
      <w:spacing w:line="254" w:lineRule="auto"/>
    </w:pPr>
    <w:rPr>
      <w:rFonts w:ascii="Calibri" w:eastAsia="Times New Roman" w:hAnsi="Calibri" w:cs="Calibri"/>
      <w:lang w:val="en-US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15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15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15FC"/>
    <w:rPr>
      <w:vertAlign w:val="superscript"/>
    </w:rPr>
  </w:style>
  <w:style w:type="table" w:styleId="TableGrid">
    <w:name w:val="Table Grid"/>
    <w:basedOn w:val="TableNormal"/>
    <w:uiPriority w:val="39"/>
    <w:rsid w:val="00E52AC1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C1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E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E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E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1E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E4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A49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E50"/>
    <w:pPr>
      <w:ind w:left="720"/>
      <w:contextualSpacing/>
    </w:pPr>
    <w:rPr>
      <w:rFonts w:ascii="GHEA Grapalat" w:hAnsi="GHEA Grapalat"/>
      <w:sz w:val="24"/>
      <w:lang w:val="en-US"/>
    </w:rPr>
  </w:style>
  <w:style w:type="paragraph" w:customStyle="1" w:styleId="Default">
    <w:name w:val="Default"/>
    <w:rsid w:val="006D2E50"/>
    <w:pPr>
      <w:widowControl w:val="0"/>
      <w:autoSpaceDN w:val="0"/>
      <w:adjustRightInd w:val="0"/>
      <w:spacing w:line="254" w:lineRule="auto"/>
    </w:pPr>
    <w:rPr>
      <w:rFonts w:ascii="Calibri" w:eastAsia="Times New Roman" w:hAnsi="Calibri" w:cs="Calibri"/>
      <w:lang w:val="en-US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15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15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15FC"/>
    <w:rPr>
      <w:vertAlign w:val="superscript"/>
    </w:rPr>
  </w:style>
  <w:style w:type="table" w:styleId="TableGrid">
    <w:name w:val="Table Grid"/>
    <w:basedOn w:val="TableNormal"/>
    <w:uiPriority w:val="39"/>
    <w:rsid w:val="00E52AC1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C1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E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E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E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1E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E4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A49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35C17-EF9D-4552-802E-2977B7E5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intrel@armsai.am</dc:creator>
  <cp:keywords/>
  <dc:description/>
  <cp:lastModifiedBy>admin</cp:lastModifiedBy>
  <cp:revision>117</cp:revision>
  <dcterms:created xsi:type="dcterms:W3CDTF">2022-11-23T13:01:00Z</dcterms:created>
  <dcterms:modified xsi:type="dcterms:W3CDTF">2022-11-29T11:48:00Z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-1373078507</vt:i4>
  </property>
  <property fmtid="{D5CDD505-2E9C-101B-9397-08002B2CF9AE}" pid="3" name="_NewReviewCycle">
    <vt:lpwstr/>
  </property>
  <property fmtid="{D5CDD505-2E9C-101B-9397-08002B2CF9AE}" pid="4" name="_EmailSubject">
    <vt:lpwstr>2023թ. գործունեության ծրագիր - վերանայված նախագիծ և ամփոփաթերթ</vt:lpwstr>
  </property>
  <property fmtid="{D5CDD505-2E9C-101B-9397-08002B2CF9AE}" pid="5" name="_AuthorEmail">
    <vt:lpwstr>atom.janjughazyan@armsai.am</vt:lpwstr>
  </property>
  <property fmtid="{D5CDD505-2E9C-101B-9397-08002B2CF9AE}" pid="6" name="_AuthorEmailDisplayName">
    <vt:lpwstr>atom.janjughazyan@armsai.am</vt:lpwstr>
  </property>
  <property fmtid="{D5CDD505-2E9C-101B-9397-08002B2CF9AE}" pid="7" name="_ReviewingToolsShownOnce">
    <vt:lpwstr/>
  </property>
</Properties>
</file>