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5B" w:rsidRPr="002C46F3" w:rsidRDefault="00EC4357" w:rsidP="002C46F3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444EE4">
        <w:rPr>
          <w:rFonts w:ascii="GHEA Grapalat" w:eastAsia="Times New Roman" w:hAnsi="GHEA Grapalat" w:cs="Sylfae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D059B" w:rsidRPr="00444EE4">
        <w:rPr>
          <w:rFonts w:ascii="GHEA Grapalat" w:eastAsia="Times New Roman" w:hAnsi="GHEA Grapalat" w:cs="Sylfaen"/>
          <w:sz w:val="24"/>
          <w:szCs w:val="24"/>
        </w:rPr>
        <w:t xml:space="preserve">     </w:t>
      </w:r>
      <w:r w:rsidRPr="00444EE4">
        <w:rPr>
          <w:rFonts w:ascii="GHEA Grapalat" w:eastAsia="Times New Roman" w:hAnsi="GHEA Grapalat" w:cs="Sylfaen"/>
          <w:sz w:val="24"/>
          <w:szCs w:val="24"/>
        </w:rPr>
        <w:t xml:space="preserve">  </w:t>
      </w:r>
      <w:proofErr w:type="spellStart"/>
      <w:r w:rsidR="002C46F3" w:rsidRPr="002C46F3">
        <w:rPr>
          <w:rFonts w:ascii="GHEA Grapalat" w:eastAsia="Times New Roman" w:hAnsi="GHEA Grapalat" w:cs="Sylfaen"/>
          <w:sz w:val="20"/>
          <w:szCs w:val="20"/>
        </w:rPr>
        <w:t>Հավելված</w:t>
      </w:r>
      <w:proofErr w:type="spellEnd"/>
      <w:r w:rsidR="002C46F3" w:rsidRPr="002C46F3">
        <w:rPr>
          <w:rFonts w:ascii="GHEA Grapalat" w:eastAsia="Times New Roman" w:hAnsi="GHEA Grapalat" w:cs="Sylfaen"/>
          <w:sz w:val="20"/>
          <w:szCs w:val="20"/>
        </w:rPr>
        <w:t xml:space="preserve"> </w:t>
      </w:r>
    </w:p>
    <w:p w:rsidR="00A16B5B" w:rsidRPr="002C46F3" w:rsidRDefault="00A16B5B" w:rsidP="002C46F3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2C46F3">
        <w:rPr>
          <w:rFonts w:ascii="GHEA Grapalat" w:eastAsia="Times New Roman" w:hAnsi="GHEA Grapalat" w:cs="Sylfaen"/>
          <w:sz w:val="20"/>
          <w:szCs w:val="20"/>
          <w:lang w:val="hy-AM"/>
        </w:rPr>
        <w:t>Հաստատված է՝</w:t>
      </w:r>
    </w:p>
    <w:p w:rsidR="00A16B5B" w:rsidRPr="002C46F3" w:rsidRDefault="00A16B5B" w:rsidP="002C46F3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2C46F3">
        <w:rPr>
          <w:rFonts w:ascii="GHEA Grapalat" w:eastAsia="Times New Roman" w:hAnsi="GHEA Grapalat" w:cs="Sylfaen"/>
          <w:sz w:val="20"/>
          <w:szCs w:val="20"/>
          <w:lang w:val="hy-AM"/>
        </w:rPr>
        <w:t>վարչապետի աշխատակազմի ղեկավարի</w:t>
      </w:r>
    </w:p>
    <w:p w:rsidR="007815DE" w:rsidRDefault="007815DE" w:rsidP="007815DE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2020 թ.  դեկտեմբերի 29-ի N </w:t>
      </w:r>
      <w:r w:rsidRPr="007815DE">
        <w:rPr>
          <w:rFonts w:ascii="GHEA Grapalat" w:eastAsia="Times New Roman" w:hAnsi="GHEA Grapalat" w:cs="Sylfaen"/>
          <w:sz w:val="20"/>
          <w:szCs w:val="20"/>
          <w:lang w:val="hy-AM"/>
        </w:rPr>
        <w:t>2112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-Լ հրամանով</w:t>
      </w:r>
    </w:p>
    <w:p w:rsidR="004211F1" w:rsidRPr="00444EE4" w:rsidRDefault="004211F1" w:rsidP="00A16B5B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bookmarkStart w:id="0" w:name="_GoBack"/>
      <w:bookmarkEnd w:id="0"/>
    </w:p>
    <w:p w:rsidR="004211F1" w:rsidRPr="00444EE4" w:rsidRDefault="004211F1" w:rsidP="004211F1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6B5E91" w:rsidRPr="002C46F3" w:rsidRDefault="004211F1" w:rsidP="002C46F3">
      <w:pPr>
        <w:pStyle w:val="BodyText"/>
        <w:spacing w:after="120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2C46F3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Pr="002C46F3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2C46F3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Pr="002C46F3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2C46F3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Pr="002C46F3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2C46F3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:rsidR="00444EE4" w:rsidRPr="00444EE4" w:rsidRDefault="00FA0F3C" w:rsidP="002C46F3">
      <w:pPr>
        <w:pStyle w:val="BodyText"/>
        <w:rPr>
          <w:rFonts w:ascii="GHEA Grapalat" w:hAnsi="GHEA Grapalat"/>
          <w:b/>
          <w:lang w:val="hy-AM"/>
        </w:rPr>
      </w:pPr>
      <w:r w:rsidRPr="00444EE4">
        <w:rPr>
          <w:rFonts w:ascii="GHEA Grapalat" w:hAnsi="GHEA Grapalat"/>
          <w:b/>
          <w:lang w:val="hy-AM"/>
        </w:rPr>
        <w:t xml:space="preserve">ՎԱՐՉԱՊԵՏԻ ԱՇԽԱՏԱԿԱԶՄԻ </w:t>
      </w:r>
      <w:r w:rsidR="00674318" w:rsidRPr="00444EE4">
        <w:rPr>
          <w:rFonts w:ascii="GHEA Grapalat" w:hAnsi="GHEA Grapalat"/>
          <w:b/>
          <w:lang w:val="hy-AM"/>
        </w:rPr>
        <w:t>ԱՐՏԱՔԻՆ ԿԱՊԵՐԻ</w:t>
      </w:r>
      <w:r w:rsidR="00C84AF8" w:rsidRPr="00444EE4">
        <w:rPr>
          <w:rFonts w:ascii="GHEA Grapalat" w:hAnsi="GHEA Grapalat"/>
          <w:b/>
          <w:lang w:val="hy-AM"/>
        </w:rPr>
        <w:t xml:space="preserve"> </w:t>
      </w:r>
      <w:r w:rsidR="00444EE4" w:rsidRPr="00444EE4">
        <w:rPr>
          <w:rFonts w:ascii="GHEA Grapalat" w:hAnsi="GHEA Grapalat"/>
          <w:b/>
          <w:lang w:val="hy-AM"/>
        </w:rPr>
        <w:t>ՎԱՐՉՈՒԹՅԱՆ</w:t>
      </w:r>
    </w:p>
    <w:p w:rsidR="004211F1" w:rsidRPr="002C46F3" w:rsidRDefault="00741A2F" w:rsidP="002C46F3">
      <w:pPr>
        <w:pStyle w:val="BodyText"/>
        <w:rPr>
          <w:rFonts w:ascii="GHEA Grapalat" w:hAnsi="GHEA Grapalat"/>
          <w:b/>
          <w:lang w:val="hy-AM"/>
        </w:rPr>
      </w:pPr>
      <w:r w:rsidRPr="00444EE4">
        <w:rPr>
          <w:rFonts w:ascii="GHEA Grapalat" w:hAnsi="GHEA Grapalat" w:cs="Sylfaen"/>
          <w:b/>
          <w:lang w:val="hy-AM"/>
        </w:rPr>
        <w:t>ԳԼԽԱՎՈՐ ՄԱՍՆԱԳԵՏ</w:t>
      </w:r>
      <w:r w:rsidR="004211F1" w:rsidRPr="00444EE4">
        <w:rPr>
          <w:rFonts w:ascii="Calibri" w:hAnsi="Calibri" w:cs="Calibri"/>
          <w:lang w:val="hy-AM"/>
        </w:rPr>
        <w:t> 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444EE4" w:rsidTr="00644BB4">
        <w:tc>
          <w:tcPr>
            <w:tcW w:w="10525" w:type="dxa"/>
            <w:hideMark/>
          </w:tcPr>
          <w:p w:rsidR="004211F1" w:rsidRPr="00444EE4" w:rsidRDefault="004211F1" w:rsidP="00644BB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44EE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444EE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444EE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4EE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4211F1" w:rsidRPr="007815DE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4211F1" w:rsidRPr="002C46F3" w:rsidRDefault="004211F1" w:rsidP="00514DE8">
            <w:pPr>
              <w:pStyle w:val="ListParagraph"/>
              <w:numPr>
                <w:ilvl w:val="1"/>
                <w:numId w:val="14"/>
              </w:numPr>
              <w:tabs>
                <w:tab w:val="left" w:pos="330"/>
              </w:tabs>
              <w:spacing w:before="100" w:beforeAutospacing="1" w:after="100" w:afterAutospacing="1" w:line="276" w:lineRule="auto"/>
              <w:ind w:left="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2C46F3">
              <w:rPr>
                <w:rFonts w:ascii="GHEA Grapalat" w:eastAsia="Times New Roman" w:hAnsi="GHEA Grapalat" w:cs="Arial"/>
                <w:b/>
                <w:sz w:val="24"/>
                <w:szCs w:val="24"/>
              </w:rPr>
              <w:t>Պաշտոնի</w:t>
            </w:r>
            <w:proofErr w:type="spellEnd"/>
            <w:r w:rsidRPr="002C46F3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C46F3">
              <w:rPr>
                <w:rFonts w:ascii="GHEA Grapalat" w:eastAsia="Times New Roman" w:hAnsi="GHEA Grapalat" w:cs="Arial"/>
                <w:b/>
                <w:sz w:val="24"/>
                <w:szCs w:val="24"/>
              </w:rPr>
              <w:t>անվանումը</w:t>
            </w:r>
            <w:proofErr w:type="spellEnd"/>
            <w:r w:rsidRPr="002C46F3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2C46F3">
              <w:rPr>
                <w:rFonts w:ascii="GHEA Grapalat" w:eastAsia="Times New Roman" w:hAnsi="GHEA Grapalat" w:cs="Arial"/>
                <w:b/>
                <w:sz w:val="24"/>
                <w:szCs w:val="24"/>
              </w:rPr>
              <w:t>ծածկագիրը</w:t>
            </w:r>
            <w:proofErr w:type="spellEnd"/>
            <w:r w:rsidRPr="002C46F3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2C46F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Վարչապետի աշխատակազմի</w:t>
            </w:r>
            <w:r w:rsidRPr="002C46F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2C46F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Աշխատակազմ)  </w:t>
            </w:r>
            <w:proofErr w:type="spellStart"/>
            <w:r w:rsidR="00674318" w:rsidRPr="002C46F3">
              <w:rPr>
                <w:rFonts w:ascii="GHEA Grapalat" w:hAnsi="GHEA Grapalat" w:cs="Arial"/>
                <w:sz w:val="24"/>
                <w:szCs w:val="24"/>
              </w:rPr>
              <w:t>արտաքին</w:t>
            </w:r>
            <w:proofErr w:type="spellEnd"/>
            <w:r w:rsidR="00674318" w:rsidRPr="002C46F3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="00674318" w:rsidRPr="002C46F3">
              <w:rPr>
                <w:rFonts w:ascii="GHEA Grapalat" w:hAnsi="GHEA Grapalat" w:cs="Arial"/>
                <w:sz w:val="24"/>
                <w:szCs w:val="24"/>
              </w:rPr>
              <w:t>կապերի</w:t>
            </w:r>
            <w:proofErr w:type="spellEnd"/>
            <w:r w:rsidRPr="002C46F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C46F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վարչության (այսուհետ՝ Վարչություն) </w:t>
            </w:r>
            <w:proofErr w:type="spellStart"/>
            <w:r w:rsidR="000D39A8" w:rsidRPr="002C46F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գլխավոր</w:t>
            </w:r>
            <w:proofErr w:type="spellEnd"/>
            <w:r w:rsidR="000D39A8" w:rsidRPr="002C46F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D39A8" w:rsidRPr="002C46F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մասնագետ</w:t>
            </w:r>
            <w:proofErr w:type="spellEnd"/>
            <w:r w:rsidRPr="002C46F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741A2F" w:rsidRPr="002C46F3">
              <w:rPr>
                <w:rFonts w:ascii="GHEA Grapalat" w:hAnsi="GHEA Grapalat" w:cs="Sylfaen"/>
                <w:sz w:val="24"/>
                <w:szCs w:val="24"/>
              </w:rPr>
              <w:t>(</w:t>
            </w:r>
            <w:proofErr w:type="spellStart"/>
            <w:r w:rsidR="00741A2F" w:rsidRPr="002C46F3">
              <w:rPr>
                <w:rFonts w:ascii="GHEA Grapalat" w:hAnsi="GHEA Grapalat" w:cs="Sylfaen"/>
                <w:sz w:val="24"/>
                <w:szCs w:val="24"/>
              </w:rPr>
              <w:t>այսուհետ</w:t>
            </w:r>
            <w:proofErr w:type="spellEnd"/>
            <w:r w:rsidR="00741A2F" w:rsidRPr="002C46F3">
              <w:rPr>
                <w:rFonts w:ascii="GHEA Grapalat" w:hAnsi="GHEA Grapalat" w:cs="Sylfaen"/>
                <w:sz w:val="24"/>
                <w:szCs w:val="24"/>
              </w:rPr>
              <w:t xml:space="preserve">՝ </w:t>
            </w:r>
            <w:proofErr w:type="spellStart"/>
            <w:r w:rsidR="00741A2F" w:rsidRPr="002C46F3">
              <w:rPr>
                <w:rFonts w:ascii="GHEA Grapalat" w:hAnsi="GHEA Grapalat" w:cs="Sylfaen"/>
                <w:sz w:val="24"/>
                <w:szCs w:val="24"/>
              </w:rPr>
              <w:t>Գլխավոր</w:t>
            </w:r>
            <w:proofErr w:type="spellEnd"/>
            <w:r w:rsidR="00741A2F" w:rsidRPr="002C46F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741A2F" w:rsidRPr="002C46F3">
              <w:rPr>
                <w:rFonts w:ascii="GHEA Grapalat" w:hAnsi="GHEA Grapalat" w:cs="Sylfaen"/>
                <w:sz w:val="24"/>
                <w:szCs w:val="24"/>
              </w:rPr>
              <w:t>մասնագետ</w:t>
            </w:r>
            <w:proofErr w:type="spellEnd"/>
            <w:r w:rsidR="00741A2F" w:rsidRPr="002C46F3">
              <w:rPr>
                <w:rFonts w:ascii="GHEA Grapalat" w:hAnsi="GHEA Grapalat" w:cs="Sylfaen"/>
                <w:sz w:val="24"/>
                <w:szCs w:val="24"/>
              </w:rPr>
              <w:t xml:space="preserve">) </w:t>
            </w:r>
            <w:r w:rsidRPr="002C46F3">
              <w:rPr>
                <w:rFonts w:ascii="GHEA Grapalat" w:hAnsi="GHEA Grapalat" w:cs="Sylfaen"/>
                <w:sz w:val="24"/>
                <w:szCs w:val="24"/>
                <w:lang w:val="hy-AM"/>
              </w:rPr>
              <w:t>(ծածկագիրը՝ 06-</w:t>
            </w:r>
            <w:r w:rsidR="00DE74FC" w:rsidRPr="002C46F3">
              <w:rPr>
                <w:rFonts w:ascii="GHEA Grapalat" w:hAnsi="GHEA Grapalat" w:cs="Sylfaen"/>
                <w:sz w:val="24"/>
                <w:szCs w:val="24"/>
              </w:rPr>
              <w:t>2-</w:t>
            </w:r>
            <w:r w:rsidR="00741A2F" w:rsidRPr="002C46F3">
              <w:rPr>
                <w:rFonts w:ascii="GHEA Grapalat" w:hAnsi="GHEA Grapalat" w:cs="Sylfaen"/>
                <w:sz w:val="24"/>
                <w:szCs w:val="24"/>
              </w:rPr>
              <w:t>Մ1</w:t>
            </w:r>
            <w:r w:rsidRPr="002C46F3">
              <w:rPr>
                <w:rFonts w:ascii="GHEA Grapalat" w:hAnsi="GHEA Grapalat" w:cs="Sylfaen"/>
                <w:sz w:val="24"/>
                <w:szCs w:val="24"/>
                <w:lang w:val="hy-AM"/>
              </w:rPr>
              <w:t>-1)</w:t>
            </w:r>
            <w:r w:rsidRPr="002C46F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:</w:t>
            </w:r>
          </w:p>
          <w:p w:rsidR="004211F1" w:rsidRPr="00444EE4" w:rsidRDefault="002C46F3" w:rsidP="00514DE8">
            <w:pPr>
              <w:pStyle w:val="ListParagraph"/>
              <w:numPr>
                <w:ilvl w:val="1"/>
                <w:numId w:val="14"/>
              </w:numPr>
              <w:tabs>
                <w:tab w:val="left" w:pos="330"/>
              </w:tabs>
              <w:spacing w:before="100" w:beforeAutospacing="1" w:after="100" w:afterAutospacing="1" w:line="276" w:lineRule="auto"/>
              <w:ind w:left="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46F3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211F1" w:rsidRPr="00444EE4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  <w:r w:rsidR="004211F1" w:rsidRPr="00444EE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4211F1" w:rsidRPr="00444EE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="00741A2F" w:rsidRPr="00444EE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Գլխավոր մասնագետը</w:t>
            </w:r>
            <w:r w:rsidR="004211F1" w:rsidRPr="00444EE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0D39A8" w:rsidRPr="00444EE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անմիջական </w:t>
            </w:r>
            <w:r w:rsidR="00741A2F" w:rsidRPr="00444EE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ենթակա և հաշվետու է Վարչության պետին</w:t>
            </w:r>
            <w:r w:rsidR="004211F1" w:rsidRPr="00444EE4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4211F1" w:rsidRPr="00444EE4" w:rsidRDefault="002C46F3" w:rsidP="00EC7DCF">
            <w:pPr>
              <w:pStyle w:val="ListParagraph"/>
              <w:numPr>
                <w:ilvl w:val="1"/>
                <w:numId w:val="14"/>
              </w:numPr>
              <w:tabs>
                <w:tab w:val="left" w:pos="330"/>
              </w:tabs>
              <w:spacing w:before="100" w:beforeAutospacing="1" w:after="100" w:afterAutospacing="1"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2C46F3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211F1" w:rsidRPr="00444EE4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  <w:r w:rsidR="004211F1" w:rsidRPr="00444EE4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="00741A2F" w:rsidRPr="00444EE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Գլխավոր մասնագետի</w:t>
            </w:r>
            <w:r w:rsidR="004211F1" w:rsidRPr="00444EE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Վարչության 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</w:t>
            </w:r>
            <w:r w:rsidR="00204D6E" w:rsidRPr="00444EE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լխավոր</w:t>
            </w:r>
            <w:r w:rsidR="00FA0F3C" w:rsidRPr="00444EE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C84AF8" w:rsidRPr="00444EE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</w:t>
            </w:r>
            <w:r w:rsidR="00474F7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ներից կամ Ավագ մասնագետներից մեկ</w:t>
            </w:r>
            <w:r w:rsidR="00FA0F3C" w:rsidRPr="00444EE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  <w:r w:rsidR="004211F1" w:rsidRPr="00444EE4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4211F1" w:rsidRPr="00444EE4" w:rsidRDefault="002C46F3" w:rsidP="00514DE8">
            <w:pPr>
              <w:pStyle w:val="ListParagraph"/>
              <w:numPr>
                <w:ilvl w:val="1"/>
                <w:numId w:val="14"/>
              </w:numPr>
              <w:tabs>
                <w:tab w:val="left" w:pos="330"/>
              </w:tabs>
              <w:spacing w:before="100" w:beforeAutospacing="1" w:after="100" w:afterAutospacing="1" w:line="276" w:lineRule="auto"/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211F1" w:rsidRPr="00444EE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Աշխատավայրը</w:t>
            </w:r>
            <w:r w:rsidR="004211F1" w:rsidRPr="00444EE4">
              <w:rPr>
                <w:rFonts w:ascii="GHEA Grapalat" w:hAnsi="GHEA Grapalat"/>
                <w:sz w:val="24"/>
                <w:szCs w:val="24"/>
                <w:lang w:val="hy-AM"/>
              </w:rPr>
              <w:br/>
              <w:t xml:space="preserve">Հայաստան, ք. Երևան, Կենտրոն վարչական շրջան, Հանրապետության </w:t>
            </w:r>
            <w:r w:rsidR="00234846" w:rsidRPr="00444EE4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4211F1" w:rsidRPr="00444EE4">
              <w:rPr>
                <w:rFonts w:ascii="GHEA Grapalat" w:hAnsi="GHEA Grapalat"/>
                <w:sz w:val="24"/>
                <w:szCs w:val="24"/>
                <w:lang w:val="hy-AM"/>
              </w:rPr>
              <w:t>րապարակ</w:t>
            </w:r>
            <w:r w:rsidR="00930CBE" w:rsidRPr="00444EE4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4211F1" w:rsidRPr="00444EE4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Կառավարական տուն 1</w:t>
            </w:r>
          </w:p>
        </w:tc>
      </w:tr>
      <w:tr w:rsidR="004211F1" w:rsidRPr="007815DE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444EE4" w:rsidRDefault="002A76ED" w:rsidP="00514D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44EE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</w:t>
            </w:r>
            <w:r w:rsidR="004211F1" w:rsidRPr="00444EE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444EE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:rsidR="004211F1" w:rsidRPr="00444EE4" w:rsidRDefault="00514DE8" w:rsidP="003C25B2">
            <w:pPr>
              <w:spacing w:line="276" w:lineRule="auto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2.1</w:t>
            </w:r>
            <w:r w:rsidR="004211F1" w:rsidRPr="00444EE4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Աշխատանքի բնույթը, իրավունքները, պարտականությունները </w:t>
            </w:r>
          </w:p>
          <w:p w:rsidR="00E96C3E" w:rsidRDefault="00674318" w:rsidP="003C25B2">
            <w:pPr>
              <w:pStyle w:val="ListParagraph"/>
              <w:numPr>
                <w:ilvl w:val="0"/>
                <w:numId w:val="15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514DE8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իրականացնում</w:t>
            </w:r>
            <w:r w:rsidRPr="00514DE8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է </w:t>
            </w:r>
            <w:r w:rsidR="00E96C3E" w:rsidRPr="00E96C3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Հայաստանի Հանրապետության արտաքին քաղաքականության հարցերին վերաբերող ծրագրային փաստաթղթերի նախապատրաստմ</w:t>
            </w:r>
            <w:r w:rsidR="008F1CD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ան աշխատանքներ</w:t>
            </w:r>
            <w:r w:rsidR="00E96C3E" w:rsidRPr="00E96C3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, ինչպես նաև Հայաստանի Հանրապետության արտաքին քաղաքականության ընդ</w:t>
            </w:r>
            <w:r w:rsidR="008F1CD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հանուր ռազմավարության </w:t>
            </w:r>
            <w:r w:rsidR="00E96C3E" w:rsidRPr="00E96C3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և առանձին ուղղությունների վերաբերյալ առաջարկությունների նախապատրաստման </w:t>
            </w:r>
            <w:r w:rsidR="00E96C3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աշխատանքներ.</w:t>
            </w:r>
          </w:p>
          <w:p w:rsidR="00E96C3E" w:rsidRDefault="00E96C3E" w:rsidP="003C25B2">
            <w:pPr>
              <w:pStyle w:val="ListParagraph"/>
              <w:numPr>
                <w:ilvl w:val="0"/>
                <w:numId w:val="15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E96C3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արտաքին քաղաքականության և միջազգային հարաբերությունների հարցերում վարչապետի գործունեության տեղեկատվական-վերլուծական և կազմակերպական աշխատանքներ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</w:t>
            </w:r>
          </w:p>
          <w:p w:rsidR="00E96C3E" w:rsidRDefault="00E96C3E" w:rsidP="003C25B2">
            <w:pPr>
              <w:pStyle w:val="ListParagraph"/>
              <w:numPr>
                <w:ilvl w:val="0"/>
                <w:numId w:val="15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E96C3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վարչապետի արտասահմանյան այցերի, օտարերկրյա պետությունների ու կառավարությունների ղեկավարների և պաշտոնատար անձանց, միջազգային կազմակերպությունների ներկայացուցիչների, Հայաստանի Հանրապետությունում հավատարմագրված դիվանագիտական ներկայացուցչությունների ղեկավարների հետ </w:t>
            </w:r>
            <w:r w:rsidRPr="00E96C3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lastRenderedPageBreak/>
              <w:t>հանդիպումների և վարչապետի մասնակցությամբ արտաքին քաղաքական այլ միջոցառումների բովանդակային մասի նախապատրաստման աշխատանքներ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</w:t>
            </w:r>
          </w:p>
          <w:p w:rsidR="00E96C3E" w:rsidRDefault="00E96C3E" w:rsidP="003C25B2">
            <w:pPr>
              <w:pStyle w:val="ListParagraph"/>
              <w:numPr>
                <w:ilvl w:val="0"/>
                <w:numId w:val="15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7B334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վարչապետի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՝</w:t>
            </w:r>
            <w:r w:rsidRPr="007B334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օտարերկրյա պետությունների և կառավարությունների ղեկավարների, միջազգային, այդ թվում՝ նաև ոչ կ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առավարական կազմակերպությունների</w:t>
            </w:r>
            <w:r w:rsidR="008F1CDA" w:rsidRPr="008F1CD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,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6C3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օտարերկրյա քաղաքական և հասարակական գործիչների, ինչպես նաև սփյուռքի հայկական կառույցների ներկայացուցիչների և համայնքային գործիչների հետ հաղորդակց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ության կազմակերպման աշխատանքներ</w:t>
            </w:r>
            <w:r w:rsidR="00EA1F4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</w:t>
            </w:r>
          </w:p>
          <w:p w:rsidR="00674318" w:rsidRDefault="00EA1F43" w:rsidP="003C25B2">
            <w:pPr>
              <w:pStyle w:val="ListParagraph"/>
              <w:numPr>
                <w:ilvl w:val="0"/>
                <w:numId w:val="15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422E8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Հայաստանի Հանրապետության արտաքին քաղաքականությանը և միջազգային հարաբերություններին վերաբերող` վարչապետի ելույթների, ուղերձների, նամակների և նրա անունից կազմվող այլ փաստաթղթերի նախապատրաստման աշխատանքներ</w:t>
            </w:r>
            <w:r w:rsidR="00674318" w:rsidRPr="00444EE4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</w:t>
            </w:r>
          </w:p>
          <w:p w:rsidR="00EA1F43" w:rsidRDefault="00EA1F43" w:rsidP="003C25B2">
            <w:pPr>
              <w:pStyle w:val="ListParagraph"/>
              <w:numPr>
                <w:ilvl w:val="0"/>
                <w:numId w:val="15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EA1F4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Հայաստանի Հանրապետության դիվանագիտական ներկայացուցչությունների հետ Վարչության աշխատանքներ</w:t>
            </w:r>
            <w:r w:rsidR="008F1CD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(</w:t>
            </w:r>
            <w:proofErr w:type="spellStart"/>
            <w:r w:rsidR="008F1CDA" w:rsidRPr="00C77E7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անհրաժետության</w:t>
            </w:r>
            <w:proofErr w:type="spellEnd"/>
            <w:r w:rsidR="008F1CDA" w:rsidRPr="00C77E7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դեպքում՝ աջակցում է այլ ստորաբաժանումներին</w:t>
            </w:r>
            <w:r w:rsidR="008F1CDA" w:rsidRPr="00EA1F4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Հայաստանի Հանրապետության դիվանագիտակ</w:t>
            </w:r>
            <w:r w:rsidR="008F1CD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ան ներկայացուցչությունների հետ</w:t>
            </w:r>
            <w:r w:rsidR="008F1CDA" w:rsidRPr="00C77E7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տարվող աշխատանքներին</w:t>
            </w:r>
            <w:r w:rsidR="008F1CD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)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</w:t>
            </w:r>
          </w:p>
          <w:p w:rsidR="00EA1F43" w:rsidRDefault="00EA1F43" w:rsidP="003C25B2">
            <w:pPr>
              <w:pStyle w:val="ListParagraph"/>
              <w:numPr>
                <w:ilvl w:val="0"/>
                <w:numId w:val="15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իրականացնում է Ա</w:t>
            </w:r>
            <w:r w:rsidRPr="00422E8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շխատակազմ ներկայացված միջազգային պայմանագրերի և միջազգային ոլորտին առնչվող այլ փաստաթղթերի և դրանց նախագծերի վերաբերյալ առաջարկությունների նախապատրաստման և  ներկայացման աշխատանքներ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</w:t>
            </w:r>
          </w:p>
          <w:p w:rsidR="00703768" w:rsidRDefault="00703768" w:rsidP="003C25B2">
            <w:pPr>
              <w:pStyle w:val="ListParagraph"/>
              <w:numPr>
                <w:ilvl w:val="0"/>
                <w:numId w:val="15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422E8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արտաքին քաղաքականության ոլորտում պետական մարմիններ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ի գործունեության ուսումնասիրման</w:t>
            </w:r>
            <w:r w:rsidRPr="00422E8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, ինչպես նաև աշխատանքի արդյունավետության բարձրացման վերաբերյալ, ըստ անհրաժեշտության,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առաջարկությունների նախապատրաստման աշխատանքներ.</w:t>
            </w:r>
          </w:p>
          <w:p w:rsidR="006D299B" w:rsidRDefault="006D299B" w:rsidP="003C25B2">
            <w:pPr>
              <w:pStyle w:val="ListParagraph"/>
              <w:numPr>
                <w:ilvl w:val="0"/>
                <w:numId w:val="15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8D203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կառավարական պատվիրակությունների և պետական մարմինների ներկայացուցիչների արտասահմանյան պաշտոնական գործուղումների</w:t>
            </w:r>
            <w:r w:rsidR="008F1CD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, ինչպես նաև օտարերկրյա պատվիրակությունների՝ ՀՀ այցերի վերաբերյալ</w:t>
            </w:r>
            <w:r w:rsidRPr="008D203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8F1CD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որոշումների</w:t>
            </w:r>
            <w:r w:rsidRPr="008D203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նախագծերի նախապատրաստման աշխատանքներ</w:t>
            </w:r>
            <w:r w:rsidR="003C25B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:</w:t>
            </w:r>
          </w:p>
          <w:p w:rsidR="00DB4046" w:rsidRPr="006D299B" w:rsidRDefault="00DB4046" w:rsidP="006D299B">
            <w:pPr>
              <w:tabs>
                <w:tab w:val="left" w:pos="851"/>
              </w:tabs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11F1" w:rsidRPr="00444EE4" w:rsidRDefault="004211F1" w:rsidP="003C25B2">
            <w:pPr>
              <w:pStyle w:val="ListParagraph"/>
              <w:tabs>
                <w:tab w:val="left" w:pos="851"/>
              </w:tabs>
              <w:spacing w:after="160" w:line="276" w:lineRule="auto"/>
              <w:ind w:left="0" w:right="9" w:firstLine="142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444EE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44EE4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</w:p>
          <w:p w:rsidR="00674318" w:rsidRPr="00444EE4" w:rsidRDefault="00674318" w:rsidP="003C25B2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spacing w:line="276" w:lineRule="auto"/>
              <w:ind w:left="25" w:hanging="25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444EE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համապատասխան մարմիններից պահանջել գործառույթների իրականացման համար անհրաժեշտ տեղեկատվություն, լրացուցիչ նյութեր և հիմնավորումներ.</w:t>
            </w:r>
          </w:p>
          <w:p w:rsidR="00674318" w:rsidRPr="00444EE4" w:rsidRDefault="00674318" w:rsidP="003C25B2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spacing w:line="276" w:lineRule="auto"/>
              <w:ind w:left="25" w:hanging="25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444EE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Հայաստանի Հանրապետության պետական կառավարման համակարգի, ինչպես նաև այլ շահագրգիռ կազմակերպությունների, ընկերությունների, հիմնարկությունների ներկայացուցիչների հետ </w:t>
            </w:r>
            <w:r w:rsidR="006D299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անցկացնել քննարկումներ </w:t>
            </w:r>
            <w:r w:rsidRPr="00444EE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D299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խնդրահարույց</w:t>
            </w:r>
            <w:proofErr w:type="spellEnd"/>
            <w:r w:rsidR="006D299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444EE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հարցեր</w:t>
            </w:r>
            <w:r w:rsidR="006D299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ի</w:t>
            </w:r>
            <w:r w:rsidRPr="00444EE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6D299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վերաբերյալ</w:t>
            </w:r>
            <w:r w:rsidRPr="00444EE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լուծումներ գտնելու նպատակով.</w:t>
            </w:r>
          </w:p>
          <w:p w:rsidR="00674318" w:rsidRPr="00444EE4" w:rsidRDefault="00674318" w:rsidP="003C25B2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spacing w:line="276" w:lineRule="auto"/>
              <w:ind w:left="25" w:hanging="25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444EE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ամենօրյա ռեժիմով շփվել օտարերկրյա պետություններում Հայաստանի Հանրապետության դիվանագիտական ներկայացուցչությունների հետ՝ պատշաճ </w:t>
            </w:r>
            <w:r w:rsidRPr="00444EE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lastRenderedPageBreak/>
              <w:t>մակարդակով նյութեր պատրաստելու, ինչպես նաև առաջացած հարցերին արդյունավետ լուծումներ տալու նպատակով</w:t>
            </w:r>
            <w:r w:rsidR="003C25B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:</w:t>
            </w:r>
          </w:p>
          <w:p w:rsidR="00453381" w:rsidRPr="00444EE4" w:rsidRDefault="00453381" w:rsidP="00183BE7">
            <w:pPr>
              <w:spacing w:line="276" w:lineRule="auto"/>
              <w:ind w:left="360"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183BE7" w:rsidRPr="00444EE4" w:rsidRDefault="00183BE7" w:rsidP="003C25B2">
            <w:pPr>
              <w:spacing w:line="276" w:lineRule="auto"/>
              <w:ind w:left="360" w:right="9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444EE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Պարտականությունները՝</w:t>
            </w:r>
          </w:p>
          <w:p w:rsidR="00674318" w:rsidRPr="00444EE4" w:rsidRDefault="00674318" w:rsidP="003C25B2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spacing w:line="276" w:lineRule="auto"/>
              <w:ind w:left="25" w:hanging="25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444EE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նախապատրաստել վարչապետի արտասահմանյան այցերի, մասնավորապես՝ ԱՊՀ և սահմանակից պետությունների ու կառավարությունների ղեկավարների, պաշտոնատար անձանց, ՀԱՊԿ, ԵԱՏՄ ղեկավարների և ներկայացուցիչների, Հայաստանի Հանրապետությունում հավատարմագրված դիվանագիտական ներկայացուցչությունների ղեկավարների հետ հանդիպումների և վարչապետի մասնակցությամբ արտաքին քաղաքական այլ միջոցառումների բովանդակային մասի վերաբերյալ ամբողջական փաթեթներ.</w:t>
            </w:r>
          </w:p>
          <w:p w:rsidR="00674318" w:rsidRPr="00444EE4" w:rsidRDefault="00674318" w:rsidP="003C25B2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spacing w:line="276" w:lineRule="auto"/>
              <w:ind w:left="25" w:hanging="25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444EE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նախապատրաստել վարչապետի ելույթներ, ուղերձներ, նամակներ և նրա անունից կազմվող այլ փաստաթղթեր, որոնք վերաբերում են Հայաստանի Հանրապետության արտաքին քաղաքականությանը և միջազգային հարաբերություններին.</w:t>
            </w:r>
          </w:p>
          <w:p w:rsidR="008A5BB3" w:rsidRDefault="00674318" w:rsidP="003C25B2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spacing w:line="276" w:lineRule="auto"/>
              <w:ind w:left="25" w:hanging="25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444EE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նախապատրաստել Հայաստանի Հանրապետությունում հավատարմագրված դիվանագիտական ներկայացուցչությունների, միջազգային կազմակերպությունների ղեկավարների հետ, ինչպես նաև օտարերկրյա պետությունների համապատասխան պաշտոնյաների հետ հանդիպումների ընթացքում զրույցի գրառումներ ու արձանագրություններ և, անհրաժեշտության </w:t>
            </w:r>
            <w:r w:rsidR="00453381" w:rsidRPr="00444EE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դեպք</w:t>
            </w:r>
            <w:r w:rsidRPr="00444EE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ում, </w:t>
            </w:r>
            <w:r w:rsidR="008F1CD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դրանցից բխող հանձնարարականներ՝ </w:t>
            </w:r>
            <w:r w:rsidRPr="00444EE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հանդիպումների ընթացքում բարձրացված խնդիրների վերաբերյալ հավելյալ տեղեկություններ ստանալու կամ </w:t>
            </w:r>
            <w:r w:rsidR="008F1CD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ձեռք բերված պայմանավորվածությունների ուղղությամբ </w:t>
            </w:r>
            <w:r w:rsidRPr="00444EE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 աշխատանքներ տանելու համար</w:t>
            </w:r>
            <w:r w:rsidR="008C7E9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.</w:t>
            </w:r>
          </w:p>
          <w:p w:rsidR="00772276" w:rsidRDefault="008A5BB3" w:rsidP="003C25B2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spacing w:line="276" w:lineRule="auto"/>
              <w:ind w:left="25" w:hanging="25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ուսումնասիրել </w:t>
            </w:r>
            <w:r w:rsidRPr="008A5B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տարբեր միջազգային վարկանիշային կազմակերպությունների (</w:t>
            </w:r>
            <w:proofErr w:type="spellStart"/>
            <w:r w:rsidRPr="008A5B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Transparency</w:t>
            </w:r>
            <w:proofErr w:type="spellEnd"/>
            <w:r w:rsidRPr="008A5B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A5B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International</w:t>
            </w:r>
            <w:proofErr w:type="spellEnd"/>
            <w:r w:rsidRPr="008A5B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A5B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Corruption</w:t>
            </w:r>
            <w:proofErr w:type="spellEnd"/>
            <w:r w:rsidRPr="008A5B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A5B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Perception</w:t>
            </w:r>
            <w:proofErr w:type="spellEnd"/>
            <w:r w:rsidRPr="008A5B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A5B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Index</w:t>
            </w:r>
            <w:proofErr w:type="spellEnd"/>
            <w:r w:rsidRPr="008A5B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, </w:t>
            </w:r>
            <w:proofErr w:type="spellStart"/>
            <w:r w:rsidRPr="008A5B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Freedom</w:t>
            </w:r>
            <w:proofErr w:type="spellEnd"/>
            <w:r w:rsidRPr="008A5B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A5B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House</w:t>
            </w:r>
            <w:proofErr w:type="spellEnd"/>
            <w:r w:rsidRPr="008A5B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A5B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Freedom</w:t>
            </w:r>
            <w:proofErr w:type="spellEnd"/>
            <w:r w:rsidRPr="008A5B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A5B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in</w:t>
            </w:r>
            <w:proofErr w:type="spellEnd"/>
            <w:r w:rsidRPr="008A5B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A5B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the</w:t>
            </w:r>
            <w:proofErr w:type="spellEnd"/>
            <w:r w:rsidRPr="008A5B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A5B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World</w:t>
            </w:r>
            <w:proofErr w:type="spellEnd"/>
            <w:r w:rsidRPr="008A5B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A5B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Index</w:t>
            </w:r>
            <w:proofErr w:type="spellEnd"/>
            <w:r w:rsidRPr="008A5B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, </w:t>
            </w:r>
            <w:proofErr w:type="spellStart"/>
            <w:r w:rsidRPr="008A5B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The</w:t>
            </w:r>
            <w:proofErr w:type="spellEnd"/>
            <w:r w:rsidRPr="008A5B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A5B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World</w:t>
            </w:r>
            <w:proofErr w:type="spellEnd"/>
            <w:r w:rsidRPr="008A5B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A5B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Bank</w:t>
            </w:r>
            <w:proofErr w:type="spellEnd"/>
            <w:r w:rsidRPr="008A5B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A5B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Doing</w:t>
            </w:r>
            <w:proofErr w:type="spellEnd"/>
            <w:r w:rsidRPr="008A5B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A5B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Business</w:t>
            </w:r>
            <w:proofErr w:type="spellEnd"/>
            <w:r w:rsidRPr="008A5B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, </w:t>
            </w:r>
            <w:proofErr w:type="spellStart"/>
            <w:r w:rsidRPr="008A5B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Reporters</w:t>
            </w:r>
            <w:proofErr w:type="spellEnd"/>
            <w:r w:rsidRPr="008A5B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A5B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Without</w:t>
            </w:r>
            <w:proofErr w:type="spellEnd"/>
            <w:r w:rsidRPr="008A5B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A5B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Borders</w:t>
            </w:r>
            <w:proofErr w:type="spellEnd"/>
            <w:r w:rsidRPr="008A5B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A5B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World</w:t>
            </w:r>
            <w:proofErr w:type="spellEnd"/>
            <w:r w:rsidRPr="008A5B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A5B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Press</w:t>
            </w:r>
            <w:proofErr w:type="spellEnd"/>
            <w:r w:rsidRPr="008A5B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A5B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Freedom</w:t>
            </w:r>
            <w:proofErr w:type="spellEnd"/>
            <w:r w:rsidRPr="008A5B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և այլն) զեկույցներում Հայաստանի վարկանիշի փոփոխությունները և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ներկայացնել</w:t>
            </w:r>
            <w:r w:rsidRPr="008A5B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առաջարկություններ</w:t>
            </w:r>
            <w:r w:rsidR="008C7E9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.</w:t>
            </w:r>
          </w:p>
          <w:p w:rsidR="004211F1" w:rsidRPr="008A5BB3" w:rsidRDefault="00772276" w:rsidP="003C25B2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spacing w:line="276" w:lineRule="auto"/>
              <w:ind w:left="25" w:hanging="25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ուսումնասիրել </w:t>
            </w:r>
            <w:r w:rsidRPr="00444EE4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միջազգային հարաբերությունների, տարածաշրջանային գո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րծընթացները, վերլուծել</w:t>
            </w:r>
            <w:r w:rsidRPr="00444EE4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պատրաստել </w:t>
            </w:r>
            <w:r w:rsidRPr="00444EE4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համապատասխան տեղեկատվական նյութեր</w:t>
            </w:r>
            <w:r w:rsidR="0010746F" w:rsidRPr="008A5BB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:</w:t>
            </w:r>
          </w:p>
        </w:tc>
      </w:tr>
      <w:tr w:rsidR="00453381" w:rsidRPr="00444EE4" w:rsidTr="00644BB4">
        <w:trPr>
          <w:trHeight w:val="2519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453381" w:rsidRPr="00444EE4" w:rsidRDefault="00453381" w:rsidP="004533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444EE4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453381" w:rsidRPr="00444EE4" w:rsidRDefault="00772276" w:rsidP="00453381">
            <w:pPr>
              <w:spacing w:line="276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</w:t>
            </w:r>
            <w:r w:rsidR="00453381" w:rsidRPr="00444EE4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Կրթություն, որակավորման աստիճանը</w:t>
            </w:r>
          </w:p>
          <w:p w:rsidR="00453381" w:rsidRPr="00444EE4" w:rsidRDefault="00453381" w:rsidP="00453381">
            <w:pPr>
              <w:spacing w:line="276" w:lineRule="auto"/>
              <w:rPr>
                <w:rFonts w:ascii="GHEA Grapalat" w:eastAsia="Times New Roman" w:hAnsi="GHEA Grapalat"/>
                <w:iCs/>
                <w:sz w:val="24"/>
                <w:szCs w:val="24"/>
                <w:highlight w:val="yellow"/>
                <w:lang w:val="hy-AM"/>
              </w:rPr>
            </w:pPr>
            <w:r w:rsidRPr="00444EE4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Բարձրագույն կրթություն</w:t>
            </w:r>
            <w:r w:rsidRPr="00444EE4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</w:p>
          <w:p w:rsidR="00453381" w:rsidRPr="00444EE4" w:rsidRDefault="008C7E94" w:rsidP="004533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3.2</w:t>
            </w:r>
            <w:r w:rsidR="00453381" w:rsidRPr="00444EE4">
              <w:rPr>
                <w:rFonts w:ascii="GHEA Grapalat" w:hAnsi="GHEA Grapalat"/>
                <w:b/>
                <w:lang w:val="hy-AM"/>
              </w:rPr>
              <w:t xml:space="preserve"> Մասնագիտական գիտելիքները</w:t>
            </w:r>
            <w:r w:rsidR="00453381" w:rsidRPr="00444EE4">
              <w:rPr>
                <w:rFonts w:ascii="GHEA Grapalat" w:hAnsi="GHEA Grapalat"/>
                <w:lang w:val="hy-AM"/>
              </w:rPr>
              <w:br/>
              <w:t>Ունի գործառույթների իրականացման համար անհրաժեշտ գիտելիքներ:</w:t>
            </w:r>
          </w:p>
          <w:p w:rsidR="00453381" w:rsidRPr="00444EE4" w:rsidRDefault="00453381" w:rsidP="004533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</w:p>
          <w:p w:rsidR="00453381" w:rsidRPr="00444EE4" w:rsidRDefault="008C7E94" w:rsidP="004533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3.3</w:t>
            </w:r>
            <w:r w:rsidR="00453381" w:rsidRPr="00444EE4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453381" w:rsidRPr="00444EE4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</w:p>
          <w:p w:rsidR="00453381" w:rsidRPr="00444EE4" w:rsidRDefault="00453381" w:rsidP="00444EE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444EE4">
              <w:rPr>
                <w:rFonts w:ascii="GHEA Grapalat" w:hAnsi="GHEA Grapalat"/>
                <w:lang w:val="hy-AM"/>
              </w:rPr>
              <w:lastRenderedPageBreak/>
              <w:t>Հանրային ծառայությա</w:t>
            </w:r>
            <w:r w:rsidR="00204147">
              <w:rPr>
                <w:rFonts w:ascii="GHEA Grapalat" w:hAnsi="GHEA Grapalat"/>
                <w:lang w:val="hy-AM"/>
              </w:rPr>
              <w:t xml:space="preserve">ն առնվազն երկու տարվա ստաժ կամ երեք </w:t>
            </w:r>
            <w:r w:rsidRPr="00444EE4">
              <w:rPr>
                <w:rFonts w:ascii="GHEA Grapalat" w:hAnsi="GHEA Grapalat"/>
                <w:lang w:val="hy-AM"/>
              </w:rPr>
              <w:t>տարվա մասնագիտական աշխատանքային ստաժ կամ մ</w:t>
            </w:r>
            <w:r w:rsidRPr="00444EE4">
              <w:rPr>
                <w:rFonts w:ascii="GHEA Grapalat" w:hAnsi="GHEA Grapalat"/>
                <w:color w:val="000000"/>
                <w:lang w:val="hy-AM"/>
              </w:rPr>
              <w:t xml:space="preserve">իջազգային կապերի </w:t>
            </w:r>
            <w:r w:rsidRPr="00444EE4">
              <w:rPr>
                <w:rFonts w:ascii="GHEA Grapalat" w:hAnsi="GHEA Grapalat" w:cs="Sylfaen"/>
                <w:lang w:val="hy-AM"/>
              </w:rPr>
              <w:t>(հարաբերությունների)</w:t>
            </w:r>
            <w:r w:rsidRPr="00444EE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204147">
              <w:rPr>
                <w:rFonts w:ascii="GHEA Grapalat" w:hAnsi="GHEA Grapalat"/>
                <w:lang w:val="hy-AM"/>
              </w:rPr>
              <w:t>բնագավառում` երեք</w:t>
            </w:r>
            <w:r w:rsidRPr="00444EE4">
              <w:rPr>
                <w:rFonts w:ascii="GHEA Grapalat" w:hAnsi="GHEA Grapalat"/>
                <w:lang w:val="hy-AM"/>
              </w:rPr>
              <w:t xml:space="preserve"> տարվա աշխատանքային ստաժ:</w:t>
            </w:r>
          </w:p>
          <w:p w:rsidR="00453381" w:rsidRPr="00444EE4" w:rsidRDefault="00453381" w:rsidP="004533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</w:p>
          <w:p w:rsidR="00453381" w:rsidRPr="00444EE4" w:rsidRDefault="00E977B4" w:rsidP="00E977B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</w:rPr>
              <w:t>3.4</w:t>
            </w:r>
            <w:r w:rsidR="00453381" w:rsidRPr="00444EE4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453381" w:rsidRPr="00444EE4">
              <w:rPr>
                <w:rFonts w:ascii="GHEA Grapalat" w:hAnsi="GHEA Grapalat"/>
                <w:b/>
              </w:rPr>
              <w:t>Անհրաժեշտ</w:t>
            </w:r>
            <w:proofErr w:type="spellEnd"/>
            <w:r w:rsidR="00453381" w:rsidRPr="00444EE4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453381" w:rsidRPr="00444EE4">
              <w:rPr>
                <w:rFonts w:ascii="GHEA Grapalat" w:hAnsi="GHEA Grapalat"/>
                <w:b/>
              </w:rPr>
              <w:t>կոմպետենցիաներ</w:t>
            </w:r>
            <w:proofErr w:type="spellEnd"/>
            <w:r w:rsidR="00453381" w:rsidRPr="00444EE4">
              <w:rPr>
                <w:rFonts w:ascii="GHEA Grapalat" w:hAnsi="GHEA Grapalat"/>
              </w:rPr>
              <w:br/>
            </w:r>
            <w:r w:rsidR="00453381" w:rsidRPr="00444EE4">
              <w:rPr>
                <w:rFonts w:ascii="GHEA Grapalat" w:hAnsi="GHEA Grapalat"/>
                <w:b/>
                <w:lang w:val="hy-AM"/>
              </w:rPr>
              <w:t>Ընդհանրական կոմպետենցիաներ</w:t>
            </w:r>
          </w:p>
          <w:p w:rsidR="00453381" w:rsidRPr="00444EE4" w:rsidRDefault="00453381" w:rsidP="00E977B4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444EE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Ծրագրերի մշակում</w:t>
            </w:r>
          </w:p>
          <w:p w:rsidR="00453381" w:rsidRPr="00444EE4" w:rsidRDefault="00453381" w:rsidP="00E977B4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444EE4">
              <w:rPr>
                <w:rFonts w:ascii="GHEA Grapalat" w:eastAsia="Times New Roman" w:hAnsi="GHEA Grapalat"/>
                <w:sz w:val="24"/>
                <w:szCs w:val="24"/>
              </w:rPr>
              <w:t>Խնդրի</w:t>
            </w:r>
            <w:proofErr w:type="spellEnd"/>
            <w:r w:rsidRPr="00444EE4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44EE4">
              <w:rPr>
                <w:rFonts w:ascii="GHEA Grapalat" w:eastAsia="Times New Roman" w:hAnsi="GHEA Grapalat"/>
                <w:sz w:val="24"/>
                <w:szCs w:val="24"/>
              </w:rPr>
              <w:t>լուծում</w:t>
            </w:r>
            <w:proofErr w:type="spellEnd"/>
          </w:p>
          <w:p w:rsidR="00453381" w:rsidRPr="00444EE4" w:rsidRDefault="00453381" w:rsidP="00E977B4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444EE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Հաշվետվությունների մշակում</w:t>
            </w:r>
          </w:p>
          <w:p w:rsidR="00453381" w:rsidRPr="00444EE4" w:rsidRDefault="00453381" w:rsidP="00E977B4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444EE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Տեղեկատվության</w:t>
            </w:r>
            <w:proofErr w:type="spellEnd"/>
            <w:r w:rsidRPr="00444EE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4EE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հավաքագրում</w:t>
            </w:r>
            <w:proofErr w:type="spellEnd"/>
            <w:r w:rsidRPr="00444EE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,</w:t>
            </w:r>
            <w:r w:rsidRPr="00444EE4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44EE4">
              <w:rPr>
                <w:rFonts w:ascii="GHEA Grapalat" w:eastAsia="Times New Roman" w:hAnsi="GHEA Grapalat"/>
                <w:sz w:val="24"/>
                <w:szCs w:val="24"/>
              </w:rPr>
              <w:t>վերլուծություն</w:t>
            </w:r>
            <w:proofErr w:type="spellEnd"/>
            <w:r w:rsidRPr="00444EE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r w:rsidRPr="00444EE4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  <w:p w:rsidR="00453381" w:rsidRPr="00E977B4" w:rsidRDefault="00453381" w:rsidP="00E977B4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444EE4">
              <w:rPr>
                <w:rFonts w:ascii="GHEA Grapalat" w:eastAsia="Times New Roman" w:hAnsi="GHEA Grapalat"/>
                <w:sz w:val="24"/>
                <w:szCs w:val="24"/>
              </w:rPr>
              <w:t>Բարեվարքություն</w:t>
            </w:r>
            <w:proofErr w:type="spellEnd"/>
            <w:r w:rsidRPr="00444EE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444EE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C80786" w:rsidRDefault="00C80786" w:rsidP="00453381">
            <w:pPr>
              <w:tabs>
                <w:tab w:val="left" w:pos="965"/>
              </w:tabs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53381" w:rsidRPr="00444EE4" w:rsidRDefault="00453381" w:rsidP="00453381">
            <w:pPr>
              <w:tabs>
                <w:tab w:val="left" w:pos="965"/>
              </w:tabs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444EE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444EE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44EE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444EE4" w:rsidRPr="00444EE4" w:rsidRDefault="00444EE4" w:rsidP="00444EE4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GHEA Grapalat" w:hAnsi="GHEA Grapalat"/>
                <w:iCs/>
                <w:color w:val="000000"/>
                <w:sz w:val="24"/>
                <w:szCs w:val="24"/>
                <w:lang w:val="ru-RU"/>
              </w:rPr>
            </w:pPr>
            <w:r w:rsidRPr="00444EE4">
              <w:rPr>
                <w:rFonts w:ascii="GHEA Grapalat" w:hAnsi="GHEA Grapalat"/>
                <w:iCs/>
                <w:color w:val="000000"/>
                <w:sz w:val="24"/>
                <w:szCs w:val="24"/>
                <w:lang w:val="ru-RU"/>
              </w:rPr>
              <w:t>Բանակցությունների վարում</w:t>
            </w:r>
          </w:p>
          <w:p w:rsidR="00444EE4" w:rsidRPr="00444EE4" w:rsidRDefault="00444EE4" w:rsidP="00444EE4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GHEA Grapalat" w:hAnsi="GHEA Grapalat"/>
                <w:iCs/>
                <w:color w:val="000000"/>
                <w:sz w:val="24"/>
                <w:szCs w:val="24"/>
                <w:lang w:val="ru-RU"/>
              </w:rPr>
            </w:pPr>
            <w:r w:rsidRPr="00444EE4">
              <w:rPr>
                <w:rFonts w:ascii="GHEA Grapalat" w:hAnsi="GHEA Grapalat"/>
                <w:iCs/>
                <w:color w:val="000000"/>
                <w:sz w:val="24"/>
                <w:szCs w:val="24"/>
                <w:lang w:val="ru-RU"/>
              </w:rPr>
              <w:t>Փոփոխությունների կառավարում</w:t>
            </w:r>
          </w:p>
          <w:p w:rsidR="00444EE4" w:rsidRPr="00444EE4" w:rsidRDefault="00444EE4" w:rsidP="00444EE4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GHEA Grapalat" w:hAnsi="GHEA Grapalat"/>
                <w:iCs/>
                <w:color w:val="000000"/>
                <w:sz w:val="24"/>
                <w:szCs w:val="24"/>
                <w:lang w:val="ru-RU"/>
              </w:rPr>
            </w:pPr>
            <w:r w:rsidRPr="00444EE4">
              <w:rPr>
                <w:rFonts w:ascii="GHEA Grapalat" w:hAnsi="GHEA Grapalat"/>
                <w:iCs/>
                <w:color w:val="000000"/>
                <w:sz w:val="24"/>
                <w:szCs w:val="24"/>
                <w:lang w:val="ru-RU"/>
              </w:rPr>
              <w:t>Ժամանակի կառավարում</w:t>
            </w:r>
          </w:p>
          <w:p w:rsidR="00444EE4" w:rsidRPr="00444EE4" w:rsidRDefault="00444EE4" w:rsidP="00444EE4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GHEA Grapalat" w:hAnsi="GHEA Grapalat"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444EE4">
              <w:rPr>
                <w:rFonts w:ascii="GHEA Grapalat" w:hAnsi="GHEA Grapalat"/>
                <w:iCs/>
                <w:color w:val="000000"/>
                <w:sz w:val="24"/>
                <w:szCs w:val="24"/>
                <w:lang w:val="ru-RU"/>
              </w:rPr>
              <w:t>Փաստաթղթերի</w:t>
            </w:r>
            <w:proofErr w:type="spellEnd"/>
            <w:r w:rsidRPr="00444EE4">
              <w:rPr>
                <w:rFonts w:ascii="GHEA Grapalat" w:hAnsi="GHEA Grapalat"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4EE4">
              <w:rPr>
                <w:rFonts w:ascii="GHEA Grapalat" w:hAnsi="GHEA Grapalat"/>
                <w:iCs/>
                <w:color w:val="000000"/>
                <w:sz w:val="24"/>
                <w:szCs w:val="24"/>
                <w:lang w:val="ru-RU"/>
              </w:rPr>
              <w:t>նախապատրատում</w:t>
            </w:r>
            <w:proofErr w:type="spellEnd"/>
          </w:p>
          <w:p w:rsidR="00453381" w:rsidRPr="00733984" w:rsidRDefault="00444EE4" w:rsidP="00733984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444EE4">
              <w:rPr>
                <w:rFonts w:ascii="GHEA Grapalat" w:hAnsi="GHEA Grapalat"/>
                <w:iCs/>
                <w:color w:val="000000"/>
                <w:sz w:val="24"/>
                <w:szCs w:val="24"/>
                <w:lang w:val="ru-RU"/>
              </w:rPr>
              <w:t>Ելույթների նախապատրաստում</w:t>
            </w:r>
            <w:r w:rsidRPr="00444EE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444EE4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և</w:t>
            </w:r>
            <w:r w:rsidRPr="00444EE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44EE4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կազմակերպում</w:t>
            </w:r>
            <w:proofErr w:type="spellEnd"/>
            <w:r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:</w:t>
            </w:r>
          </w:p>
        </w:tc>
      </w:tr>
      <w:tr w:rsidR="00444EE4" w:rsidRPr="007815DE" w:rsidTr="00644BB4">
        <w:tc>
          <w:tcPr>
            <w:tcW w:w="10525" w:type="dxa"/>
            <w:hideMark/>
          </w:tcPr>
          <w:p w:rsidR="00444EE4" w:rsidRPr="004A5FFB" w:rsidRDefault="00444EE4" w:rsidP="00444E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4A5FF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                                           </w:t>
            </w:r>
            <w:r w:rsidRPr="004A5FF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4A5FF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444EE4" w:rsidRPr="004A5FFB" w:rsidRDefault="00E977B4" w:rsidP="00444EE4">
            <w:pP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4.1</w:t>
            </w:r>
            <w:r w:rsidR="00444EE4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44EE4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Աշխատանքի</w:t>
            </w:r>
            <w:proofErr w:type="spellEnd"/>
            <w:r w:rsidR="00444EE4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44EE4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կազմակերպման</w:t>
            </w:r>
            <w:proofErr w:type="spellEnd"/>
            <w:r w:rsidR="00444EE4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="00444EE4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ղեկավարման</w:t>
            </w:r>
            <w:proofErr w:type="spellEnd"/>
            <w:r w:rsidR="00444EE4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44EE4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:rsidR="00444EE4" w:rsidRPr="00C80786" w:rsidRDefault="00C80786" w:rsidP="00444EE4">
            <w:pPr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</w:pPr>
            <w:r w:rsidRPr="00C8078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Պատասխանատու է համապատասխան մարմնի և կառուցվածքային ստորաբաժանման աշխատանքների բնույթով պայմանավորված մասնագիտական գործունեության արտաքին ներգործություն ունեցող </w:t>
            </w:r>
            <w:proofErr w:type="spellStart"/>
            <w:r w:rsidRPr="00C8078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վերջնարդյունքի</w:t>
            </w:r>
            <w:proofErr w:type="spellEnd"/>
            <w:r w:rsidRPr="00C8078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համար:</w:t>
            </w:r>
          </w:p>
          <w:p w:rsidR="00444EE4" w:rsidRPr="00EC7DCF" w:rsidRDefault="00E977B4" w:rsidP="00444EE4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EC7DC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4.2</w:t>
            </w:r>
            <w:r w:rsidR="00444EE4" w:rsidRPr="00EC7DC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Որոշումներ կայացնելու լիազորությունները</w:t>
            </w:r>
          </w:p>
          <w:p w:rsidR="00444EE4" w:rsidRPr="00EC7DCF" w:rsidRDefault="00444EE4" w:rsidP="00444EE4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</w:pPr>
            <w:r w:rsidRPr="00EC7D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444EE4" w:rsidRPr="00EC7DCF" w:rsidRDefault="00E977B4" w:rsidP="00444EE4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EC7DC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4.3</w:t>
            </w:r>
            <w:r w:rsidR="00444EE4" w:rsidRPr="00EC7DC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Գործունեության ազդեցությունը</w:t>
            </w:r>
          </w:p>
          <w:p w:rsidR="00444EE4" w:rsidRPr="00EC7DCF" w:rsidRDefault="00444EE4" w:rsidP="00444EE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EC7D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արդյունքների ապահովման մասնագիտական գործունեության </w:t>
            </w:r>
            <w:r w:rsidR="00C8078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որոշակի ոլորտին վերաբերող </w:t>
            </w:r>
            <w:r w:rsidRPr="00EC7D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համապետական ազդեցություն:</w:t>
            </w:r>
          </w:p>
          <w:p w:rsidR="00444EE4" w:rsidRPr="00EC7DCF" w:rsidRDefault="00E977B4" w:rsidP="00444EE4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EC7DC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4.4</w:t>
            </w:r>
            <w:r w:rsidR="00444EE4" w:rsidRPr="00EC7DC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Շփումները և ներկայացուցչությունը</w:t>
            </w:r>
          </w:p>
          <w:p w:rsidR="00444EE4" w:rsidRPr="00EC7DCF" w:rsidRDefault="00444EE4" w:rsidP="00444EE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EC7D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իրավասությունների շրջանակներում շփվում և որպես ներկայացուցիչ հանդես է գալիս տվյալ մարմնի և այլ պետական մարմինների ներկայացուցիչների հետ, ինչպես նաև մասնակցում է տարբեր մարմինների ներկայացուցիչներից </w:t>
            </w:r>
            <w:proofErr w:type="spellStart"/>
            <w:r w:rsidRPr="00EC7D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ձևավորված</w:t>
            </w:r>
            <w:proofErr w:type="spellEnd"/>
            <w:r w:rsidRPr="00EC7D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աշխատանքային խմբերի աշխատանքներին, միջազգային կազմակերպությունների ներկայացուցիչների հետ հանդիպումներին:</w:t>
            </w:r>
          </w:p>
          <w:p w:rsidR="00444EE4" w:rsidRPr="00EC7DCF" w:rsidRDefault="00E977B4" w:rsidP="00444EE4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EC7DC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lastRenderedPageBreak/>
              <w:t>4.5</w:t>
            </w:r>
            <w:r w:rsidR="00444EE4" w:rsidRPr="00EC7DC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Խնդիրների բարդությունը և դրանց լուծումը</w:t>
            </w:r>
          </w:p>
          <w:p w:rsidR="00444EE4" w:rsidRPr="00EC7DCF" w:rsidRDefault="00444EE4" w:rsidP="00444EE4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</w:pPr>
            <w:r w:rsidRPr="00EC7DC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մասնակցում կառուցվածքային ստորաբաժանման </w:t>
            </w:r>
            <w:proofErr w:type="spellStart"/>
            <w:r w:rsidRPr="00EC7DC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առջև</w:t>
            </w:r>
            <w:proofErr w:type="spellEnd"/>
            <w:r w:rsidRPr="00EC7DC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դրված խնդիրների լուծմանը:</w:t>
            </w:r>
          </w:p>
        </w:tc>
      </w:tr>
    </w:tbl>
    <w:p w:rsidR="004211F1" w:rsidRPr="00444EE4" w:rsidRDefault="004211F1" w:rsidP="004211F1">
      <w:pPr>
        <w:rPr>
          <w:rFonts w:ascii="GHEA Grapalat" w:hAnsi="GHEA Grapalat"/>
          <w:sz w:val="24"/>
          <w:szCs w:val="24"/>
          <w:lang w:val="hy-AM"/>
        </w:rPr>
      </w:pPr>
    </w:p>
    <w:p w:rsidR="005C2122" w:rsidRPr="00444EE4" w:rsidRDefault="005C2122" w:rsidP="004211F1">
      <w:pPr>
        <w:rPr>
          <w:rFonts w:ascii="GHEA Grapalat" w:hAnsi="GHEA Grapalat"/>
          <w:sz w:val="24"/>
          <w:szCs w:val="24"/>
          <w:lang w:val="hy-AM"/>
        </w:rPr>
      </w:pPr>
    </w:p>
    <w:sectPr w:rsidR="005C2122" w:rsidRPr="00444EE4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B33"/>
    <w:multiLevelType w:val="hybridMultilevel"/>
    <w:tmpl w:val="5C349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21794"/>
    <w:multiLevelType w:val="hybridMultilevel"/>
    <w:tmpl w:val="67883B1A"/>
    <w:lvl w:ilvl="0" w:tplc="261C4E50">
      <w:start w:val="1"/>
      <w:numFmt w:val="decimal"/>
      <w:lvlText w:val="%1."/>
      <w:lvlJc w:val="left"/>
      <w:pPr>
        <w:ind w:left="765" w:hanging="390"/>
      </w:pPr>
      <w:rPr>
        <w:rFonts w:hint="default"/>
        <w:b w:val="0"/>
      </w:rPr>
    </w:lvl>
    <w:lvl w:ilvl="1" w:tplc="C5E8F81C">
      <w:start w:val="1"/>
      <w:numFmt w:val="decimal"/>
      <w:lvlText w:val="%2)"/>
      <w:lvlJc w:val="left"/>
      <w:pPr>
        <w:ind w:left="1545" w:hanging="450"/>
      </w:pPr>
      <w:rPr>
        <w:rFonts w:eastAsia="Sylfaen"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4C16517"/>
    <w:multiLevelType w:val="hybridMultilevel"/>
    <w:tmpl w:val="C6D2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007F6"/>
    <w:multiLevelType w:val="hybridMultilevel"/>
    <w:tmpl w:val="14544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EF5C1C"/>
    <w:multiLevelType w:val="hybridMultilevel"/>
    <w:tmpl w:val="6AF802F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6" w15:restartNumberingAfterBreak="0">
    <w:nsid w:val="31664190"/>
    <w:multiLevelType w:val="hybridMultilevel"/>
    <w:tmpl w:val="C0AE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B1CAF"/>
    <w:multiLevelType w:val="hybridMultilevel"/>
    <w:tmpl w:val="41629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4C0F7A"/>
    <w:multiLevelType w:val="hybridMultilevel"/>
    <w:tmpl w:val="DFD22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CC5FBF"/>
    <w:multiLevelType w:val="hybridMultilevel"/>
    <w:tmpl w:val="E220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75B53"/>
    <w:multiLevelType w:val="hybridMultilevel"/>
    <w:tmpl w:val="9D98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556A6"/>
    <w:multiLevelType w:val="multilevel"/>
    <w:tmpl w:val="B720F60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Arial" w:hint="default"/>
        <w:b/>
      </w:rPr>
    </w:lvl>
  </w:abstractNum>
  <w:abstractNum w:abstractNumId="12" w15:restartNumberingAfterBreak="0">
    <w:nsid w:val="6BCB262F"/>
    <w:multiLevelType w:val="hybridMultilevel"/>
    <w:tmpl w:val="4824E99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6C5369E7"/>
    <w:multiLevelType w:val="hybridMultilevel"/>
    <w:tmpl w:val="13E480F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 w15:restartNumberingAfterBreak="0">
    <w:nsid w:val="76050191"/>
    <w:multiLevelType w:val="hybridMultilevel"/>
    <w:tmpl w:val="8C60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4"/>
  </w:num>
  <w:num w:numId="10">
    <w:abstractNumId w:val="9"/>
  </w:num>
  <w:num w:numId="11">
    <w:abstractNumId w:val="12"/>
  </w:num>
  <w:num w:numId="12">
    <w:abstractNumId w:val="3"/>
  </w:num>
  <w:num w:numId="13">
    <w:abstractNumId w:val="10"/>
  </w:num>
  <w:num w:numId="14">
    <w:abstractNumId w:val="11"/>
  </w:num>
  <w:num w:numId="1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D"/>
    <w:rsid w:val="00016EE9"/>
    <w:rsid w:val="000250FB"/>
    <w:rsid w:val="000C00D9"/>
    <w:rsid w:val="000D39A8"/>
    <w:rsid w:val="000E7EEE"/>
    <w:rsid w:val="0010746F"/>
    <w:rsid w:val="00115C31"/>
    <w:rsid w:val="0013466A"/>
    <w:rsid w:val="00175146"/>
    <w:rsid w:val="00183BE7"/>
    <w:rsid w:val="001926E2"/>
    <w:rsid w:val="001B5B3F"/>
    <w:rsid w:val="001D0A9A"/>
    <w:rsid w:val="00204147"/>
    <w:rsid w:val="00204D6E"/>
    <w:rsid w:val="00234846"/>
    <w:rsid w:val="00243F16"/>
    <w:rsid w:val="00267DA9"/>
    <w:rsid w:val="00280060"/>
    <w:rsid w:val="002A047E"/>
    <w:rsid w:val="002A76ED"/>
    <w:rsid w:val="002C46F3"/>
    <w:rsid w:val="002D3E74"/>
    <w:rsid w:val="002D5CF6"/>
    <w:rsid w:val="002E74FD"/>
    <w:rsid w:val="002F7D2D"/>
    <w:rsid w:val="003003EC"/>
    <w:rsid w:val="003011AD"/>
    <w:rsid w:val="00314108"/>
    <w:rsid w:val="00367EF6"/>
    <w:rsid w:val="003C25B2"/>
    <w:rsid w:val="003C3C6E"/>
    <w:rsid w:val="00421071"/>
    <w:rsid w:val="004211F1"/>
    <w:rsid w:val="004320F9"/>
    <w:rsid w:val="00444EE4"/>
    <w:rsid w:val="00453381"/>
    <w:rsid w:val="004669DD"/>
    <w:rsid w:val="00474F7B"/>
    <w:rsid w:val="00484A6B"/>
    <w:rsid w:val="00486973"/>
    <w:rsid w:val="00493E35"/>
    <w:rsid w:val="004A164D"/>
    <w:rsid w:val="004B135D"/>
    <w:rsid w:val="004B351C"/>
    <w:rsid w:val="004B536D"/>
    <w:rsid w:val="004D059B"/>
    <w:rsid w:val="004E0196"/>
    <w:rsid w:val="00514DE8"/>
    <w:rsid w:val="00516701"/>
    <w:rsid w:val="00550B44"/>
    <w:rsid w:val="0055221E"/>
    <w:rsid w:val="005966B9"/>
    <w:rsid w:val="005A3330"/>
    <w:rsid w:val="005B4CF2"/>
    <w:rsid w:val="005C2122"/>
    <w:rsid w:val="005F6BAF"/>
    <w:rsid w:val="006451C4"/>
    <w:rsid w:val="00664AE6"/>
    <w:rsid w:val="00674318"/>
    <w:rsid w:val="0068752B"/>
    <w:rsid w:val="006879B2"/>
    <w:rsid w:val="006B5E91"/>
    <w:rsid w:val="006C094A"/>
    <w:rsid w:val="006D299B"/>
    <w:rsid w:val="006D3EBC"/>
    <w:rsid w:val="006F1847"/>
    <w:rsid w:val="00703768"/>
    <w:rsid w:val="00705C46"/>
    <w:rsid w:val="00715297"/>
    <w:rsid w:val="007166E1"/>
    <w:rsid w:val="007265AB"/>
    <w:rsid w:val="00733984"/>
    <w:rsid w:val="007356A3"/>
    <w:rsid w:val="00741A2F"/>
    <w:rsid w:val="007669D5"/>
    <w:rsid w:val="00772276"/>
    <w:rsid w:val="007771EF"/>
    <w:rsid w:val="007815DE"/>
    <w:rsid w:val="007B2532"/>
    <w:rsid w:val="007D7395"/>
    <w:rsid w:val="00801C8F"/>
    <w:rsid w:val="0080392F"/>
    <w:rsid w:val="00807481"/>
    <w:rsid w:val="00810F25"/>
    <w:rsid w:val="008327BA"/>
    <w:rsid w:val="008A5BB3"/>
    <w:rsid w:val="008B11B7"/>
    <w:rsid w:val="008B1D2E"/>
    <w:rsid w:val="008B5709"/>
    <w:rsid w:val="008B7909"/>
    <w:rsid w:val="008C7E94"/>
    <w:rsid w:val="008E3598"/>
    <w:rsid w:val="008F1CDA"/>
    <w:rsid w:val="0091068B"/>
    <w:rsid w:val="009107CC"/>
    <w:rsid w:val="00922B6B"/>
    <w:rsid w:val="00930CBE"/>
    <w:rsid w:val="00960833"/>
    <w:rsid w:val="0099362F"/>
    <w:rsid w:val="00997B65"/>
    <w:rsid w:val="009B11AC"/>
    <w:rsid w:val="009B40DD"/>
    <w:rsid w:val="009E07EE"/>
    <w:rsid w:val="00A16B5B"/>
    <w:rsid w:val="00A44429"/>
    <w:rsid w:val="00A54F44"/>
    <w:rsid w:val="00A76CFF"/>
    <w:rsid w:val="00AB211C"/>
    <w:rsid w:val="00AB66A4"/>
    <w:rsid w:val="00AD07C8"/>
    <w:rsid w:val="00AE64E9"/>
    <w:rsid w:val="00AF71B1"/>
    <w:rsid w:val="00B007E2"/>
    <w:rsid w:val="00B03CC1"/>
    <w:rsid w:val="00B23B8C"/>
    <w:rsid w:val="00B32C86"/>
    <w:rsid w:val="00B566F9"/>
    <w:rsid w:val="00BE3C76"/>
    <w:rsid w:val="00BF4C44"/>
    <w:rsid w:val="00C10573"/>
    <w:rsid w:val="00C11983"/>
    <w:rsid w:val="00C80786"/>
    <w:rsid w:val="00C84AF8"/>
    <w:rsid w:val="00CA2B97"/>
    <w:rsid w:val="00CB723E"/>
    <w:rsid w:val="00D0595A"/>
    <w:rsid w:val="00D16A63"/>
    <w:rsid w:val="00D30503"/>
    <w:rsid w:val="00D51AF5"/>
    <w:rsid w:val="00D762DE"/>
    <w:rsid w:val="00D91273"/>
    <w:rsid w:val="00D940CE"/>
    <w:rsid w:val="00DB4046"/>
    <w:rsid w:val="00DE4418"/>
    <w:rsid w:val="00DE4D63"/>
    <w:rsid w:val="00DE74FC"/>
    <w:rsid w:val="00E369FC"/>
    <w:rsid w:val="00E74D71"/>
    <w:rsid w:val="00E75382"/>
    <w:rsid w:val="00E75585"/>
    <w:rsid w:val="00E8368A"/>
    <w:rsid w:val="00E945EB"/>
    <w:rsid w:val="00E96C3E"/>
    <w:rsid w:val="00E977B4"/>
    <w:rsid w:val="00EA1F43"/>
    <w:rsid w:val="00EA59B5"/>
    <w:rsid w:val="00EC4357"/>
    <w:rsid w:val="00EC7DCF"/>
    <w:rsid w:val="00ED0EE3"/>
    <w:rsid w:val="00EF3E4D"/>
    <w:rsid w:val="00F33AA2"/>
    <w:rsid w:val="00F3449D"/>
    <w:rsid w:val="00F76F81"/>
    <w:rsid w:val="00FA0F3C"/>
    <w:rsid w:val="00FC27EE"/>
    <w:rsid w:val="00FC5BC0"/>
    <w:rsid w:val="00FF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EE19A-FBBE-4325-B074-97DA2371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4533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EE48C-EB4D-47A9-89BF-91268B6B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5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Lusine Mnacakanyan</cp:lastModifiedBy>
  <cp:revision>175</cp:revision>
  <cp:lastPrinted>2019-07-11T12:03:00Z</cp:lastPrinted>
  <dcterms:created xsi:type="dcterms:W3CDTF">2019-03-26T08:44:00Z</dcterms:created>
  <dcterms:modified xsi:type="dcterms:W3CDTF">2020-12-30T06:57:00Z</dcterms:modified>
</cp:coreProperties>
</file>