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A6F" w14:textId="6405ECD5" w:rsidR="0001464E" w:rsidRPr="00A83F3B" w:rsidRDefault="00F04CD3" w:rsidP="0001464E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հու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լ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ի</w:t>
      </w:r>
      <w:r>
        <w:rPr>
          <w:rFonts w:ascii="Arial" w:hAnsi="Arial" w:cs="Arial"/>
          <w:color w:val="000000" w:themeColor="text1"/>
          <w:sz w:val="24"/>
          <w:szCs w:val="24"/>
          <w:lang w:val="hy-AM"/>
        </w:rPr>
        <w:t>սի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hy-AM"/>
        </w:rPr>
        <w:t>27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ի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ժամը 11:30-ին </w:t>
      </w:r>
      <w:r w:rsidR="0001464E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ք. Երևան, Արշակունյաց 5, 311ս. հասցեում</w:t>
      </w:r>
      <w:r w:rsidR="0001464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կկայանա Դոնարա Խոյեցյանին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ն /գործ </w:t>
      </w:r>
      <w:r w:rsidRPr="006B0E2E">
        <w:rPr>
          <w:rFonts w:ascii="Arial" w:hAnsi="Arial" w:cs="Arial"/>
          <w:sz w:val="24"/>
          <w:szCs w:val="24"/>
          <w:lang w:val="hy-AM"/>
        </w:rPr>
        <w:t>ՍՆԴ/0641/04/20</w:t>
      </w:r>
      <w:r>
        <w:rPr>
          <w:rFonts w:ascii="Arial" w:hAnsi="Arial" w:cs="Arial"/>
          <w:sz w:val="24"/>
          <w:szCs w:val="24"/>
          <w:lang w:val="hy-AM"/>
        </w:rPr>
        <w:t>/</w:t>
      </w:r>
      <w:r w:rsidRPr="006B0E2E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սեփականության իրավունքով պատկանող 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գույքի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r w:rsidR="0001464E" w:rsidRPr="00A83F3B">
        <w:rPr>
          <w:rFonts w:ascii="Arial" w:hAnsi="Arial" w:cs="Arial"/>
          <w:color w:val="000000" w:themeColor="text1"/>
          <w:lang w:val="hy-AM"/>
        </w:rPr>
        <w:t>աճուրդ-վաճառքը 1 լոտով.</w:t>
      </w:r>
    </w:p>
    <w:p w14:paraId="27DD795D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14:paraId="7685BC86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5C7FB9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Լոտ 1.</w:t>
      </w:r>
    </w:p>
    <w:tbl>
      <w:tblPr>
        <w:tblStyle w:val="a4"/>
        <w:tblW w:w="10962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5512"/>
        <w:gridCol w:w="1656"/>
      </w:tblGrid>
      <w:tr w:rsidR="0001464E" w:rsidRPr="005305BB" w14:paraId="1B59FDE6" w14:textId="77777777" w:rsidTr="00170CB3">
        <w:trPr>
          <w:trHeight w:val="703"/>
        </w:trPr>
        <w:tc>
          <w:tcPr>
            <w:tcW w:w="1982" w:type="dxa"/>
            <w:vAlign w:val="center"/>
          </w:tcPr>
          <w:p w14:paraId="039E556C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12" w:type="dxa"/>
            <w:vAlign w:val="center"/>
          </w:tcPr>
          <w:p w14:paraId="6C3FC3B5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5512" w:type="dxa"/>
            <w:vAlign w:val="center"/>
          </w:tcPr>
          <w:p w14:paraId="6543EEC9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656" w:type="dxa"/>
            <w:vAlign w:val="center"/>
          </w:tcPr>
          <w:p w14:paraId="7A2C94EB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գինը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, ՀՀ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</w:tr>
      <w:tr w:rsidR="0001464E" w:rsidRPr="009155B9" w14:paraId="4189B1BA" w14:textId="77777777" w:rsidTr="00170CB3">
        <w:trPr>
          <w:trHeight w:val="960"/>
        </w:trPr>
        <w:tc>
          <w:tcPr>
            <w:tcW w:w="1982" w:type="dxa"/>
            <w:vAlign w:val="center"/>
          </w:tcPr>
          <w:p w14:paraId="666E2437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A702CA5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ծածկագիրը- 02-016-0107-0007</w:t>
            </w:r>
          </w:p>
          <w:p w14:paraId="2C6D878A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06102021-02-0026</w:t>
            </w:r>
          </w:p>
        </w:tc>
        <w:tc>
          <w:tcPr>
            <w:tcW w:w="1812" w:type="dxa"/>
            <w:vAlign w:val="center"/>
          </w:tcPr>
          <w:p w14:paraId="00F58B8F" w14:textId="77777777" w:rsidR="0001464E" w:rsidRPr="009155B9" w:rsidRDefault="0001464E" w:rsidP="00A876E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Արագածավան համայնք, Մուրացանի փող. 1-ին նրբանցք թիվ 22</w:t>
            </w:r>
          </w:p>
        </w:tc>
        <w:tc>
          <w:tcPr>
            <w:tcW w:w="5512" w:type="dxa"/>
            <w:vAlign w:val="center"/>
          </w:tcPr>
          <w:p w14:paraId="66F798EE" w14:textId="77777777" w:rsidR="0001464E" w:rsidRPr="00CB1113" w:rsidRDefault="0001464E" w:rsidP="00A876E7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y-AM"/>
              </w:rPr>
              <w:t>մ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ակերեսը </w:t>
            </w:r>
            <w:r>
              <w:rPr>
                <w:color w:val="000000"/>
                <w:sz w:val="20"/>
                <w:szCs w:val="20"/>
                <w:lang w:val="hy-AM"/>
              </w:rPr>
              <w:t>1203 քմ</w:t>
            </w:r>
          </w:p>
          <w:p w14:paraId="43B2D434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բնակավայրերի</w:t>
            </w:r>
          </w:p>
          <w:p w14:paraId="3E83A9D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Գործառնական նշանակությունը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բնակելի կառուցապատման</w:t>
            </w:r>
          </w:p>
          <w:p w14:paraId="5C17FDAA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Տրանսպորտային մատչելիությունը-բավարար, 3 բալ</w:t>
            </w:r>
          </w:p>
          <w:p w14:paraId="1F6B4B0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Տեղակայման գրավչությունը- բավարար, 3 բալ</w:t>
            </w:r>
          </w:p>
          <w:p w14:paraId="722B524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ճակատային եզրագծի առկայությունը փողոցի հետ-24,20 մ</w:t>
            </w:r>
          </w:p>
          <w:p w14:paraId="0300EAE8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Հողամասի դիրքը </w:t>
            </w: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(1-3 բալ)-միջին, 2 բալ</w:t>
            </w:r>
          </w:p>
          <w:p w14:paraId="554069D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Հողամասի թեքությունը-հարթ</w:t>
            </w:r>
          </w:p>
          <w:p w14:paraId="232A7492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ում կոմունիկացիոն համակարգերի առկայությունը- առկա է միացման հնարավորություն էլեկտրաէներգիայի, ջրամատակարարման համակարգերի հետ</w:t>
            </w:r>
          </w:p>
          <w:p w14:paraId="2EC6C661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երկրաչափական ձևը-ուղղանկյունաձև</w:t>
            </w:r>
          </w:p>
          <w:p w14:paraId="3573664A" w14:textId="070A2282" w:rsidR="0001464E" w:rsidRPr="006B39BC" w:rsidRDefault="0001464E" w:rsidP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Ավտոկայանատեղի առկայությունը-լավ</w:t>
            </w:r>
          </w:p>
        </w:tc>
        <w:tc>
          <w:tcPr>
            <w:tcW w:w="1656" w:type="dxa"/>
            <w:vAlign w:val="center"/>
          </w:tcPr>
          <w:p w14:paraId="2727EBB1" w14:textId="77777777" w:rsidR="0001464E" w:rsidRPr="00232ADD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1.300.000</w:t>
            </w:r>
          </w:p>
        </w:tc>
      </w:tr>
    </w:tbl>
    <w:p w14:paraId="246A94DC" w14:textId="77777777" w:rsidR="0001464E" w:rsidRDefault="0001464E" w:rsidP="0001464E">
      <w:pPr>
        <w:rPr>
          <w:lang w:val="hy-AM"/>
        </w:rPr>
      </w:pPr>
    </w:p>
    <w:p w14:paraId="5B8EB7DE" w14:textId="77777777" w:rsidR="0001464E" w:rsidRPr="004F34A4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D30AC1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46020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BC7EDE7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FE9554" w14:textId="165722C1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բանկ» 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6069032965316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B38C43" w14:textId="77777777" w:rsidR="0001464E" w:rsidRDefault="0001464E" w:rsidP="00170CB3">
      <w:pPr>
        <w:pStyle w:val="a3"/>
        <w:ind w:left="57"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7718AA86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852BBC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68F9DCAA" w14:textId="258E9CEC" w:rsidR="0001464E" w:rsidRPr="00916ACE" w:rsidRDefault="0001464E" w:rsidP="00170CB3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Դոնարա Խոյեցյան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41BA400A" w14:textId="7CCAFA58" w:rsidR="0001464E" w:rsidRDefault="0058317C" w:rsidP="00170CB3">
      <w:pPr>
        <w:jc w:val="both"/>
        <w:rPr>
          <w:rFonts w:ascii="Sylfaen" w:hAnsi="Sylfaen" w:cs="Tahoma"/>
          <w:i/>
          <w:sz w:val="4"/>
          <w:szCs w:val="4"/>
          <w:lang w:val="fr-BE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lastRenderedPageBreak/>
        <w:drawing>
          <wp:inline distT="0" distB="0" distL="0" distR="0" wp14:anchorId="36031025" wp14:editId="3898475D">
            <wp:extent cx="2876550" cy="1619250"/>
            <wp:effectExtent l="0" t="0" r="0" b="0"/>
            <wp:docPr id="1578819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Tahoma"/>
          <w:i/>
          <w:sz w:val="4"/>
          <w:szCs w:val="4"/>
          <w:lang w:val="fr-BE"/>
        </w:rPr>
        <w:t xml:space="preserve">  </w:t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47732C7A" wp14:editId="3F500B36">
            <wp:extent cx="2876550" cy="1619250"/>
            <wp:effectExtent l="0" t="0" r="0" b="0"/>
            <wp:docPr id="205275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BAD" w14:textId="3D8AA6A0" w:rsidR="0058317C" w:rsidRPr="00F04CD3" w:rsidRDefault="0058317C" w:rsidP="00170CB3">
      <w:pPr>
        <w:jc w:val="both"/>
        <w:rPr>
          <w:lang w:val="hy-AM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5C2FBCC8" wp14:editId="5976E968">
            <wp:extent cx="2876550" cy="1619250"/>
            <wp:effectExtent l="0" t="0" r="0" b="0"/>
            <wp:docPr id="1982944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358DD8AF" wp14:editId="006854D2">
            <wp:extent cx="2876550" cy="1619250"/>
            <wp:effectExtent l="0" t="0" r="0" b="0"/>
            <wp:docPr id="12124725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C" w:rsidRPr="00F04CD3" w:rsidSect="00170CB3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E5"/>
    <w:rsid w:val="0001464E"/>
    <w:rsid w:val="00170CB3"/>
    <w:rsid w:val="0058317C"/>
    <w:rsid w:val="00AD0DD7"/>
    <w:rsid w:val="00D717E5"/>
    <w:rsid w:val="00F04CD3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50D"/>
  <w15:chartTrackingRefBased/>
  <w15:docId w15:val="{9B1AA92D-9B1A-42DB-8EC6-59053A5C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D3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0146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2023-07-08T16:15:00Z</cp:lastPrinted>
  <dcterms:created xsi:type="dcterms:W3CDTF">2023-07-08T14:04:00Z</dcterms:created>
  <dcterms:modified xsi:type="dcterms:W3CDTF">2023-07-08T16:15:00Z</dcterms:modified>
</cp:coreProperties>
</file>