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4699" w14:textId="77777777" w:rsidR="00C14148" w:rsidRDefault="00C14148" w:rsidP="00C14148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ab/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N 119</w:t>
      </w:r>
    </w:p>
    <w:p w14:paraId="5CA35424" w14:textId="77777777" w:rsidR="00C14148" w:rsidRDefault="00C14148" w:rsidP="00C1414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բնապահպանության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ընդերքի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00DFCCE3" w14:textId="77777777" w:rsidR="00C14148" w:rsidRDefault="00C14148" w:rsidP="00C1414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տեսչական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մարմնի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ղեկավարի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2021թ.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սեպտեմբերի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27-ի </w:t>
      </w:r>
    </w:p>
    <w:p w14:paraId="24C3D1D8" w14:textId="77777777" w:rsidR="00C14148" w:rsidRDefault="00C14148" w:rsidP="00C14148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GHEA Grapalat" w:eastAsia="Times New Roman" w:hAnsi="GHEA Grapalat" w:cs="Sylfaen"/>
          <w:sz w:val="20"/>
          <w:szCs w:val="20"/>
        </w:rPr>
        <w:t>N  Կ</w:t>
      </w:r>
      <w:proofErr w:type="gramEnd"/>
      <w:r>
        <w:rPr>
          <w:rFonts w:ascii="GHEA Grapalat" w:eastAsia="Times New Roman" w:hAnsi="GHEA Grapalat" w:cs="Sylfaen"/>
          <w:sz w:val="20"/>
          <w:szCs w:val="20"/>
        </w:rPr>
        <w:t xml:space="preserve"> 5-Լ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հրամանի</w:t>
      </w:r>
      <w:proofErr w:type="spellEnd"/>
    </w:p>
    <w:p w14:paraId="075619D9" w14:textId="77777777" w:rsidR="00C14148" w:rsidRPr="003B2FCE" w:rsidRDefault="00C14148" w:rsidP="00C1414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D2A58AA" w14:textId="77777777" w:rsidR="00C14148" w:rsidRPr="003B2FCE" w:rsidRDefault="00C14148" w:rsidP="00C14148">
      <w:pPr>
        <w:spacing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3B2FCE">
        <w:rPr>
          <w:rFonts w:ascii="GHEA Grapalat" w:eastAsia="Sylfaen" w:hAnsi="GHEA Grapalat" w:cs="Sylfaen"/>
          <w:b/>
          <w:lang w:val="hy-AM"/>
        </w:rPr>
        <w:t>ՔԱՂԱՔԱՑԻԱԿԱՆ ԾԱՌԱՅՈՒԹՅԱՆ ՊԱՇՏՈՆԻԱՆՁՆԱԳԻՐ</w:t>
      </w:r>
    </w:p>
    <w:p w14:paraId="2C981DC8" w14:textId="77777777" w:rsidR="00C14148" w:rsidRPr="003B2FCE" w:rsidRDefault="00C14148" w:rsidP="00C14148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3B2FCE">
        <w:rPr>
          <w:rFonts w:ascii="GHEA Grapalat" w:hAnsi="GHEA Grapalat" w:cs="Sylfaen"/>
          <w:b/>
          <w:lang w:val="hy-AM"/>
        </w:rPr>
        <w:t>ԲՆԱՊԱՀՊԱՆՈՒԹՅԱՆ ԵՎ ԸՆԴԵՐՔԻ ՏԵՍՉԱԿԱՆ ՄԱՐՄՆԻ ԳԵՂԱՐՔՈՒՆԻՔԻ ՏԱՐԱԾՔԱՅԻՆ ԲԱԺՆԻ ԱՎԱԳ ԻՐԱՎԱԽՈՐՀՐԴԱՏՈՒ</w:t>
      </w:r>
    </w:p>
    <w:p w14:paraId="62BB3D56" w14:textId="77777777" w:rsidR="00C14148" w:rsidRPr="003B2FCE" w:rsidRDefault="00C14148" w:rsidP="00C14148">
      <w:pPr>
        <w:spacing w:after="0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5"/>
      </w:tblGrid>
      <w:tr w:rsidR="00C14148" w:rsidRPr="003B2FCE" w14:paraId="0A87A990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ECDD" w14:textId="77777777" w:rsidR="00C14148" w:rsidRPr="003B2FCE" w:rsidRDefault="00C14148" w:rsidP="00C14148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3B2FCE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B2FC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2FCE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C14148" w:rsidRPr="00D14CB0" w14:paraId="3A0445D6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B389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63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1174476B" w14:textId="77777777" w:rsidR="00C14148" w:rsidRPr="003B2FCE" w:rsidRDefault="00C14148" w:rsidP="00C4179C">
            <w:pPr>
              <w:shd w:val="clear" w:color="auto" w:fill="FFFFFF"/>
              <w:tabs>
                <w:tab w:val="left" w:pos="567"/>
                <w:tab w:val="left" w:pos="675"/>
                <w:tab w:val="left" w:pos="771"/>
              </w:tabs>
              <w:spacing w:after="0"/>
              <w:ind w:left="58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Բնապահպանության և ընդերքի տեսչական մարմնի (այսուհետ՝ Տեսչական մարմին)  Գեղարքունիքի տարածքային բաժնի </w:t>
            </w:r>
            <w:r w:rsidRPr="003B2FCE">
              <w:rPr>
                <w:rFonts w:ascii="GHEA Grapalat" w:hAnsi="GHEA Grapalat"/>
                <w:color w:val="000000"/>
                <w:lang w:val="hy-AM"/>
              </w:rPr>
              <w:t>(այսուհետ՝ Բաժին) ավագ իրավախորհրդատու</w:t>
            </w:r>
            <w:r w:rsidRPr="003B2FCE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67-30.5-Մ4-2)</w:t>
            </w:r>
            <w:r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34E493A3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63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40009DCB" w14:textId="77777777" w:rsidR="00C14148" w:rsidRPr="003B2FCE" w:rsidRDefault="00C14148" w:rsidP="00C4179C">
            <w:p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B2FCE">
              <w:rPr>
                <w:rFonts w:ascii="GHEA Grapalat" w:hAnsi="GHEA Grapalat"/>
                <w:color w:val="000000"/>
                <w:lang w:val="hy-AM"/>
              </w:rPr>
              <w:t>Ավագ իրավախորհրդատուն</w:t>
            </w:r>
            <w:r w:rsidRPr="003B2FCE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Pr="003B2FCE">
              <w:rPr>
                <w:rFonts w:ascii="GHEA Grapalat" w:hAnsi="GHEA Grapalat"/>
                <w:lang w:val="hy-AM"/>
              </w:rPr>
              <w:t>պետին</w:t>
            </w:r>
            <w:r w:rsidRPr="003B2FC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72B25CD2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63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3F9FC998" w14:textId="77777777" w:rsidR="00C14148" w:rsidRPr="003B2FCE" w:rsidRDefault="00C14148" w:rsidP="00C4179C">
            <w:p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B2FCE">
              <w:rPr>
                <w:rFonts w:ascii="GHEA Grapalat" w:hAnsi="GHEA Grapalat"/>
                <w:color w:val="000000"/>
                <w:lang w:val="hy-AM"/>
              </w:rPr>
              <w:t>Ավագ իրավախորհրդատուի</w:t>
            </w:r>
            <w:r w:rsidRPr="003B2FCE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Բաժնի ավագ պետական տեսուչը</w:t>
            </w:r>
            <w:r w:rsidRPr="003B2FC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700595DF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63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21537B0F" w14:textId="77777777" w:rsidR="00C14148" w:rsidRDefault="00C14148" w:rsidP="00C4179C">
            <w:p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9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B2FCE">
              <w:rPr>
                <w:rFonts w:ascii="GHEA Grapalat" w:eastAsia="Times New Roman" w:hAnsi="GHEA Grapalat" w:cs="Times New Roman"/>
                <w:lang w:val="hy-AM"/>
              </w:rPr>
              <w:t>Հայաստան, Գեղարքունիքի մարզ, ք. Մարտունի, Շահումյան 2։</w:t>
            </w:r>
          </w:p>
          <w:p w14:paraId="1AA4A96C" w14:textId="77777777" w:rsidR="00C14148" w:rsidRPr="003B2FCE" w:rsidRDefault="00C14148" w:rsidP="00C4179C">
            <w:pPr>
              <w:tabs>
                <w:tab w:val="left" w:pos="567"/>
                <w:tab w:val="left" w:pos="675"/>
                <w:tab w:val="left" w:pos="771"/>
                <w:tab w:val="left" w:pos="851"/>
              </w:tabs>
              <w:spacing w:after="0"/>
              <w:ind w:left="585" w:hanging="9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14148" w:rsidRPr="003B2FCE" w14:paraId="560BE181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0605" w14:textId="77777777" w:rsidR="00C14148" w:rsidRPr="003B2FCE" w:rsidRDefault="00C14148" w:rsidP="00C14148">
            <w:pPr>
              <w:pStyle w:val="a3"/>
              <w:numPr>
                <w:ilvl w:val="0"/>
                <w:numId w:val="1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Պաշտոնի բնութագիրը</w:t>
            </w:r>
          </w:p>
        </w:tc>
      </w:tr>
      <w:tr w:rsidR="00C14148" w:rsidRPr="00D14CB0" w14:paraId="15903D4F" w14:textId="77777777" w:rsidTr="00C4179C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FD17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tabs>
                <w:tab w:val="left" w:pos="487"/>
              </w:tabs>
              <w:spacing w:after="0" w:line="240" w:lineRule="auto"/>
              <w:ind w:left="495" w:hanging="54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B2FCE">
              <w:rPr>
                <w:rFonts w:ascii="GHEA Grapalat" w:hAnsi="GHEA Grapalat" w:cs="Sylfaen"/>
                <w:b/>
                <w:bCs/>
                <w:lang w:val="hy-AM"/>
              </w:rPr>
              <w:t>Աշխատանքի  բնույթը, իրավունքները, պարտականությունները</w:t>
            </w:r>
          </w:p>
          <w:p w14:paraId="72B80C0E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Բաժնի դեմ ներկայացված դիմում-բողոքների պատասխանների, Բաժնի դեմ ուղղված հայցերի ու հակընդդեմ հայցերի պատասխանների նախագծերի կազմման աշխատանքներին,</w:t>
            </w:r>
          </w:p>
          <w:p w14:paraId="19B377D7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Բաժնի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1509253C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AE63622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0CB766D5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որոշումների կատարման ժամկետների վերահսկման աշխատանքներին,</w:t>
            </w:r>
            <w:r w:rsidRPr="003B2FCE">
              <w:rPr>
                <w:rFonts w:ascii="GHEA Grapalat" w:hAnsi="GHEA Grapalat" w:cs="Sylfaen"/>
                <w:lang w:val="hy-AM"/>
              </w:rPr>
              <w:tab/>
            </w:r>
          </w:p>
          <w:p w14:paraId="72F0C0DC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lastRenderedPageBreak/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 աշխատանքներին,</w:t>
            </w:r>
          </w:p>
          <w:p w14:paraId="19239CB4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Բաժնի առջև դրված գործառույթներից և խնդիրներից բխող իրավական ակտերի 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063F64B5" w14:textId="77777777" w:rsidR="00C14148" w:rsidRPr="003B2FCE" w:rsidRDefault="00C14148" w:rsidP="00C14148">
            <w:pPr>
              <w:pStyle w:val="a3"/>
              <w:numPr>
                <w:ilvl w:val="0"/>
                <w:numId w:val="3"/>
              </w:numPr>
              <w:tabs>
                <w:tab w:val="left" w:pos="675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կողմից ներկայացված նամակների, դիմումների, բողոքների քննարկմանը և ուսումնասիրությանը ու դրա հիման Բաժնի պետին ներկայացնում համապատասխան առաջարկություններ։</w:t>
            </w:r>
          </w:p>
          <w:p w14:paraId="490739E3" w14:textId="77777777" w:rsidR="00C14148" w:rsidRPr="00814ADC" w:rsidRDefault="00C14148" w:rsidP="00C4179C">
            <w:pPr>
              <w:tabs>
                <w:tab w:val="left" w:pos="487"/>
                <w:tab w:val="left" w:pos="2326"/>
              </w:tabs>
              <w:spacing w:after="0"/>
              <w:ind w:left="585"/>
              <w:rPr>
                <w:rFonts w:ascii="GHEA Grapalat" w:hAnsi="GHEA Grapalat" w:cs="Sylfaen"/>
                <w:b/>
                <w:lang w:val="hy-AM"/>
              </w:rPr>
            </w:pPr>
          </w:p>
          <w:p w14:paraId="354493E7" w14:textId="77777777" w:rsidR="00C14148" w:rsidRDefault="00C14148" w:rsidP="00C4179C">
            <w:pPr>
              <w:tabs>
                <w:tab w:val="left" w:pos="484"/>
                <w:tab w:val="left" w:pos="2326"/>
              </w:tabs>
              <w:spacing w:after="0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3B2FCE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22EAE7FA" w14:textId="77777777" w:rsidR="00C14148" w:rsidRPr="003B2FCE" w:rsidRDefault="00C14148" w:rsidP="00C4179C">
            <w:pPr>
              <w:tabs>
                <w:tab w:val="left" w:pos="484"/>
                <w:tab w:val="left" w:pos="2326"/>
              </w:tabs>
              <w:spacing w:after="0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28D21A3E" w14:textId="77777777" w:rsidR="00C14148" w:rsidRPr="003B2FCE" w:rsidRDefault="00C14148" w:rsidP="00C14148">
            <w:pPr>
              <w:pStyle w:val="a3"/>
              <w:numPr>
                <w:ilvl w:val="0"/>
                <w:numId w:val="4"/>
              </w:numPr>
              <w:tabs>
                <w:tab w:val="left" w:pos="49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Բաժնի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1F458DBF" w14:textId="77777777" w:rsidR="00C14148" w:rsidRPr="003B2FCE" w:rsidRDefault="00C14148" w:rsidP="00C14148">
            <w:pPr>
              <w:pStyle w:val="a3"/>
              <w:numPr>
                <w:ilvl w:val="0"/>
                <w:numId w:val="4"/>
              </w:numPr>
              <w:tabs>
                <w:tab w:val="left" w:pos="49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Բաժնի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4A5BAE54" w14:textId="77777777" w:rsidR="00C14148" w:rsidRPr="003B2FCE" w:rsidRDefault="00C14148" w:rsidP="00C14148">
            <w:pPr>
              <w:pStyle w:val="a3"/>
              <w:numPr>
                <w:ilvl w:val="0"/>
                <w:numId w:val="4"/>
              </w:numPr>
              <w:tabs>
                <w:tab w:val="left" w:pos="49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մասնակցնել քաղաքացիների կամ իրավաբանական անձանց կողմից Բաժնին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3A3BB378" w14:textId="77777777" w:rsidR="00C14148" w:rsidRPr="003B2FCE" w:rsidRDefault="00C14148" w:rsidP="00C14148">
            <w:pPr>
              <w:pStyle w:val="a3"/>
              <w:numPr>
                <w:ilvl w:val="0"/>
                <w:numId w:val="4"/>
              </w:numPr>
              <w:tabs>
                <w:tab w:val="left" w:pos="49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իր լիազորությունների շրջանակում բացահայտված՝ օրենքով չարգելված տեղեկատվությունը իրավասու է փոխանակել իրավական աջակցության և փաստաթղթաշրջանառության վարչության հետ:</w:t>
            </w:r>
          </w:p>
          <w:p w14:paraId="1F60CC1A" w14:textId="77777777" w:rsidR="00C14148" w:rsidRPr="00814ADC" w:rsidRDefault="00C14148" w:rsidP="00C4179C">
            <w:pPr>
              <w:tabs>
                <w:tab w:val="left" w:pos="585"/>
                <w:tab w:val="left" w:pos="2326"/>
              </w:tabs>
              <w:spacing w:after="0"/>
              <w:ind w:left="58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5F82BC30" w14:textId="77777777" w:rsidR="00C14148" w:rsidRDefault="00C14148" w:rsidP="00C4179C">
            <w:pPr>
              <w:tabs>
                <w:tab w:val="left" w:pos="585"/>
                <w:tab w:val="left" w:pos="2326"/>
              </w:tabs>
              <w:spacing w:after="0"/>
              <w:ind w:left="585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B2FCE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357A66DD" w14:textId="77777777" w:rsidR="00C14148" w:rsidRPr="003B2FCE" w:rsidRDefault="00C14148" w:rsidP="00C4179C">
            <w:pPr>
              <w:tabs>
                <w:tab w:val="left" w:pos="585"/>
                <w:tab w:val="left" w:pos="2326"/>
              </w:tabs>
              <w:spacing w:after="0"/>
              <w:ind w:left="58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33C8F591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Ստուգել Բաժնին ներկայացված բողոքների վերաբերյալ եզրակացության կամ որոշման նախագծերի համապատասխանությունն օրենքների և իրավական այլ ակտերի պահանջներին,</w:t>
            </w:r>
          </w:p>
          <w:p w14:paraId="3F8187E1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67469229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19621D6B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բնապահպանական օրենսդրության և դրան համապատասխան ընդունված իրավական ակտերի դրույթների կիրառման վերաբերյալ ներկայացնել մասնագիտական դիրքորոշում, կարծիքներ, առաջարկություններ, առարկություններ,</w:t>
            </w:r>
          </w:p>
          <w:p w14:paraId="640F4246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386E5E4F" w14:textId="77777777" w:rsidR="00C14148" w:rsidRPr="003B2FCE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բնապահպանական օրենսդրության և դրան համապատասխան ընդունված իրավական ակտերի կիրարկման մասին կատարել բացատրական աշխատանքներ,</w:t>
            </w:r>
          </w:p>
          <w:p w14:paraId="7D24BF3B" w14:textId="77777777" w:rsidR="00C14148" w:rsidRDefault="00C14148" w:rsidP="00C14148">
            <w:pPr>
              <w:pStyle w:val="a3"/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left="584" w:hanging="584"/>
              <w:jc w:val="both"/>
              <w:rPr>
                <w:rFonts w:ascii="GHEA Grapalat" w:hAnsi="GHEA Grapalat" w:cs="Sylfaen"/>
                <w:lang w:val="hy-AM"/>
              </w:rPr>
            </w:pPr>
            <w:r w:rsidRPr="003B2FCE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05C94607" w14:textId="77777777" w:rsidR="00C14148" w:rsidRPr="003B2FCE" w:rsidRDefault="00C14148" w:rsidP="00C4179C">
            <w:pPr>
              <w:pStyle w:val="a3"/>
              <w:tabs>
                <w:tab w:val="left" w:pos="585"/>
              </w:tabs>
              <w:spacing w:after="0" w:line="240" w:lineRule="auto"/>
              <w:ind w:left="584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14148" w:rsidRPr="003B2FCE" w14:paraId="04D9C180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AD1B" w14:textId="77777777" w:rsidR="00C14148" w:rsidRPr="003B2FCE" w:rsidRDefault="00C14148" w:rsidP="00C141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3B2FC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B2FC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C14148" w:rsidRPr="003B2FCE" w14:paraId="0F192DB0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F310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spacing w:after="0"/>
              <w:ind w:left="585" w:hanging="63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B2FCE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3B2FCE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C14148" w:rsidRPr="003B2FCE" w14:paraId="3CF54B34" w14:textId="77777777" w:rsidTr="00C4179C">
              <w:tc>
                <w:tcPr>
                  <w:tcW w:w="778" w:type="dxa"/>
                </w:tcPr>
                <w:p w14:paraId="40D9830E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73858C8B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656DB63E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C14148" w:rsidRPr="003B2FCE" w14:paraId="52862D50" w14:textId="77777777" w:rsidTr="00C4179C">
              <w:tc>
                <w:tcPr>
                  <w:tcW w:w="778" w:type="dxa"/>
                </w:tcPr>
                <w:p w14:paraId="2952EC33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6D3C1FFD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36A42758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C14148" w:rsidRPr="003B2FCE" w14:paraId="51B09F4C" w14:textId="77777777" w:rsidTr="00C4179C">
              <w:trPr>
                <w:trHeight w:val="375"/>
              </w:trPr>
              <w:tc>
                <w:tcPr>
                  <w:tcW w:w="778" w:type="dxa"/>
                </w:tcPr>
                <w:p w14:paraId="008547CF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14207956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3CDBA75E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C14148" w:rsidRPr="003B2FCE" w14:paraId="34C809F0" w14:textId="77777777" w:rsidTr="00C4179C">
              <w:trPr>
                <w:trHeight w:val="753"/>
              </w:trPr>
              <w:tc>
                <w:tcPr>
                  <w:tcW w:w="778" w:type="dxa"/>
                </w:tcPr>
                <w:p w14:paraId="7FDBF62E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34803F2B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37042339" w14:textId="77777777" w:rsidR="00C14148" w:rsidRPr="003B2FCE" w:rsidRDefault="00C14148" w:rsidP="00C4179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B2FCE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793219EB" w14:textId="77777777" w:rsidR="00C14148" w:rsidRPr="003B2FCE" w:rsidRDefault="00C14148" w:rsidP="00C4179C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</w:rPr>
            </w:pPr>
          </w:p>
          <w:p w14:paraId="1219557E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spacing w:after="0"/>
              <w:ind w:left="585" w:hanging="585"/>
              <w:rPr>
                <w:rFonts w:ascii="GHEA Grapalat" w:hAnsi="GHEA Grapalat"/>
                <w:b/>
                <w:lang w:val="hy-AM"/>
              </w:rPr>
            </w:pPr>
            <w:r w:rsidRPr="003B2FCE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70F185D5" w14:textId="77777777" w:rsidR="00C14148" w:rsidRPr="003B2FCE" w:rsidRDefault="00C14148" w:rsidP="00C4179C">
            <w:pPr>
              <w:spacing w:after="0"/>
              <w:ind w:left="58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7CA82C05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spacing w:after="0"/>
              <w:ind w:left="585" w:hanging="58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B2FCE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5AADAE88" w14:textId="77777777" w:rsidR="00C14148" w:rsidRPr="003B2FCE" w:rsidRDefault="00C14148" w:rsidP="00C4179C">
            <w:pPr>
              <w:pStyle w:val="a3"/>
              <w:spacing w:after="0"/>
              <w:ind w:left="585"/>
              <w:jc w:val="both"/>
              <w:rPr>
                <w:rFonts w:ascii="GHEA Grapalat" w:hAnsi="GHEA Grapalat"/>
                <w:b/>
                <w:lang w:val="hy-AM"/>
              </w:rPr>
            </w:pPr>
            <w:r w:rsidRPr="003B2FCE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3B2F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B2FCE">
              <w:rPr>
                <w:rFonts w:ascii="GHEA Grapalat" w:eastAsia="Times New Roman" w:hAnsi="GHEA Grapalat" w:cs="Sylfaen"/>
                <w:lang w:val="hy-AM"/>
              </w:rPr>
              <w:t>կամ մեկ տարվա մասնագիտական աշխատանքային ստաժ կամ իրավունքի բնագավառում` մեկ տարվա աշխատանքային ստաժ</w:t>
            </w:r>
            <w:r w:rsidRPr="003B2FCE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540D74D7" w14:textId="77777777" w:rsidR="00C14148" w:rsidRPr="003B2FCE" w:rsidRDefault="00C14148" w:rsidP="00C14148">
            <w:pPr>
              <w:pStyle w:val="a3"/>
              <w:numPr>
                <w:ilvl w:val="1"/>
                <w:numId w:val="1"/>
              </w:numPr>
              <w:spacing w:after="0"/>
              <w:ind w:left="585" w:hanging="585"/>
              <w:jc w:val="both"/>
              <w:rPr>
                <w:rFonts w:ascii="GHEA Grapalat" w:hAnsi="GHEA Grapalat"/>
                <w:b/>
                <w:lang w:val="hy-AM"/>
              </w:rPr>
            </w:pPr>
            <w:r w:rsidRPr="003B2FCE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2348495A" w14:textId="77777777" w:rsidR="00C14148" w:rsidRPr="003B2FCE" w:rsidRDefault="00C14148" w:rsidP="00C4179C">
            <w:pPr>
              <w:spacing w:after="0"/>
              <w:ind w:left="585" w:hanging="585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3B2FCE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732D518" w14:textId="77777777" w:rsidR="00C14148" w:rsidRPr="003B2FCE" w:rsidRDefault="00C14148" w:rsidP="00C14148">
            <w:pPr>
              <w:pStyle w:val="a3"/>
              <w:numPr>
                <w:ilvl w:val="0"/>
                <w:numId w:val="6"/>
              </w:numPr>
              <w:tabs>
                <w:tab w:val="left" w:pos="1035"/>
              </w:tabs>
              <w:spacing w:after="0"/>
              <w:ind w:left="495" w:firstLine="18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/>
                <w:lang w:val="hy-AM"/>
              </w:rPr>
              <w:t>Խնդրի լուծում</w:t>
            </w:r>
          </w:p>
          <w:p w14:paraId="6425B390" w14:textId="77777777" w:rsidR="00C14148" w:rsidRPr="003B2FCE" w:rsidRDefault="00C14148" w:rsidP="00C14148">
            <w:pPr>
              <w:pStyle w:val="a3"/>
              <w:numPr>
                <w:ilvl w:val="0"/>
                <w:numId w:val="6"/>
              </w:numPr>
              <w:tabs>
                <w:tab w:val="left" w:pos="1035"/>
              </w:tabs>
              <w:spacing w:after="0"/>
              <w:ind w:left="495" w:firstLine="18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3B2FC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15667DD9" w14:textId="77777777" w:rsidR="00C14148" w:rsidRPr="003B2FCE" w:rsidRDefault="00C14148" w:rsidP="00C14148">
            <w:pPr>
              <w:pStyle w:val="a3"/>
              <w:numPr>
                <w:ilvl w:val="0"/>
                <w:numId w:val="6"/>
              </w:numPr>
              <w:tabs>
                <w:tab w:val="left" w:pos="1035"/>
              </w:tabs>
              <w:spacing w:after="0"/>
              <w:ind w:left="495" w:firstLine="18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3B2FC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3B2FCE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17F69BD7" w14:textId="77777777" w:rsidR="00C14148" w:rsidRPr="003B2FCE" w:rsidRDefault="00C14148" w:rsidP="00C14148">
            <w:pPr>
              <w:pStyle w:val="a3"/>
              <w:numPr>
                <w:ilvl w:val="0"/>
                <w:numId w:val="6"/>
              </w:numPr>
              <w:tabs>
                <w:tab w:val="left" w:pos="1035"/>
              </w:tabs>
              <w:spacing w:after="0"/>
              <w:ind w:left="495" w:firstLine="18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6AC54ECF" w14:textId="77777777" w:rsidR="00C14148" w:rsidRPr="003B2FCE" w:rsidRDefault="00C14148" w:rsidP="00C4179C">
            <w:pPr>
              <w:pStyle w:val="a3"/>
              <w:spacing w:after="0"/>
              <w:ind w:left="585" w:hanging="585"/>
              <w:rPr>
                <w:rFonts w:ascii="GHEA Grapalat" w:hAnsi="GHEA Grapalat"/>
                <w:b/>
                <w:lang w:val="hy-AM"/>
              </w:rPr>
            </w:pPr>
            <w:r w:rsidRPr="003B2FCE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2E6D54E2" w14:textId="77777777" w:rsidR="00C14148" w:rsidRPr="003B2FCE" w:rsidRDefault="00C14148" w:rsidP="00C14148">
            <w:pPr>
              <w:pStyle w:val="a3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585" w:firstLine="9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335E3B58" w14:textId="77777777" w:rsidR="00C14148" w:rsidRPr="003B2FCE" w:rsidRDefault="00C14148" w:rsidP="00C14148">
            <w:pPr>
              <w:pStyle w:val="a3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585" w:firstLine="9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41175F42" w14:textId="77777777" w:rsidR="00C14148" w:rsidRPr="003B2FCE" w:rsidRDefault="00C14148" w:rsidP="00C14148">
            <w:pPr>
              <w:pStyle w:val="a3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585" w:firstLine="90"/>
              <w:rPr>
                <w:rFonts w:ascii="GHEA Grapalat" w:hAnsi="GHEA Grapalat"/>
                <w:lang w:val="hy-AM"/>
              </w:rPr>
            </w:pPr>
            <w:r w:rsidRPr="003B2FCE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38AE3AF9" w14:textId="77777777" w:rsidR="00C14148" w:rsidRPr="003B2FCE" w:rsidRDefault="00C14148" w:rsidP="00C14148">
            <w:pPr>
              <w:pStyle w:val="a3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585" w:firstLine="90"/>
              <w:rPr>
                <w:rFonts w:ascii="GHEA Grapalat" w:hAnsi="GHEA Grapalat"/>
              </w:rPr>
            </w:pPr>
            <w:r w:rsidRPr="003B2FCE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Pr="003B2FC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C14148" w:rsidRPr="003B2FCE" w14:paraId="4B3A57DE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7A80" w14:textId="77777777" w:rsidR="00C14148" w:rsidRPr="003B2FCE" w:rsidRDefault="00C14148" w:rsidP="00C1414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3B2FCE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2FCE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2FCE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C14148" w:rsidRPr="00D14CB0" w14:paraId="50CFD19F" w14:textId="77777777" w:rsidTr="00C4179C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B18C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 w:hanging="49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5E2D0FCA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B2FCE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01C3A09D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 w:hanging="49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8F54D8C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B2FCE">
              <w:rPr>
                <w:rFonts w:ascii="GHEA Grapalat" w:eastAsia="Times New Roman" w:hAnsi="GHEA Grapalat"/>
                <w:lang w:val="hy-AM"/>
              </w:rPr>
              <w:lastRenderedPageBreak/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05ACDBA4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 w:hanging="495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72DCA6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B2FCE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8879D60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 w:hanging="49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5AD5A40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66BEBCA" w14:textId="77777777" w:rsidR="00C14148" w:rsidRPr="003B2FCE" w:rsidRDefault="00C14148" w:rsidP="00C4179C">
            <w:pPr>
              <w:tabs>
                <w:tab w:val="left" w:pos="495"/>
              </w:tabs>
              <w:spacing w:after="0"/>
              <w:ind w:left="493" w:hanging="49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B2F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2FCE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5419A78" w14:textId="77777777" w:rsidR="00C14148" w:rsidRPr="003B2FCE" w:rsidRDefault="00C14148" w:rsidP="00C4179C">
            <w:pPr>
              <w:pStyle w:val="a3"/>
              <w:tabs>
                <w:tab w:val="left" w:pos="495"/>
              </w:tabs>
              <w:spacing w:after="0"/>
              <w:ind w:left="493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2FCE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FA9AD68" w14:textId="77777777" w:rsidR="00C14148" w:rsidRPr="003B2FCE" w:rsidRDefault="00C14148" w:rsidP="00C14148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3B6E5728" w14:textId="77777777" w:rsidR="00C14148" w:rsidRPr="003B2FCE" w:rsidRDefault="00C14148" w:rsidP="00C14148">
      <w:pPr>
        <w:rPr>
          <w:rFonts w:ascii="GHEA Grapalat" w:hAnsi="GHEA Grapalat"/>
          <w:lang w:val="hy-AM"/>
        </w:rPr>
      </w:pPr>
    </w:p>
    <w:p w14:paraId="5EB80C89" w14:textId="77777777" w:rsidR="00F12C76" w:rsidRPr="00C14148" w:rsidRDefault="00F12C76" w:rsidP="006C0B77">
      <w:pPr>
        <w:spacing w:after="0"/>
        <w:ind w:firstLine="709"/>
        <w:jc w:val="both"/>
        <w:rPr>
          <w:lang w:val="hy-AM"/>
        </w:rPr>
      </w:pPr>
      <w:bookmarkStart w:id="0" w:name="_GoBack"/>
      <w:bookmarkEnd w:id="0"/>
    </w:p>
    <w:sectPr w:rsidR="00F12C76" w:rsidRPr="00C14148" w:rsidSect="004A7766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BCF"/>
    <w:multiLevelType w:val="hybridMultilevel"/>
    <w:tmpl w:val="B4B05864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945BF"/>
    <w:multiLevelType w:val="hybridMultilevel"/>
    <w:tmpl w:val="F84A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88"/>
    <w:rsid w:val="006C0B77"/>
    <w:rsid w:val="008242FF"/>
    <w:rsid w:val="00870751"/>
    <w:rsid w:val="00922C48"/>
    <w:rsid w:val="00B915B7"/>
    <w:rsid w:val="00C14148"/>
    <w:rsid w:val="00C522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A841-389A-4184-A720-621F054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C1414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table" w:styleId="a5">
    <w:name w:val="Table Grid"/>
    <w:basedOn w:val="a1"/>
    <w:uiPriority w:val="39"/>
    <w:rsid w:val="00C141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C1414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2023-10-04T12:04:00Z</dcterms:created>
  <dcterms:modified xsi:type="dcterms:W3CDTF">2023-10-04T12:05:00Z</dcterms:modified>
</cp:coreProperties>
</file>