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C137F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գլխավոր իրավաբանի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137F6">
        <w:rPr>
          <w:rFonts w:ascii="GHEA Grapalat" w:hAnsi="GHEA Grapalat"/>
          <w:sz w:val="22"/>
          <w:szCs w:val="22"/>
          <w:lang w:val="hy-AM"/>
        </w:rPr>
        <w:t>69-27.4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C137F6">
        <w:rPr>
          <w:rFonts w:ascii="GHEA Grapalat" w:hAnsi="GHEA Grapalat"/>
          <w:sz w:val="22"/>
          <w:szCs w:val="22"/>
          <w:lang w:val="hy-AM"/>
        </w:rPr>
        <w:t>3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C137F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գլխավոր իրավաբանի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137F6">
        <w:rPr>
          <w:rFonts w:ascii="GHEA Grapalat" w:hAnsi="GHEA Grapalat"/>
          <w:sz w:val="22"/>
          <w:szCs w:val="22"/>
          <w:lang w:val="hy-AM"/>
        </w:rPr>
        <w:t>69-27.4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C137F6">
        <w:rPr>
          <w:rFonts w:ascii="GHEA Grapalat" w:hAnsi="GHEA Grapalat"/>
          <w:sz w:val="22"/>
          <w:szCs w:val="22"/>
          <w:lang w:val="hy-AM"/>
        </w:rPr>
        <w:t>3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հունվարի 23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382DC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հունվարի 25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267072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3538F9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3538F9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3538F9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3538F9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3538F9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3538F9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137F6" w:rsidRPr="00C137F6" w:rsidRDefault="003538F9" w:rsidP="00C137F6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C137F6" w:rsidRPr="00C137F6">
          <w:rPr>
            <w:color w:val="000000" w:themeColor="text1"/>
            <w:lang w:val="hy-AM"/>
          </w:rPr>
          <w:br/>
        </w:r>
        <w:r w:rsidR="00C137F6" w:rsidRPr="00C137F6">
          <w:rPr>
            <w:rStyle w:val="Hyperlink"/>
            <w:color w:val="000000" w:themeColor="text1"/>
            <w:lang w:val="hy-AM"/>
          </w:rPr>
          <w:t>Վարչական իրավախախտումների վերաբերյալ Հայաստանի Հանրապետության օրենսգիրք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37, 158, 188, 254, 282, 283)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12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«Նորմատիվ իրավական ակտերի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2, 23, 28, 30, 38, 39, 40)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Հայաստանի Հանրապետության վարչական դատավարության օրենսգիրք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10, 12, 14, 56, 57, 58, 72, 86, 127)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«Դատական ակտերի հարկադիր կատարման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7, 17, 18, 23)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Վարչարարության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հիմունքների և վարչական վարույթի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19,20,53,71,88)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C137F6" w:rsidRPr="000740C9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lastRenderedPageBreak/>
        <w:t>(էջեր՝ 73, 74, 75, 94, 95, 245, 246, 247, 248, 249, 250, 267, 273, 276, 279)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17" w:tgtFrame="_blank" w:history="1"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18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19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«Տեխնիկական կանոնակարգման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1, 2, 3, 4, 6, 7, 8, 17, 18, 25, 26, 27, 28, 28.1, 28.2, 28.3)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20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21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«Ստանդարտացման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9, 10)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22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«Հավատարմագրման մասին» ՀՀ օրենք</w:t>
        </w:r>
      </w:hyperlink>
    </w:p>
    <w:p w:rsidR="00C137F6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5, 6, 7, 8, 9, 10)</w:t>
      </w:r>
    </w:p>
    <w:p w:rsidR="002E26DA" w:rsidRDefault="002E26DA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E26DA" w:rsidRPr="002E26DA" w:rsidRDefault="003538F9" w:rsidP="002E26DA">
      <w:pPr>
        <w:spacing w:after="0"/>
        <w:rPr>
          <w:lang w:val="hy-AM"/>
        </w:rPr>
      </w:pPr>
      <w:hyperlink r:id="rId23" w:tgtFrame="_blank" w:history="1">
        <w:r w:rsidR="002E26DA" w:rsidRPr="002E26DA">
          <w:rPr>
            <w:rStyle w:val="Hyperlink"/>
            <w:color w:val="auto"/>
            <w:lang w:val="hy-AM"/>
          </w:rPr>
          <w:t>«Լիցենզավորման մասին » ՀՀ օրենք</w:t>
        </w:r>
      </w:hyperlink>
    </w:p>
    <w:p w:rsidR="00C137F6" w:rsidRDefault="002E26DA" w:rsidP="002E26D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  <w:r w:rsidRPr="002E26DA">
        <w:rPr>
          <w:rFonts w:ascii="GHEA Grapalat" w:hAnsi="GHEA Grapalat"/>
          <w:sz w:val="22"/>
          <w:szCs w:val="22"/>
          <w:lang w:val="hy-AM"/>
        </w:rPr>
        <w:t>(Հոդվածներ՝ 3, 4, 5, 17, 19)</w:t>
      </w:r>
    </w:p>
    <w:p w:rsidR="002E26DA" w:rsidRPr="002E26DA" w:rsidRDefault="002E26DA" w:rsidP="002E26D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r>
        <w:fldChar w:fldCharType="begin"/>
      </w:r>
      <w:r w:rsidRPr="003538F9">
        <w:rPr>
          <w:lang w:val="hy-AM"/>
        </w:rPr>
        <w:instrText xml:space="preserve"> HYPERLINK "https://www.arlis.am/DocumentView.aspx?DocID=143723" \t "_blank" </w:instrText>
      </w:r>
      <w:r>
        <w:fldChar w:fldCharType="separate"/>
      </w:r>
      <w:r w:rsidR="00C137F6" w:rsidRPr="000740C9">
        <w:rPr>
          <w:rStyle w:val="Hyperlink"/>
          <w:color w:val="000000" w:themeColor="text1"/>
          <w:lang w:val="hy-AM"/>
        </w:rPr>
        <w:t>ՀՀ Սահմանադրություն</w:t>
      </w:r>
      <w:r>
        <w:rPr>
          <w:rStyle w:val="Hyperlink"/>
          <w:color w:val="000000" w:themeColor="text1"/>
          <w:lang w:val="hy-AM"/>
        </w:rPr>
        <w:fldChar w:fldCharType="end"/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2E26DA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2E26DA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2E26DA">
        <w:rPr>
          <w:rFonts w:eastAsia="Times New Roman" w:cs="Arian AMU"/>
          <w:b/>
          <w:color w:val="000000"/>
          <w:lang w:val="hy-AM"/>
        </w:rPr>
        <w:t xml:space="preserve"> է 2023</w:t>
      </w:r>
      <w:r w:rsidR="003538F9">
        <w:rPr>
          <w:rFonts w:eastAsia="Times New Roman" w:cs="Arian AMU"/>
          <w:b/>
          <w:color w:val="000000"/>
          <w:lang w:val="hy-AM"/>
        </w:rPr>
        <w:t xml:space="preserve"> թվականի դեկտ</w:t>
      </w:r>
      <w:bookmarkStart w:id="0" w:name="_GoBack"/>
      <w:bookmarkEnd w:id="0"/>
      <w:r w:rsidR="00CF2B59">
        <w:rPr>
          <w:rFonts w:eastAsia="Times New Roman" w:cs="Arian AMU"/>
          <w:b/>
          <w:color w:val="000000"/>
          <w:lang w:val="hy-AM"/>
        </w:rPr>
        <w:t>եմբերի 15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2E26DA"/>
    <w:rsid w:val="00334941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A4BB4"/>
    <w:rsid w:val="00B12339"/>
    <w:rsid w:val="00B15220"/>
    <w:rsid w:val="00B6702E"/>
    <w:rsid w:val="00C137F6"/>
    <w:rsid w:val="00C66A51"/>
    <w:rsid w:val="00CF2B59"/>
    <w:rsid w:val="00D41BE8"/>
    <w:rsid w:val="00D4710F"/>
    <w:rsid w:val="00DF195A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8099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64969" TargetMode="External"/><Relationship Id="rId18" Type="http://schemas.openxmlformats.org/officeDocument/2006/relationships/hyperlink" Target="https://www.arlis.am/DocumentView.aspx?DocID=1370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12574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s://www.arlis.am/DocumentView.aspx?DocID=152139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arliament.am/library/books/gravor-khosq.pdf" TargetMode="External"/><Relationship Id="rId20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6545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arlis.am/DocumentView.aspx?DocID=160082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12612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65024" TargetMode="External"/><Relationship Id="rId22" Type="http://schemas.openxmlformats.org/officeDocument/2006/relationships/hyperlink" Target="https://www.arlis.am/DocumentView.aspx?DocID=95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2023-12-11T11:17:00Z</dcterms:created>
  <dcterms:modified xsi:type="dcterms:W3CDTF">2023-12-11T11:17:00Z</dcterms:modified>
</cp:coreProperties>
</file>