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5055" w14:textId="7A752514" w:rsidR="00881192" w:rsidRPr="003D04FA" w:rsidRDefault="00881192" w:rsidP="00881192">
      <w:pPr>
        <w:pStyle w:val="a3"/>
        <w:ind w:left="-709"/>
        <w:jc w:val="both"/>
        <w:rPr>
          <w:rFonts w:ascii="Arial" w:hAnsi="Arial" w:cs="Arial"/>
          <w:sz w:val="20"/>
          <w:szCs w:val="20"/>
          <w:lang w:val="hy-AM"/>
        </w:rPr>
      </w:pPr>
      <w:r w:rsidRPr="003D04FA">
        <w:rPr>
          <w:rFonts w:ascii="Arial" w:hAnsi="Arial" w:cs="Arial"/>
          <w:sz w:val="20"/>
          <w:szCs w:val="20"/>
          <w:lang w:val="hy-AM"/>
        </w:rPr>
        <w:t>202</w:t>
      </w:r>
      <w:r w:rsidR="0083229A">
        <w:rPr>
          <w:rFonts w:ascii="Arial" w:hAnsi="Arial" w:cs="Arial"/>
          <w:sz w:val="20"/>
          <w:szCs w:val="20"/>
          <w:lang w:val="hy-AM"/>
        </w:rPr>
        <w:t>4</w:t>
      </w:r>
      <w:r w:rsidRPr="003D04FA">
        <w:rPr>
          <w:rFonts w:ascii="Arial" w:hAnsi="Arial" w:cs="Arial"/>
          <w:sz w:val="20"/>
          <w:szCs w:val="20"/>
          <w:lang w:val="hy-AM"/>
        </w:rPr>
        <w:t xml:space="preserve">թ </w:t>
      </w:r>
      <w:r w:rsidR="0083229A">
        <w:rPr>
          <w:rFonts w:ascii="Arial" w:hAnsi="Arial" w:cs="Arial"/>
          <w:sz w:val="20"/>
          <w:szCs w:val="20"/>
          <w:lang w:val="hy-AM"/>
        </w:rPr>
        <w:t>հունվարի</w:t>
      </w:r>
      <w:r w:rsidRPr="003D04FA">
        <w:rPr>
          <w:rFonts w:ascii="Arial" w:hAnsi="Arial" w:cs="Arial"/>
          <w:sz w:val="20"/>
          <w:szCs w:val="20"/>
          <w:lang w:val="hy-AM"/>
        </w:rPr>
        <w:t xml:space="preserve"> 08-ին ժամը 11:</w:t>
      </w:r>
      <w:r w:rsidR="0083229A">
        <w:rPr>
          <w:rFonts w:ascii="Arial" w:hAnsi="Arial" w:cs="Arial"/>
          <w:sz w:val="20"/>
          <w:szCs w:val="20"/>
          <w:lang w:val="hy-AM"/>
        </w:rPr>
        <w:t>3</w:t>
      </w:r>
      <w:r w:rsidRPr="003D04FA">
        <w:rPr>
          <w:rFonts w:ascii="Arial" w:hAnsi="Arial" w:cs="Arial"/>
          <w:sz w:val="20"/>
          <w:szCs w:val="20"/>
          <w:lang w:val="hy-AM"/>
        </w:rPr>
        <w:t xml:space="preserve">0-ին ք. Երևան, Արշակունյաց 5, 311ս. հասցեում կկայանա թիվ ՍՆԴ/0099/04/21 սնանկության գործով Ռաֆիկ Ազատի  Սարգսյանին </w:t>
      </w:r>
      <w:r w:rsidR="0083229A">
        <w:rPr>
          <w:rFonts w:ascii="Arial" w:hAnsi="Arial" w:cs="Arial"/>
          <w:sz w:val="20"/>
          <w:szCs w:val="20"/>
          <w:lang w:val="hy-AM"/>
        </w:rPr>
        <w:t xml:space="preserve">համատեղ </w:t>
      </w:r>
      <w:r w:rsidRPr="003D04FA">
        <w:rPr>
          <w:rFonts w:ascii="Arial" w:hAnsi="Arial" w:cs="Arial"/>
          <w:sz w:val="20"/>
          <w:szCs w:val="20"/>
          <w:lang w:val="hy-AM"/>
        </w:rPr>
        <w:t xml:space="preserve">սեփականության իրավունքով պատկանող անշարժ գույքի աճուրդը հետևյալ 1 լոտով. </w:t>
      </w:r>
    </w:p>
    <w:p w14:paraId="100FC06C" w14:textId="77777777" w:rsidR="00881192" w:rsidRDefault="00881192" w:rsidP="00881192">
      <w:pPr>
        <w:pStyle w:val="a3"/>
        <w:ind w:firstLine="284"/>
        <w:jc w:val="both"/>
        <w:rPr>
          <w:rFonts w:ascii="Arial" w:hAnsi="Arial" w:cs="Arial"/>
          <w:b/>
          <w:bCs/>
          <w:sz w:val="24"/>
          <w:szCs w:val="24"/>
          <w:lang w:val="hy-AM"/>
        </w:rPr>
      </w:pPr>
      <w:r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>Գ</w:t>
      </w: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>ույքի սեփականության փոխանցման, պետական գրանցման հետ կապված ծախսեր</w:t>
      </w:r>
      <w:r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>ը վճարում է գնորդը:</w:t>
      </w: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 </w:t>
      </w:r>
    </w:p>
    <w:p w14:paraId="4755A64E" w14:textId="77777777" w:rsidR="00881192" w:rsidRPr="004F34A4" w:rsidRDefault="00881192" w:rsidP="00881192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3BD9EB95" w14:textId="77777777" w:rsidR="00881192" w:rsidRDefault="00881192" w:rsidP="00881192">
      <w:pPr>
        <w:pStyle w:val="a3"/>
        <w:ind w:left="-567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322F8686" w14:textId="77777777" w:rsidR="00881192" w:rsidRDefault="00881192" w:rsidP="00881192">
      <w:pPr>
        <w:pStyle w:val="a3"/>
        <w:ind w:left="-426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392CE5EF" w14:textId="14A5353B" w:rsidR="00881192" w:rsidRDefault="00881192" w:rsidP="00881192">
      <w:pPr>
        <w:pStyle w:val="a3"/>
        <w:ind w:left="-426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19DC0FF" w14:textId="77777777" w:rsidR="00881192" w:rsidRDefault="00881192" w:rsidP="00881192">
      <w:pPr>
        <w:pStyle w:val="a3"/>
        <w:ind w:left="-426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«Ամերիաբ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անկ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»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ՓԲԸ-ում բացված </w:t>
      </w:r>
      <w:r w:rsidRPr="00345879">
        <w:rPr>
          <w:rFonts w:ascii="Arian AMU" w:hAnsi="Arian AMU" w:cs="Arian AMU"/>
          <w:b/>
          <w:bCs/>
          <w:color w:val="000000"/>
          <w:sz w:val="18"/>
          <w:szCs w:val="18"/>
          <w:shd w:val="clear" w:color="auto" w:fill="EAF1F5"/>
          <w:lang w:val="hy-AM"/>
        </w:rPr>
        <w:t xml:space="preserve">1570078548030100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2C01CB02" w14:textId="77777777" w:rsidR="00881192" w:rsidRDefault="00881192" w:rsidP="00881192">
      <w:pPr>
        <w:pStyle w:val="a3"/>
        <w:ind w:left="-426" w:firstLine="284"/>
        <w:jc w:val="both"/>
        <w:rPr>
          <w:rFonts w:ascii="Sylfae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hAnsi="Arial" w:cs="Arial"/>
          <w:color w:val="000000"/>
          <w:sz w:val="24"/>
          <w:szCs w:val="24"/>
          <w:lang w:val="hy-AM"/>
        </w:rPr>
        <w:t xml:space="preserve"> </w:t>
      </w:r>
    </w:p>
    <w:p w14:paraId="5BD5D36E" w14:textId="26B08DF3" w:rsidR="00881192" w:rsidRDefault="00881192" w:rsidP="00881192">
      <w:pPr>
        <w:pStyle w:val="a3"/>
        <w:ind w:left="-426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  <w:r w:rsidRPr="001B212B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Գույքի մասին այլ տեղեկություններ ստանալու, ինչպես նաև աճուրդի կանոնակարգին ծանոթանալու համար զանգահարել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Ռաֆիկ Սարգսյանի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</w:t>
      </w:r>
      <w:r w:rsidR="0083229A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:</w:t>
      </w:r>
    </w:p>
    <w:p w14:paraId="37D7F8CC" w14:textId="3FFD208D" w:rsidR="0083229A" w:rsidRDefault="0083229A" w:rsidP="00881192">
      <w:pPr>
        <w:pStyle w:val="a3"/>
        <w:ind w:left="-426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 1.</w:t>
      </w:r>
    </w:p>
    <w:p w14:paraId="1DA78704" w14:textId="77777777" w:rsidR="00881192" w:rsidRDefault="00881192" w:rsidP="00881192">
      <w:pPr>
        <w:pStyle w:val="a3"/>
        <w:ind w:left="-426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</w:p>
    <w:p w14:paraId="1A91FF57" w14:textId="77777777" w:rsidR="00881192" w:rsidRDefault="00881192" w:rsidP="00881192">
      <w:pPr>
        <w:pStyle w:val="a3"/>
        <w:ind w:left="-426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</w:p>
    <w:tbl>
      <w:tblPr>
        <w:tblStyle w:val="a4"/>
        <w:tblW w:w="1034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"/>
        <w:gridCol w:w="1542"/>
        <w:gridCol w:w="5670"/>
        <w:gridCol w:w="1701"/>
      </w:tblGrid>
      <w:tr w:rsidR="00881192" w:rsidRPr="00881192" w14:paraId="53E2D5AC" w14:textId="19A27D4C" w:rsidTr="0083229A">
        <w:trPr>
          <w:trHeight w:val="490"/>
        </w:trPr>
        <w:tc>
          <w:tcPr>
            <w:tcW w:w="1431" w:type="dxa"/>
            <w:vAlign w:val="center"/>
          </w:tcPr>
          <w:p w14:paraId="5B43D22C" w14:textId="4A00F4DF" w:rsidR="00881192" w:rsidRPr="00881192" w:rsidRDefault="00881192" w:rsidP="00881192">
            <w:pPr>
              <w:pStyle w:val="a3"/>
              <w:jc w:val="both"/>
              <w:rPr>
                <w:rFonts w:ascii="Arian AMU" w:hAnsi="Arian AMU" w:cs="Arian AMU"/>
                <w:color w:val="000000"/>
                <w:sz w:val="18"/>
                <w:szCs w:val="18"/>
                <w:shd w:val="clear" w:color="auto" w:fill="EAF1F5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Բնակարան, վկ. Թիվ 2478748</w:t>
            </w:r>
          </w:p>
        </w:tc>
        <w:tc>
          <w:tcPr>
            <w:tcW w:w="1542" w:type="dxa"/>
            <w:vAlign w:val="center"/>
          </w:tcPr>
          <w:p w14:paraId="47FE5301" w14:textId="73179012" w:rsidR="00881192" w:rsidRPr="00881192" w:rsidRDefault="00881192" w:rsidP="00881192">
            <w:pPr>
              <w:pStyle w:val="a3"/>
              <w:jc w:val="both"/>
              <w:rPr>
                <w:rFonts w:ascii="Arian AMU" w:hAnsi="Arian AMU" w:cs="Arian AMU"/>
                <w:color w:val="000000"/>
                <w:sz w:val="18"/>
                <w:szCs w:val="18"/>
                <w:shd w:val="clear" w:color="auto" w:fill="EAF1F5"/>
                <w:lang w:val="hy-AM"/>
              </w:rPr>
            </w:pPr>
            <w:r w:rsidRPr="000656D7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ք. Երևան,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Աջափնյակ համայնք, Բաշինջաղյան 169 շ; բն. 34</w:t>
            </w:r>
          </w:p>
        </w:tc>
        <w:tc>
          <w:tcPr>
            <w:tcW w:w="5670" w:type="dxa"/>
            <w:vAlign w:val="center"/>
          </w:tcPr>
          <w:p w14:paraId="1CD36DD0" w14:textId="77777777" w:rsidR="00881192" w:rsidRPr="00AA63F2" w:rsidRDefault="00881192" w:rsidP="00881192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Ընդհանուր մակերեսը 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97,8 քմ</w:t>
            </w:r>
          </w:p>
          <w:p w14:paraId="76287EA1" w14:textId="77777777" w:rsidR="00881192" w:rsidRDefault="00881192" w:rsidP="00881192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Շենքի հարկայնությունը 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14/10</w:t>
            </w: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0A8EDDED" w14:textId="77777777" w:rsidR="00881192" w:rsidRPr="00AA63F2" w:rsidRDefault="00881192" w:rsidP="00881192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Շենքի տիպը- պանելային</w:t>
            </w:r>
          </w:p>
          <w:p w14:paraId="25E49541" w14:textId="77777777" w:rsidR="00881192" w:rsidRDefault="00881192" w:rsidP="00881192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Շ</w:t>
            </w: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ենքի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միջհարկային ծածկերը </w:t>
            </w: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ե/բ</w:t>
            </w:r>
          </w:p>
          <w:p w14:paraId="4D3EB561" w14:textId="77777777" w:rsidR="00881192" w:rsidRPr="00AA63F2" w:rsidRDefault="00881192" w:rsidP="00881192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Առաստաղի բարձրությունը -2,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7</w:t>
            </w: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մ</w:t>
            </w:r>
          </w:p>
          <w:p w14:paraId="79C1311D" w14:textId="77777777" w:rsidR="00881192" w:rsidRDefault="00881192" w:rsidP="00881192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Դռները- դրսի դուռը հին փայտե, ներսի դռները՝ հին փայտե</w:t>
            </w:r>
          </w:p>
          <w:p w14:paraId="03860E70" w14:textId="77777777" w:rsidR="00881192" w:rsidRDefault="00881192" w:rsidP="00881192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AA63F2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Պատուհանները 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փայտե</w:t>
            </w:r>
          </w:p>
          <w:p w14:paraId="48E49D8D" w14:textId="77777777" w:rsidR="00881192" w:rsidRDefault="00881192" w:rsidP="00881192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Միջանցք- հատակը հին մանրահատակ, պատերը հին պաստառապատ</w:t>
            </w:r>
          </w:p>
          <w:p w14:paraId="057D1347" w14:textId="77777777" w:rsidR="00881192" w:rsidRDefault="00881192" w:rsidP="00881192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Հյուրասենյակ- հատակը՝ հին մանրահատակ, պատերը՝ հին պաստառապատ</w:t>
            </w:r>
          </w:p>
          <w:p w14:paraId="2A59313C" w14:textId="77777777" w:rsidR="00881192" w:rsidRDefault="00881192" w:rsidP="00881192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Ննջասենյակ- հատակը՝ հին մանրահատակ, պատերը ՝ հին պաստառապատ </w:t>
            </w:r>
          </w:p>
          <w:p w14:paraId="3AC2853E" w14:textId="77777777" w:rsidR="00881192" w:rsidRDefault="00881192" w:rsidP="00881192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Խոհանոց- հատակը սալիկապատ, հատակը պատերը ներկանյութ</w:t>
            </w:r>
          </w:p>
          <w:p w14:paraId="537E6913" w14:textId="77777777" w:rsidR="00881192" w:rsidRDefault="00881192" w:rsidP="00881192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Սանհանգույց- հին սալիկապատ</w:t>
            </w:r>
          </w:p>
          <w:p w14:paraId="3391D7AB" w14:textId="77777777" w:rsidR="00881192" w:rsidRDefault="00881192" w:rsidP="00881192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Ընդհանուր վիճակը 0-7 սանդղակով- 4,0</w:t>
            </w:r>
          </w:p>
          <w:p w14:paraId="7D0B85D2" w14:textId="77777777" w:rsidR="00881192" w:rsidRDefault="00881192" w:rsidP="00881192">
            <w:pPr>
              <w:pStyle w:val="a3"/>
              <w:tabs>
                <w:tab w:val="left" w:pos="2300"/>
              </w:tabs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Կոմունալ հարմարությունները- կոյուղի, հոսանք, ջուր, գազ</w:t>
            </w:r>
          </w:p>
          <w:p w14:paraId="75BA4870" w14:textId="3E19CD2A" w:rsidR="00881192" w:rsidRPr="00881192" w:rsidRDefault="00881192" w:rsidP="00881192">
            <w:pPr>
              <w:pStyle w:val="a3"/>
              <w:jc w:val="both"/>
              <w:rPr>
                <w:rFonts w:ascii="Arian AMU" w:hAnsi="Arian AMU" w:cs="Arian AMU"/>
                <w:color w:val="000000"/>
                <w:sz w:val="18"/>
                <w:szCs w:val="18"/>
                <w:shd w:val="clear" w:color="auto" w:fill="EAF1F5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Այլ պայմաններ- բազմաբնակարան շենք, որտեղ տեղակայված է գնհատվող բնակարանը, գտնվում է Բաշինջաղյան փողոցից ներս: Բնակարանն ընդհանուր առմամբ ունի հին վերանորոգում և կարիք ունի կապիտալ վերանորոգման, հարդարման:Գազաֆիկացված է:</w:t>
            </w:r>
          </w:p>
        </w:tc>
        <w:tc>
          <w:tcPr>
            <w:tcW w:w="1701" w:type="dxa"/>
            <w:vAlign w:val="center"/>
          </w:tcPr>
          <w:p w14:paraId="0B5008B5" w14:textId="1E5BAFDA" w:rsidR="00881192" w:rsidRPr="00881192" w:rsidRDefault="00881192" w:rsidP="00881192">
            <w:pPr>
              <w:pStyle w:val="a3"/>
              <w:jc w:val="both"/>
              <w:rPr>
                <w:rFonts w:ascii="Arian AMU" w:hAnsi="Arian AMU" w:cs="Arian AMU"/>
                <w:color w:val="000000"/>
                <w:sz w:val="18"/>
                <w:szCs w:val="18"/>
                <w:shd w:val="clear" w:color="auto" w:fill="EAF1F5"/>
                <w:lang w:val="hy-AM"/>
              </w:rPr>
            </w:pPr>
            <w:r w:rsidRPr="00830F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y-AM"/>
              </w:rPr>
              <w:t>27.100.000</w:t>
            </w:r>
          </w:p>
        </w:tc>
      </w:tr>
    </w:tbl>
    <w:p w14:paraId="5FCBFEFE" w14:textId="77777777" w:rsidR="00881192" w:rsidRDefault="00881192" w:rsidP="00881192">
      <w:pPr>
        <w:pStyle w:val="a3"/>
        <w:ind w:left="-426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</w:p>
    <w:p w14:paraId="61A5DB8E" w14:textId="77777777" w:rsidR="00881192" w:rsidRDefault="00881192" w:rsidP="00881192">
      <w:pPr>
        <w:pStyle w:val="a3"/>
        <w:ind w:left="-426"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</w:p>
    <w:p w14:paraId="65BF911D" w14:textId="77777777" w:rsidR="00881192" w:rsidRPr="00881192" w:rsidRDefault="00881192">
      <w:pPr>
        <w:rPr>
          <w:rFonts w:asciiTheme="minorHAnsi" w:hAnsiTheme="minorHAnsi"/>
          <w:lang w:val="hy-AM"/>
        </w:rPr>
      </w:pPr>
    </w:p>
    <w:p w14:paraId="00E578E7" w14:textId="77777777" w:rsidR="00881192" w:rsidRPr="00881192" w:rsidRDefault="00881192">
      <w:pPr>
        <w:rPr>
          <w:rFonts w:asciiTheme="minorHAnsi" w:hAnsiTheme="minorHAnsi"/>
          <w:lang w:val="hy-AM"/>
        </w:rPr>
      </w:pPr>
    </w:p>
    <w:sectPr w:rsidR="00881192" w:rsidRPr="00881192" w:rsidSect="0083229A">
      <w:pgSz w:w="11906" w:h="16838"/>
      <w:pgMar w:top="425" w:right="73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2D"/>
    <w:rsid w:val="002E2979"/>
    <w:rsid w:val="0083229A"/>
    <w:rsid w:val="00881192"/>
    <w:rsid w:val="00983D2D"/>
    <w:rsid w:val="00A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D9E1"/>
  <w15:chartTrackingRefBased/>
  <w15:docId w15:val="{B1EC0E51-359C-4C08-9F33-0B0A2739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192"/>
    <w:pPr>
      <w:spacing w:line="240" w:lineRule="auto"/>
    </w:pPr>
    <w:rPr>
      <w:rFonts w:ascii="Arial Armenian" w:hAnsi="Arial Armeni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19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4">
    <w:name w:val="Table Grid"/>
    <w:basedOn w:val="a1"/>
    <w:uiPriority w:val="39"/>
    <w:rsid w:val="008811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2023-12-19T17:05:00Z</dcterms:created>
  <dcterms:modified xsi:type="dcterms:W3CDTF">2023-12-19T17:30:00Z</dcterms:modified>
</cp:coreProperties>
</file>