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353485">
        <w:rPr>
          <w:rFonts w:ascii="GHEA Grapalat" w:hAnsi="GHEA Grapalat" w:cs="Arian AMU"/>
          <w:color w:val="000000"/>
          <w:sz w:val="22"/>
          <w:szCs w:val="22"/>
          <w:lang w:val="hy-AM"/>
        </w:rPr>
        <w:t>մարտի 18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353485">
        <w:rPr>
          <w:rFonts w:ascii="GHEA Grapalat" w:hAnsi="GHEA Grapalat" w:cs="Arian AMU"/>
          <w:color w:val="000000"/>
          <w:sz w:val="22"/>
          <w:szCs w:val="22"/>
          <w:lang w:val="hy-AM"/>
        </w:rPr>
        <w:t>մարտի 20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353485">
        <w:rPr>
          <w:rFonts w:ascii="GHEA Grapalat" w:hAnsi="GHEA Grapalat" w:cs="Arian AMU"/>
          <w:color w:val="000000"/>
          <w:sz w:val="22"/>
          <w:szCs w:val="22"/>
          <w:lang w:val="hy-AM"/>
        </w:rPr>
        <w:t>0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3534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353485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3534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353485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3534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353485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137F6" w:rsidRPr="00C137F6" w:rsidRDefault="00353485" w:rsidP="00C137F6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C137F6" w:rsidRPr="00C137F6">
          <w:rPr>
            <w:color w:val="000000" w:themeColor="text1"/>
            <w:lang w:val="hy-AM"/>
          </w:rPr>
          <w:br/>
        </w:r>
        <w:r w:rsidR="00C137F6" w:rsidRPr="00C137F6">
          <w:rPr>
            <w:rStyle w:val="Hyperlink"/>
            <w:color w:val="000000" w:themeColor="text1"/>
            <w:lang w:val="hy-AM"/>
          </w:rPr>
          <w:t>Վարչական իրավախախտումների վերաբերյալ Հայաստանի Հանրապետության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37, 158, 188, 254, 282, 283)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Հայաստանի Հանրապետության վարչական դատավարության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10, 12, 14, 56, 57, 58, 72, 86, 127)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«Դատական ակտերի հարկադիր կատարման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7, 17, 18, 23)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Վարչարարության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հիմունքների և վարչական վարույթի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19,20,53,71,88)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C137F6" w:rsidRPr="000740C9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(էջեր՝ 73, 74, 75, 94, 95, 245, 246, 247, 248, 249, 250, 267, 273, 276, 279)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7" w:tgtFrame="_blank" w:history="1"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«Տեխնիկական կանոնակարգման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1, 2, 3, 4, 6, 7, 8, 17, 18, 25, 26, 27, 28, 28.1, 28.2, 28.3)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353485" w:rsidP="00C137F6">
      <w:pPr>
        <w:spacing w:after="0"/>
        <w:rPr>
          <w:color w:val="000000" w:themeColor="text1"/>
          <w:lang w:val="hy-AM"/>
        </w:rPr>
      </w:pPr>
      <w:hyperlink r:id="rId2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C137F6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2E26DA" w:rsidRDefault="002E26DA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E26DA" w:rsidRPr="002E26DA" w:rsidRDefault="00353485" w:rsidP="002E26DA">
      <w:pPr>
        <w:spacing w:after="0"/>
        <w:rPr>
          <w:lang w:val="hy-AM"/>
        </w:rPr>
      </w:pPr>
      <w:hyperlink r:id="rId23" w:tgtFrame="_blank" w:history="1">
        <w:r w:rsidR="002E26DA" w:rsidRPr="002E26DA">
          <w:rPr>
            <w:rStyle w:val="Hyperlink"/>
            <w:color w:val="auto"/>
            <w:lang w:val="hy-AM"/>
          </w:rPr>
          <w:t>«Լիցենզավորման մասին » ՀՀ օրենք</w:t>
        </w:r>
      </w:hyperlink>
    </w:p>
    <w:p w:rsidR="00C137F6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2E26DA">
        <w:rPr>
          <w:rFonts w:ascii="GHEA Grapalat" w:hAnsi="GHEA Grapalat"/>
          <w:sz w:val="22"/>
          <w:szCs w:val="22"/>
          <w:lang w:val="hy-AM"/>
        </w:rPr>
        <w:t>(Հոդվածներ՝ 3, 4, 5, 17, 19)</w:t>
      </w:r>
    </w:p>
    <w:p w:rsidR="002E26DA" w:rsidRPr="002E26DA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:rsidR="00C137F6" w:rsidRPr="000740C9" w:rsidRDefault="003538F9" w:rsidP="00C137F6">
      <w:pPr>
        <w:spacing w:after="0"/>
        <w:rPr>
          <w:color w:val="000000" w:themeColor="text1"/>
          <w:lang w:val="hy-AM"/>
        </w:rPr>
      </w:pPr>
      <w:hyperlink r:id="rId2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353485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353485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353485">
        <w:rPr>
          <w:rFonts w:eastAsia="Times New Roman" w:cs="Arian AMU"/>
          <w:b/>
          <w:color w:val="000000"/>
          <w:lang w:val="hy-AM"/>
        </w:rPr>
        <w:t xml:space="preserve"> է 2024 թվականի փետրվարի 12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485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993C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arlis.am/DocumentView.aspx?DocID=13706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12574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65459" TargetMode="External"/><Relationship Id="rId24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6008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612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65024" TargetMode="External"/><Relationship Id="rId22" Type="http://schemas.openxmlformats.org/officeDocument/2006/relationships/hyperlink" Target="https://www.arlis.am/DocumentView.aspx?DocID=95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2024-02-06T10:17:00Z</dcterms:created>
  <dcterms:modified xsi:type="dcterms:W3CDTF">2024-02-06T10:17:00Z</dcterms:modified>
</cp:coreProperties>
</file>