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58" w:rsidRDefault="00FA1558" w:rsidP="00810CD4">
      <w:pPr>
        <w:pStyle w:val="Heading2"/>
        <w:jc w:val="right"/>
        <w:rPr>
          <w:rFonts w:ascii="GHEA Grapalat" w:hAnsi="GHEA Grapalat" w:cs="Sylfaen"/>
          <w:bCs/>
          <w:sz w:val="22"/>
          <w:u w:val="single"/>
          <w:lang w:val="hy-AM"/>
        </w:rPr>
      </w:pPr>
      <w:bookmarkStart w:id="0" w:name="_Toc93926504"/>
    </w:p>
    <w:p w:rsidR="00FA1558" w:rsidRPr="00A46F94" w:rsidRDefault="00FA1558" w:rsidP="00FA1558">
      <w:pPr>
        <w:pStyle w:val="Heading2"/>
        <w:rPr>
          <w:rFonts w:ascii="GHEA Grapalat" w:hAnsi="GHEA Grapalat" w:cs="Sylfaen"/>
          <w:bCs/>
          <w:sz w:val="22"/>
          <w:u w:val="single"/>
          <w:lang w:val="hy-AM"/>
        </w:rPr>
      </w:pPr>
      <w:r w:rsidRPr="00FA1558">
        <w:rPr>
          <w:rFonts w:ascii="GHEA Grapalat" w:hAnsi="GHEA Grapalat" w:cs="Sylfaen"/>
          <w:bCs/>
          <w:sz w:val="22"/>
          <w:u w:val="single"/>
          <w:lang w:val="hy-AM"/>
        </w:rPr>
        <w:t xml:space="preserve">                                                                                                                 Հավելված </w:t>
      </w:r>
      <w:r w:rsidR="00062DBA" w:rsidRPr="00DB1FC6">
        <w:rPr>
          <w:rFonts w:ascii="GHEA Grapalat" w:hAnsi="GHEA Grapalat" w:cs="Sylfaen"/>
          <w:bCs/>
          <w:sz w:val="22"/>
          <w:u w:val="single"/>
          <w:lang w:val="hy-AM"/>
        </w:rPr>
        <w:t>1</w:t>
      </w:r>
      <w:r w:rsidR="00DB1FC6" w:rsidRPr="00A46F94">
        <w:rPr>
          <w:rFonts w:ascii="GHEA Grapalat" w:hAnsi="GHEA Grapalat" w:cs="Sylfaen"/>
          <w:bCs/>
          <w:sz w:val="22"/>
          <w:u w:val="single"/>
          <w:lang w:val="hy-AM"/>
        </w:rPr>
        <w:t>4</w:t>
      </w:r>
    </w:p>
    <w:p w:rsidR="00D66AE9" w:rsidRDefault="00FA1558" w:rsidP="00AF5AB2">
      <w:pPr>
        <w:pStyle w:val="Heading3"/>
        <w:jc w:val="right"/>
        <w:rPr>
          <w:lang w:val="hy-AM"/>
        </w:rPr>
      </w:pPr>
      <w:r w:rsidRPr="00FA1558">
        <w:rPr>
          <w:lang w:val="hy-AM"/>
        </w:rPr>
        <w:t xml:space="preserve">                                                   </w:t>
      </w:r>
      <w:r w:rsidR="00877DF4">
        <w:rPr>
          <w:lang w:val="hy-AM"/>
        </w:rPr>
        <w:t xml:space="preserve">                                </w:t>
      </w:r>
      <w:r w:rsidR="00877DF4" w:rsidRPr="00877DF4">
        <w:rPr>
          <w:lang w:val="hy-AM"/>
        </w:rPr>
        <w:t xml:space="preserve">                                     </w:t>
      </w:r>
    </w:p>
    <w:p w:rsidR="00925CC1" w:rsidRPr="00925CC1" w:rsidRDefault="00925CC1" w:rsidP="00925CC1">
      <w:pPr>
        <w:rPr>
          <w:rFonts w:ascii="GHEA Grapalat" w:hAnsi="GHEA Grapalat" w:cs="Calibri"/>
          <w:color w:val="000000"/>
          <w:lang w:val="hy-AM"/>
        </w:rPr>
      </w:pPr>
      <w:r w:rsidRPr="00925CC1">
        <w:rPr>
          <w:rFonts w:ascii="GHEA Grapalat" w:hAnsi="GHEA Grapalat"/>
          <w:sz w:val="22"/>
          <w:szCs w:val="22"/>
          <w:lang w:val="hy-AM"/>
        </w:rPr>
        <w:t xml:space="preserve">           </w:t>
      </w: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925C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25CC1">
        <w:rPr>
          <w:rFonts w:ascii="GHEA Grapalat" w:hAnsi="GHEA Grapalat" w:cs="Calibri"/>
          <w:color w:val="000000"/>
          <w:lang w:val="hy-AM"/>
        </w:rPr>
        <w:t>Հաշվեքննիչ պալատի 2024 թվականի  փետրվարի 29-ի թիվ  19-Լ որոշման</w:t>
      </w:r>
    </w:p>
    <w:p w:rsidR="00FA1558" w:rsidRPr="00925CC1" w:rsidRDefault="00FA1558" w:rsidP="00925CC1">
      <w:pPr>
        <w:pStyle w:val="Heading3"/>
        <w:rPr>
          <w:rFonts w:ascii="GHEA Grapalat" w:hAnsi="GHEA Grapalat"/>
          <w:color w:val="auto"/>
          <w:sz w:val="22"/>
          <w:szCs w:val="22"/>
          <w:lang w:val="hy-AM"/>
        </w:rPr>
      </w:pPr>
    </w:p>
    <w:p w:rsidR="00D66AE9" w:rsidRPr="00D66AE9" w:rsidRDefault="00D66AE9" w:rsidP="00D66AE9">
      <w:pPr>
        <w:rPr>
          <w:lang w:val="hy-AM"/>
        </w:rPr>
      </w:pPr>
    </w:p>
    <w:p w:rsidR="005E2214" w:rsidRPr="005E2214" w:rsidRDefault="005E2214" w:rsidP="005E2214">
      <w:pPr>
        <w:rPr>
          <w:lang w:val="hy-AM"/>
        </w:rPr>
      </w:pPr>
    </w:p>
    <w:p w:rsidR="00DA0A91" w:rsidRPr="00FA1558" w:rsidRDefault="00DA0A91" w:rsidP="00996683">
      <w:pPr>
        <w:pStyle w:val="Heading2"/>
        <w:rPr>
          <w:rFonts w:ascii="GHEA Grapalat" w:hAnsi="GHEA Grapalat" w:cs="Sylfaen"/>
          <w:bCs/>
          <w:sz w:val="20"/>
          <w:lang w:val="hy-AM" w:eastAsia="en-GB"/>
        </w:rPr>
      </w:pPr>
      <w:r w:rsidRPr="00CE2BFB">
        <w:rPr>
          <w:rFonts w:ascii="GHEA Grapalat" w:hAnsi="GHEA Grapalat"/>
          <w:bCs/>
          <w:sz w:val="22"/>
          <w:u w:val="single"/>
          <w:lang w:val="hy-AM"/>
        </w:rPr>
        <w:t xml:space="preserve"> </w:t>
      </w:r>
      <w:bookmarkEnd w:id="0"/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F0C23">
      <w:pPr>
        <w:ind w:hanging="900"/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FA1558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t xml:space="preserve">ԲՅՈՒՋԵՏԱՅԻՆ ԾՐԱԳՐԻ ՆԿԱՐԱԳԻՐ </w:t>
      </w: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t>/ԱՆՁՆԱԳԻՐ/</w:t>
      </w: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</w:p>
    <w:p w:rsidR="00DA0A91" w:rsidRPr="00062DBA" w:rsidRDefault="00DA4A7D" w:rsidP="00DA0A91">
      <w:pPr>
        <w:pBdr>
          <w:bottom w:val="single" w:sz="6" w:space="1" w:color="auto"/>
        </w:pBdr>
        <w:jc w:val="center"/>
        <w:rPr>
          <w:rFonts w:ascii="GHEA Grapalat" w:hAnsi="GHEA Grapalat" w:cs="Sylfaen"/>
          <w:b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/>
          <w:bCs/>
          <w:sz w:val="20"/>
          <w:szCs w:val="20"/>
          <w:lang w:val="hy-AM" w:eastAsia="en-GB"/>
        </w:rPr>
        <w:t>ՀԱՆՐԱՅԻՆ ՖԻՆԱՆ</w:t>
      </w:r>
      <w:r w:rsidR="002033DB" w:rsidRPr="00062DBA">
        <w:rPr>
          <w:rFonts w:ascii="GHEA Grapalat" w:hAnsi="GHEA Grapalat" w:cs="Sylfaen"/>
          <w:b/>
          <w:bCs/>
          <w:sz w:val="20"/>
          <w:szCs w:val="20"/>
          <w:lang w:val="hy-AM" w:eastAsia="en-GB"/>
        </w:rPr>
        <w:t xml:space="preserve">ՍՆԵՐԻ ԵՎ ՍԵՓԱԿԱՆՈՒԹՅԱՆ ՈԼՈՐՏՈՒՄ </w:t>
      </w:r>
      <w:r w:rsidRPr="00062DBA">
        <w:rPr>
          <w:rFonts w:ascii="GHEA Grapalat" w:hAnsi="GHEA Grapalat" w:cs="Sylfaen"/>
          <w:b/>
          <w:bCs/>
          <w:sz w:val="20"/>
          <w:szCs w:val="20"/>
          <w:lang w:val="hy-AM" w:eastAsia="en-GB"/>
        </w:rPr>
        <w:t>ՀԱՇՎԵՔՆՆՈՒԹՅՈՒՆ</w:t>
      </w:r>
    </w:p>
    <w:p w:rsidR="00DA0A91" w:rsidRPr="00062DBA" w:rsidRDefault="00DA0A91" w:rsidP="00DA0A91">
      <w:pPr>
        <w:jc w:val="center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t>(Բյուջետային ծրագրի անվանումը)</w:t>
      </w:r>
    </w:p>
    <w:p w:rsidR="00DA0A91" w:rsidRPr="00062DBA" w:rsidRDefault="00DA0A91" w:rsidP="00DA0A91">
      <w:pPr>
        <w:spacing w:after="200" w:line="276" w:lineRule="auto"/>
        <w:rPr>
          <w:rFonts w:ascii="GHEA Grapalat" w:hAnsi="GHEA Grapalat" w:cs="Sylfaen"/>
          <w:bCs/>
          <w:sz w:val="20"/>
          <w:szCs w:val="20"/>
          <w:lang w:val="hy-AM" w:eastAsia="en-GB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 w:eastAsia="en-GB"/>
        </w:rPr>
        <w:br w:type="page"/>
      </w:r>
    </w:p>
    <w:p w:rsidR="00DA0A91" w:rsidRPr="00062DBA" w:rsidRDefault="00DA0A91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  <w:lang w:val="hy-AM"/>
        </w:rPr>
      </w:pPr>
      <w:r w:rsidRPr="00062DBA">
        <w:rPr>
          <w:rFonts w:ascii="GHEA Grapalat" w:hAnsi="GHEA Grapalat" w:cs="Sylfaen"/>
          <w:bCs/>
          <w:sz w:val="20"/>
          <w:szCs w:val="20"/>
          <w:lang w:val="hy-AM"/>
        </w:rPr>
        <w:lastRenderedPageBreak/>
        <w:t>1. ԾՐԱԳՐԻ ԱՆՁՆԱԳՐԱՅԻՆ ՏՎՅԱԼՆԵՐ</w:t>
      </w:r>
    </w:p>
    <w:tbl>
      <w:tblPr>
        <w:tblpPr w:leftFromText="180" w:rightFromText="180" w:bottomFromText="20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0A91" w:rsidRPr="00CE2BFB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 xml:space="preserve">1.1 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ԾՐԱԳՐԻ ԱՆՎԱՆՈՒՄԸ՝</w:t>
            </w:r>
          </w:p>
        </w:tc>
      </w:tr>
      <w:tr w:rsidR="00DA0A91" w:rsidRPr="00954D79" w:rsidTr="00BA6730">
        <w:trPr>
          <w:trHeight w:val="53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C9072B" w:rsidP="00C9072B">
            <w:pPr>
              <w:pStyle w:val="ListParagraph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</w:rPr>
              <w:t>Հ</w:t>
            </w:r>
            <w:r w:rsidRPr="00954D79"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 xml:space="preserve">անրային ֆինանսների </w:t>
            </w:r>
            <w:r>
              <w:rPr>
                <w:rFonts w:ascii="GHEA Grapalat" w:hAnsi="GHEA Grapalat" w:cs="Garamond"/>
                <w:b/>
                <w:bCs/>
                <w:sz w:val="18"/>
                <w:szCs w:val="18"/>
              </w:rPr>
              <w:t>և</w:t>
            </w:r>
            <w:r w:rsidRPr="00954D79"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 xml:space="preserve"> սեփականության ոլորտում հաշվեքննություն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1.2 ԾՐԱԳՐԻ ԴԱՍԻՉԸ՝</w:t>
            </w:r>
          </w:p>
        </w:tc>
      </w:tr>
      <w:tr w:rsidR="00DA0A91" w:rsidRPr="00954D79" w:rsidTr="00BA6730">
        <w:trPr>
          <w:trHeight w:val="68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73220A" w:rsidP="00BA6730">
            <w:pPr>
              <w:pStyle w:val="ListParagraph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954D79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1161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1.3 ԾՐԱԳՐԻ</w:t>
            </w:r>
            <w:r w:rsidRPr="00954D79">
              <w:rPr>
                <w:rFonts w:ascii="GHEA Grapalat" w:hAnsi="GHEA Grapalat" w:cs="Times Armenian"/>
                <w:sz w:val="20"/>
                <w:szCs w:val="20"/>
              </w:rPr>
              <w:t xml:space="preserve"> ԻՐԱԿԱՆԱՑՄԱՆ ՀԱՄԱՐ ՊԱՏԱՍԽԱՆԱՏՈՒ ՄԱՐՄԻՆԸ (ԲԳԿ)՝</w:t>
            </w:r>
          </w:p>
        </w:tc>
      </w:tr>
      <w:tr w:rsidR="00DA0A91" w:rsidRPr="00954D79" w:rsidTr="00BA6730">
        <w:trPr>
          <w:trHeight w:val="7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C9072B" w:rsidP="00C9072B">
            <w:pPr>
              <w:pStyle w:val="ListParagraph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Հայաստանի Հանրապետության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954D79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աշվեքննիչ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պ</w:t>
            </w:r>
            <w:r w:rsidRPr="00954D79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ալատ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1.4 ԾՐԱԳՐԻ ԳՈՐԾՈՒՆԵՈՒԹՅԱՆ ՍԿԻԶԲԸ՝</w:t>
            </w:r>
          </w:p>
        </w:tc>
      </w:tr>
      <w:tr w:rsidR="00DA0A91" w:rsidRPr="00171719" w:rsidTr="00BA6730">
        <w:trPr>
          <w:trHeight w:val="82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171719" w:rsidRDefault="003C1EF6" w:rsidP="00BA6730">
            <w:pPr>
              <w:pStyle w:val="ListParagraph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171719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ավելի քան 5 տարի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1.5 ԾՐԱԳՐԻ  ՆԱԽԱՏԵՍՎՈՂ ԱՎԱՐՏԸ՝</w:t>
            </w:r>
          </w:p>
        </w:tc>
      </w:tr>
      <w:tr w:rsidR="00DA0A91" w:rsidRPr="00171719" w:rsidTr="00BA6730">
        <w:trPr>
          <w:trHeight w:val="7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171719" w:rsidRDefault="00A30E98" w:rsidP="00BA6730">
            <w:pPr>
              <w:pStyle w:val="ListParagraph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171719">
              <w:rPr>
                <w:rFonts w:ascii="GHEA Grapalat" w:hAnsi="GHEA Grapalat" w:cs="Sylfaen"/>
                <w:b/>
                <w:bCs/>
                <w:sz w:val="20"/>
                <w:szCs w:val="20"/>
              </w:rPr>
              <w:t>շարունակական</w:t>
            </w:r>
          </w:p>
        </w:tc>
      </w:tr>
      <w:tr w:rsidR="00DA0A91" w:rsidRPr="00954D79" w:rsidTr="00BA673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1.6 ԾՐԱԳՐԻ ՆԱԽՈՐԴ ԱՆՎԱՆՈՒՄՆԵՐԸ՝</w:t>
            </w:r>
          </w:p>
        </w:tc>
      </w:tr>
      <w:tr w:rsidR="00DA0A91" w:rsidRPr="00CE2BFB" w:rsidTr="00BA6730">
        <w:trPr>
          <w:trHeight w:val="7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291D44" w:rsidRDefault="00291D44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i/>
                <w:sz w:val="20"/>
                <w:szCs w:val="20"/>
              </w:rPr>
              <w:t>--</w:t>
            </w:r>
          </w:p>
        </w:tc>
      </w:tr>
    </w:tbl>
    <w:p w:rsidR="00DA0A91" w:rsidRDefault="00DA0A91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</w:rPr>
      </w:pPr>
    </w:p>
    <w:p w:rsidR="00D63F7A" w:rsidRPr="00D63F7A" w:rsidRDefault="00D63F7A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</w:rPr>
      </w:pPr>
    </w:p>
    <w:p w:rsidR="00DA0A91" w:rsidRPr="00CE2BFB" w:rsidRDefault="00DA0A91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</w:rPr>
      </w:pPr>
      <w:r w:rsidRPr="00CE2BFB">
        <w:rPr>
          <w:rFonts w:ascii="GHEA Grapalat" w:hAnsi="GHEA Grapalat" w:cs="Sylfaen"/>
          <w:bCs/>
          <w:sz w:val="20"/>
          <w:szCs w:val="20"/>
        </w:rPr>
        <w:t>2. ԾՐԱԳՐԻ ԲՈՎԱՆԴԱԿՈՒԹՅՈՒՆԸ</w:t>
      </w:r>
    </w:p>
    <w:tbl>
      <w:tblPr>
        <w:tblpPr w:leftFromText="180" w:rightFromText="180" w:bottomFromText="20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31"/>
        <w:gridCol w:w="993"/>
        <w:gridCol w:w="1100"/>
        <w:gridCol w:w="428"/>
        <w:gridCol w:w="42"/>
        <w:gridCol w:w="2790"/>
        <w:gridCol w:w="2552"/>
      </w:tblGrid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 xml:space="preserve">2.1 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CE2BFB">
              <w:rPr>
                <w:rFonts w:ascii="GHEA Grapalat" w:hAnsi="GHEA Grapalat" w:cs="Times Armenian"/>
                <w:sz w:val="20"/>
                <w:szCs w:val="20"/>
              </w:rPr>
              <w:t xml:space="preserve"> ՆՊԱՏԱԿԸ՝ </w:t>
            </w:r>
          </w:p>
        </w:tc>
      </w:tr>
      <w:tr w:rsidR="00DA0A91" w:rsidRPr="00954D79" w:rsidTr="00BA6730">
        <w:trPr>
          <w:trHeight w:val="53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696F39" w:rsidP="00CA52C9">
            <w:pPr>
              <w:spacing w:before="120" w:after="120"/>
              <w:jc w:val="both"/>
              <w:rPr>
                <w:rFonts w:ascii="GHEA Grapalat" w:hAnsi="GHEA Grapalat" w:cs="Arial"/>
                <w:kern w:val="16"/>
              </w:rPr>
            </w:pPr>
            <w:r w:rsidRPr="00954D79">
              <w:rPr>
                <w:rFonts w:ascii="GHEA Grapalat" w:hAnsi="GHEA Grapalat" w:cs="Sylfaen"/>
                <w:kern w:val="16"/>
              </w:rPr>
              <w:t>Հ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անրային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ֆինանսների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սեփականության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ոլորտում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պետական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համայնքային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բյուջեների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միջոցների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,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ստացած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փոխառությունների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վարկերի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,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պետական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համայնքային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սեփականության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օգտագործման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օրինականության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արդյունավետության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վերաբերյալ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Ազգային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="00E556F7" w:rsidRPr="00954D79">
              <w:rPr>
                <w:rFonts w:ascii="GHEA Grapalat" w:hAnsi="GHEA Grapalat" w:cs="Sylfaen"/>
                <w:kern w:val="16"/>
              </w:rPr>
              <w:t>Ժ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ողովին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հանրությանը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ժամանակին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,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մասնագիտական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և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անկողմնակալ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տեղեկատվությ</w:t>
            </w:r>
            <w:r w:rsidR="00CA52C9" w:rsidRPr="00954D79">
              <w:rPr>
                <w:rFonts w:ascii="GHEA Grapalat" w:hAnsi="GHEA Grapalat" w:cs="Sylfaen"/>
                <w:kern w:val="16"/>
              </w:rPr>
              <w:t>ան</w:t>
            </w:r>
            <w:r w:rsidRPr="00954D79">
              <w:rPr>
                <w:rFonts w:ascii="GHEA Grapalat" w:hAnsi="GHEA Grapalat" w:cs="Arial"/>
                <w:kern w:val="16"/>
                <w:lang w:val="hy-AM"/>
              </w:rPr>
              <w:t xml:space="preserve"> </w:t>
            </w:r>
            <w:r w:rsidRPr="00954D79">
              <w:rPr>
                <w:rFonts w:ascii="GHEA Grapalat" w:hAnsi="GHEA Grapalat" w:cs="Sylfaen"/>
                <w:kern w:val="16"/>
                <w:lang w:val="hy-AM"/>
              </w:rPr>
              <w:t>ներկայաց</w:t>
            </w:r>
            <w:r w:rsidRPr="00954D79">
              <w:rPr>
                <w:rFonts w:ascii="GHEA Grapalat" w:hAnsi="GHEA Grapalat" w:cs="Sylfaen"/>
                <w:kern w:val="16"/>
              </w:rPr>
              <w:t>ում</w:t>
            </w:r>
          </w:p>
        </w:tc>
      </w:tr>
      <w:tr w:rsidR="00DA0A91" w:rsidRPr="00954D79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2.2 ԾՐԱԳՐԻ ՀԻՄՔԵՐԸ՝</w:t>
            </w:r>
          </w:p>
        </w:tc>
      </w:tr>
      <w:tr w:rsidR="00DA0A91" w:rsidRPr="00954D79" w:rsidTr="00BA6730">
        <w:trPr>
          <w:trHeight w:val="429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954D79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Ծրագրի իրավական հիմքերը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954D79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Նկարագրությունը</w:t>
            </w:r>
          </w:p>
        </w:tc>
      </w:tr>
      <w:tr w:rsidR="00DA0A91" w:rsidRPr="00954D79" w:rsidTr="00DF7C0D">
        <w:trPr>
          <w:trHeight w:val="77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F100DA" w:rsidP="00DF7C0D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ՀՀ Սահմանադրություն</w:t>
            </w:r>
            <w:r w:rsidR="002D0018" w:rsidRPr="00954D79">
              <w:rPr>
                <w:rFonts w:ascii="GHEA Grapalat" w:hAnsi="GHEA Grapalat" w:cs="Sylfaen"/>
                <w:bCs/>
                <w:sz w:val="20"/>
                <w:szCs w:val="20"/>
              </w:rPr>
              <w:t>, գլուխ 13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2D0018" w:rsidP="00DC7BB5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Սահմանադրական </w:t>
            </w:r>
            <w:r w:rsidR="00794C4C" w:rsidRPr="00954D79">
              <w:rPr>
                <w:rFonts w:ascii="GHEA Grapalat" w:hAnsi="GHEA Grapalat" w:cs="Sylfaen"/>
                <w:bCs/>
                <w:sz w:val="20"/>
                <w:szCs w:val="20"/>
              </w:rPr>
              <w:t>մանդատի</w:t>
            </w:r>
            <w:r w:rsidR="008D6682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(</w:t>
            </w:r>
            <w:r w:rsidR="00DC7BB5" w:rsidRPr="00954D79">
              <w:rPr>
                <w:rFonts w:ascii="GHEA Grapalat" w:hAnsi="GHEA Grapalat" w:cs="Sylfaen"/>
                <w:bCs/>
                <w:sz w:val="20"/>
                <w:szCs w:val="20"/>
              </w:rPr>
              <w:t>գործառույթների</w:t>
            </w:r>
            <w:r w:rsidR="008D6682" w:rsidRPr="00954D79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  <w:r w:rsidR="00CA2B7C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ապահովում</w:t>
            </w:r>
          </w:p>
        </w:tc>
      </w:tr>
      <w:tr w:rsidR="00DA0A91" w:rsidRPr="00954D79" w:rsidTr="00DF7C0D">
        <w:trPr>
          <w:trHeight w:val="77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2D0018" w:rsidP="00DF7C0D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54D79" w:rsidRDefault="00126D8C" w:rsidP="00FD3835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Լ</w:t>
            </w:r>
            <w:r w:rsidR="00FD3835" w:rsidRPr="00954D79">
              <w:rPr>
                <w:rFonts w:ascii="GHEA Grapalat" w:hAnsi="GHEA Grapalat" w:cs="Sylfaen"/>
                <w:bCs/>
                <w:sz w:val="20"/>
                <w:szCs w:val="20"/>
              </w:rPr>
              <w:t>իազորությունների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և գործունեության երաշխիքների</w:t>
            </w:r>
            <w:r w:rsidR="00FD3835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="003E26B6" w:rsidRPr="00954D79">
              <w:rPr>
                <w:rFonts w:ascii="GHEA Grapalat" w:hAnsi="GHEA Grapalat" w:cs="Sylfaen"/>
                <w:bCs/>
                <w:sz w:val="20"/>
                <w:szCs w:val="20"/>
              </w:rPr>
              <w:t>ապահովում</w:t>
            </w:r>
          </w:p>
        </w:tc>
      </w:tr>
      <w:tr w:rsidR="00DA0A91" w:rsidRPr="00954D79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2.3 ՊԵՏԱԿԱՆ ՄԱՐՄՆԻ (ԲԳԿ) ԼԻԱԶՈՐՈՒԹՅՈՒՆՆԵՐԸ ԾՐԱԳՐԻ ԻՐԱԿԱՆԱՑՄԱՆ ՀԱՐՑՈՒՄ`</w:t>
            </w:r>
          </w:p>
        </w:tc>
      </w:tr>
      <w:tr w:rsidR="00DA0A91" w:rsidRPr="00954D79" w:rsidTr="00E556F7">
        <w:trPr>
          <w:trHeight w:val="57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0075F2" w:rsidP="000075F2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ՀՀ հաշվեքննիչ պալատի լ</w:t>
            </w:r>
            <w:r w:rsidR="008D6682" w:rsidRPr="00954D79">
              <w:rPr>
                <w:rFonts w:ascii="GHEA Grapalat" w:hAnsi="GHEA Grapalat" w:cs="Sylfaen"/>
                <w:bCs/>
                <w:sz w:val="20"/>
                <w:szCs w:val="20"/>
              </w:rPr>
              <w:t>իազորություններն ամրագրված են Սահմանադրությամբ և ՀՀ օրենքով</w:t>
            </w:r>
          </w:p>
        </w:tc>
      </w:tr>
      <w:tr w:rsidR="00DA0A91" w:rsidRPr="00954D79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54D79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 xml:space="preserve">2.4 ԾՐԱԳՐԻ </w:t>
            </w:r>
            <w:r w:rsidRPr="00954D79">
              <w:rPr>
                <w:rFonts w:ascii="GHEA Grapalat" w:hAnsi="GHEA Grapalat" w:cs="Times Armenian"/>
                <w:sz w:val="20"/>
                <w:szCs w:val="20"/>
              </w:rPr>
              <w:t>ԹԻՐԱԽԱՅԻՆ ՇԱՀԱՌՈՒՆԵՐԸ ԵՎ ՄԱՏՈՒՑՎՈՂ ՀԻՄՆԱԿԱՆ ԾԱՌԱՅՈՒԹՅՈՒՆՆԵՐԸ՝</w:t>
            </w:r>
          </w:p>
        </w:tc>
      </w:tr>
      <w:tr w:rsidR="00DA0A91" w:rsidRPr="00954D79" w:rsidTr="00E556F7">
        <w:trPr>
          <w:trHeight w:val="566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954D79" w:rsidRDefault="00E556F7" w:rsidP="00291D4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Հանրային ֆինանսների </w:t>
            </w:r>
            <w:r w:rsidR="00291D44"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և 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սեփականության ոլորտում հաշվեքննությունների միջոցով  Ազգային Ժողովին և հանրությանը </w:t>
            </w:r>
            <w:r w:rsidRPr="00954D79">
              <w:rPr>
                <w:rFonts w:ascii="Sylfaen" w:hAnsi="Sylfaen" w:cs="Sylfaen"/>
              </w:rPr>
              <w:t xml:space="preserve"> 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ժամանակին, մասնագիտական և անկողմնակալ տեղեկատվության ներկայացում</w:t>
            </w:r>
          </w:p>
        </w:tc>
      </w:tr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sz w:val="20"/>
                <w:szCs w:val="20"/>
              </w:rPr>
              <w:t>2.5 ԾՐԱԳՐԻ ԿԱՌՈՒՑՎԱԾՔԸ՝</w:t>
            </w:r>
          </w:p>
        </w:tc>
      </w:tr>
      <w:tr w:rsidR="00DA0A91" w:rsidRPr="00CE2BFB" w:rsidTr="00BA6730">
        <w:trPr>
          <w:trHeight w:val="4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Ծրագրի միջոցառման դասիչը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միջոցառման անվանումը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միջոցառման նկարագրությունը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միջոցառման հիմնական շահառուները և փոխհատուցման շրջանակը</w:t>
            </w:r>
          </w:p>
        </w:tc>
      </w:tr>
      <w:tr w:rsidR="005D63FA" w:rsidRPr="008536E4" w:rsidTr="001E7652">
        <w:trPr>
          <w:trHeight w:val="25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AD16B3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  <w:r w:rsidRPr="00AD16B3"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բնականոն գործունեության ապահովմանը և հանրային ֆինանսների և սեփականության ոլորտում օրենքով սահմանված կարգով հաշվեքննության իրականացմանն ուղղված միջոցառումներ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FA" w:rsidRPr="00AD16B3" w:rsidRDefault="005D63FA" w:rsidP="00C6396D">
            <w:pPr>
              <w:rPr>
                <w:rFonts w:ascii="GHEA Grapalat" w:hAnsi="GHEA Grapalat"/>
                <w:sz w:val="20"/>
                <w:szCs w:val="20"/>
              </w:rPr>
            </w:pPr>
            <w:r w:rsidRPr="00AD16B3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ֆինանսների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C6396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սեփականության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ոլորտում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հաշվեքննությունների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միջոցով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Ազգային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Ժողովին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հանրությանը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ժամանակին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մասնագիտական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անկողմնակալ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տեղեկատվության</w:t>
            </w:r>
            <w:r w:rsidRPr="00AD16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D16B3">
              <w:rPr>
                <w:rFonts w:ascii="GHEA Grapalat" w:hAnsi="GHEA Grapalat" w:cs="Sylfaen"/>
                <w:sz w:val="20"/>
                <w:szCs w:val="20"/>
              </w:rPr>
              <w:t>ներկայացում</w:t>
            </w:r>
          </w:p>
        </w:tc>
      </w:tr>
      <w:tr w:rsidR="005D63FA" w:rsidRPr="008536E4" w:rsidTr="00056676">
        <w:trPr>
          <w:trHeight w:val="127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AD16B3" w:rsidRDefault="005D63FA" w:rsidP="005D63FA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  <w:r w:rsidRPr="00AD16B3"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գործունեության արդյունավետ իրականացման, աշխատաքների նպատակային խրախուսման համար չնախատեսված ծախսերի կատարման ապահովում: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3FA" w:rsidRPr="00AD16B3" w:rsidRDefault="005D63F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1222E" w:rsidRPr="008536E4" w:rsidTr="00DB25B9">
        <w:trPr>
          <w:gridAfter w:val="5"/>
          <w:wAfter w:w="6912" w:type="dxa"/>
          <w:trHeight w:val="131"/>
        </w:trPr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22E" w:rsidRPr="00AD16B3" w:rsidRDefault="0071222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D63FA" w:rsidRPr="008536E4" w:rsidTr="00DB25B9">
        <w:trPr>
          <w:trHeight w:val="13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FA" w:rsidRPr="00954D79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31001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954D79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BA1462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  <w:r w:rsidRPr="00A03B15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բնականոն գործունեության համար անհրաժեշտ վարչական սարքավորումների ձեռք բերում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A" w:rsidRPr="008536E4" w:rsidRDefault="005D63FA" w:rsidP="000274E4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highlight w:val="yellow"/>
              </w:rPr>
            </w:pPr>
          </w:p>
        </w:tc>
      </w:tr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sz w:val="20"/>
                <w:szCs w:val="20"/>
              </w:rPr>
              <w:t xml:space="preserve">2.6 </w:t>
            </w: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ԾՐԱԳՐԻ ՄԻՋՈՑԱՌՈՒՄՆԵՐԻ ՀԻՄՔՈՒՄ ԴՐՎԱԾ ԾԱԽՍԵՐԻ ԲՆՈՒՅԹԸ</w:t>
            </w:r>
          </w:p>
        </w:tc>
      </w:tr>
      <w:tr w:rsidR="00DA0A91" w:rsidRPr="00CE2BFB" w:rsidTr="00BA6730">
        <w:trPr>
          <w:trHeight w:val="255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Միջոցառման անվանումը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Պարտադիր կամ հայեցողական պարտավորությունների շրջանակը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Պարտադիր պարտավորության շրջանակներում գործադիր մարմնի հայեցողական իրավասությունների շրջանակները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jc w:val="center"/>
              <w:rPr>
                <w:rFonts w:ascii="GHEA Grapalat" w:hAnsi="GHEA Grapalat" w:cs="Garamond"/>
                <w:sz w:val="20"/>
                <w:szCs w:val="20"/>
              </w:rPr>
            </w:pPr>
            <w:r w:rsidRPr="00CE2BFB">
              <w:rPr>
                <w:rFonts w:ascii="GHEA Grapalat" w:hAnsi="GHEA Grapalat" w:cs="Garamond"/>
                <w:sz w:val="20"/>
                <w:szCs w:val="20"/>
              </w:rPr>
              <w:t>Պարտադիր կամ հայեցողական պարտավորությունը սահմանող օրենսդրական հիմքերը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eastAsia="MS Mincho" w:hAnsi="GHEA Grapalat" w:cs="MS Mincho"/>
                <w:sz w:val="20"/>
                <w:szCs w:val="20"/>
              </w:rPr>
              <w:t>Պարտադիր ծախսերին դասվող միջոցառումներ, այդ թվում՝</w:t>
            </w:r>
          </w:p>
        </w:tc>
      </w:tr>
      <w:tr w:rsidR="00CA1539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գործունեություն և հաշվեքննության իրակա</w:t>
            </w:r>
            <w:r w:rsidR="00337727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նացման ծառայություններ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Հանրային ֆինանսների և սեփականության ոլորտում հաշվեքննություններ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CE2BFB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5310E0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5310E0">
              <w:rPr>
                <w:rFonts w:ascii="GHEA Grapalat" w:hAnsi="GHEA Grapalat" w:cs="Sylfaen"/>
                <w:bCs/>
                <w:sz w:val="20"/>
                <w:szCs w:val="20"/>
              </w:rPr>
              <w:t>Սահմանադրություն</w:t>
            </w:r>
            <w:r w:rsidR="002033DB">
              <w:rPr>
                <w:rFonts w:ascii="GHEA Grapalat" w:hAnsi="GHEA Grapalat" w:cs="Sylfaen"/>
                <w:bCs/>
                <w:sz w:val="20"/>
                <w:szCs w:val="20"/>
              </w:rPr>
              <w:t xml:space="preserve">, </w:t>
            </w:r>
            <w:r w:rsidR="002033DB" w:rsidRPr="00B81DEC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</w:tr>
      <w:tr w:rsidR="00CA1539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954D79" w:rsidRDefault="00CA1539" w:rsidP="00CA1539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Հանրային ֆինանսների և սեփականության ոլորտում հաշվեքննություններ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CE2BFB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5310E0" w:rsidRDefault="00CA1539" w:rsidP="00CA1539">
            <w:r w:rsidRPr="005310E0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</w:tr>
      <w:tr w:rsidR="00CA1539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954D79" w:rsidRDefault="00CA1539" w:rsidP="00CA1539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Հաշվեքննիչ պալատի  խրախուսման և զարգացման  ֆոնդ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B81DEC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օրենք,  20-րդ հոդվածի 6-րդ մասով սահմանված շրջանակ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CE2BFB" w:rsidRDefault="00CA1539" w:rsidP="00CA1539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39" w:rsidRPr="005310E0" w:rsidRDefault="00CA1539" w:rsidP="00CA1539">
            <w:r w:rsidRPr="005310E0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օրենք,  20-րդ հոդվածի 6-րդ մաս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B81DEC" w:rsidRDefault="00DA0A91" w:rsidP="00BA6730">
            <w:pPr>
              <w:spacing w:line="276" w:lineRule="auto"/>
              <w:rPr>
                <w:rFonts w:ascii="GHEA Grapalat" w:hAnsi="GHEA Grapalat" w:cs="Garamond"/>
                <w:sz w:val="20"/>
                <w:szCs w:val="20"/>
              </w:rPr>
            </w:pPr>
            <w:r w:rsidRPr="00B81DEC">
              <w:rPr>
                <w:rFonts w:ascii="GHEA Grapalat" w:eastAsia="MS Mincho" w:hAnsi="GHEA Grapalat" w:cs="MS Mincho"/>
                <w:sz w:val="20"/>
                <w:szCs w:val="20"/>
              </w:rPr>
              <w:t>Հայեցողական ծախսերին դասվող միջոցառումներ, այդ թվում՝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B81DEC" w:rsidRDefault="00DA0A91" w:rsidP="00BA6730">
            <w:pPr>
              <w:spacing w:line="276" w:lineRule="auto"/>
              <w:ind w:left="284"/>
              <w:rPr>
                <w:rFonts w:ascii="GHEA Grapalat" w:hAnsi="GHEA Grapalat" w:cs="Garamond"/>
                <w:sz w:val="20"/>
                <w:szCs w:val="20"/>
              </w:rPr>
            </w:pPr>
            <w:r w:rsidRPr="00B81DEC">
              <w:rPr>
                <w:rFonts w:ascii="GHEA Grapalat" w:eastAsia="MS Mincho" w:hAnsi="GHEA Grapalat" w:cs="MS Mincho"/>
                <w:sz w:val="20"/>
                <w:szCs w:val="20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DA0A91" w:rsidRPr="00CE2BFB" w:rsidTr="00BA6730">
        <w:trPr>
          <w:trHeight w:val="284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CA1539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B81DEC" w:rsidRDefault="001A1BA4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B81DEC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բնականոն գործունեության համար անհրաժեշտ վարչական սարքավորումների ձեռք բերում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954D79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«Հաշվեքննիչ պալատի մասին» ՀՀ օրենք</w:t>
            </w:r>
          </w:p>
        </w:tc>
      </w:tr>
      <w:tr w:rsidR="00DA0A91" w:rsidRPr="00CE2BFB" w:rsidTr="00BA6730">
        <w:trPr>
          <w:trHeight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0A91" w:rsidRPr="00CE2BFB" w:rsidRDefault="00DA0A91" w:rsidP="00BA6730">
            <w:pPr>
              <w:pStyle w:val="ListParagraph"/>
              <w:ind w:left="284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 w:rsidRPr="00CE2BFB">
              <w:rPr>
                <w:rFonts w:ascii="GHEA Grapalat" w:eastAsia="MS Mincho" w:hAnsi="GHEA Grapalat" w:cs="MS Mincho"/>
                <w:sz w:val="20"/>
                <w:szCs w:val="20"/>
              </w:rPr>
              <w:t>Շարունակական բնույթի հայեցողական ծախսերին չդասվող միջոցառումներ, այդ թվում՝</w:t>
            </w:r>
          </w:p>
        </w:tc>
      </w:tr>
      <w:tr w:rsidR="00DA0A91" w:rsidRPr="00CE2BFB" w:rsidTr="00BA6730">
        <w:trPr>
          <w:trHeight w:val="21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</w:p>
        </w:tc>
      </w:tr>
      <w:tr w:rsidR="00DA0A91" w:rsidRPr="00CE2BFB" w:rsidTr="00BA6730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sz w:val="20"/>
                <w:szCs w:val="20"/>
              </w:rPr>
              <w:t>2.7 ԾՐԱԳՐԻ ԻՐԱԿԱՆԱՑՄԱՆ ԵՂԱՆԱԿԸ (ՄԻՋՈՑՆԵՐԸ ԵՎ ԻՐԱԿԱՆԱՑՆՈՂ ԿԱԶՄԱԿԵՐՊՈՒԹՅՈՒՆՆԵՐԻ ՇՐՋԱՆԱԿԸ)</w:t>
            </w:r>
          </w:p>
        </w:tc>
      </w:tr>
      <w:tr w:rsidR="00DA0A91" w:rsidRPr="00CE2BFB" w:rsidTr="00BA6730">
        <w:trPr>
          <w:trHeight w:val="588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0A6A79" w:rsidRDefault="00404178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Կիրառելի չէ</w:t>
            </w:r>
          </w:p>
        </w:tc>
      </w:tr>
    </w:tbl>
    <w:p w:rsidR="00DA0A91" w:rsidRPr="00CE2BFB" w:rsidRDefault="00DA0A91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DA0A91" w:rsidRPr="00810CD4" w:rsidRDefault="00DA0A91" w:rsidP="00DA0A91">
      <w:pPr>
        <w:pStyle w:val="ListParagraph"/>
        <w:ind w:left="0"/>
        <w:rPr>
          <w:rFonts w:ascii="GHEA Grapalat" w:hAnsi="GHEA Grapalat" w:cs="Sylfaen"/>
          <w:sz w:val="20"/>
          <w:szCs w:val="20"/>
          <w:lang w:val="hy-AM"/>
        </w:rPr>
      </w:pPr>
      <w:r w:rsidRPr="00810CD4">
        <w:rPr>
          <w:rFonts w:ascii="GHEA Grapalat" w:hAnsi="GHEA Grapalat" w:cs="Sylfaen"/>
          <w:bCs/>
          <w:sz w:val="20"/>
          <w:szCs w:val="20"/>
          <w:lang w:val="hy-AM"/>
        </w:rPr>
        <w:t>3. ԾՐԱԳՐԻ ԱՐԴՅՈՒՆՔԱՅԻՆ (ԿԱՏԱՐՈՂԱԿԱՆ) ՈՉ ՖԻՆԱՆՍԱԿԱՆ ՉԱՓՈՐՈՇԻՉՆԵՐԸ</w:t>
      </w:r>
    </w:p>
    <w:tbl>
      <w:tblPr>
        <w:tblpPr w:leftFromText="180" w:rightFromText="180" w:bottomFromText="20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425"/>
        <w:gridCol w:w="709"/>
        <w:gridCol w:w="3260"/>
      </w:tblGrid>
      <w:tr w:rsidR="00DA0A91" w:rsidRPr="00CE2BFB" w:rsidTr="00BA673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 xml:space="preserve">3.1 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ԾՐԱԳՐԻ</w:t>
            </w:r>
            <w:r w:rsidRPr="00CE2BFB">
              <w:rPr>
                <w:rFonts w:ascii="GHEA Grapalat" w:hAnsi="GHEA Grapalat" w:cs="Times Armenian"/>
                <w:sz w:val="20"/>
                <w:szCs w:val="20"/>
              </w:rPr>
              <w:t xml:space="preserve"> ՎԵՐՋՆԱԿԱՆ ԱՐԴՅՈՒՆՔՆԵՐԸ</w:t>
            </w:r>
            <w:r w:rsidRPr="00CE2BFB">
              <w:rPr>
                <w:rFonts w:ascii="GHEA Grapalat" w:hAnsi="GHEA Grapalat" w:cs="Sylfaen"/>
                <w:sz w:val="20"/>
                <w:szCs w:val="20"/>
              </w:rPr>
              <w:t>՝</w:t>
            </w:r>
          </w:p>
        </w:tc>
      </w:tr>
      <w:tr w:rsidR="00DA0A91" w:rsidRPr="00CE2BFB" w:rsidTr="00BA6730">
        <w:trPr>
          <w:trHeight w:val="4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Վերջնական արդյունքի չափորոշիչը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Չափման միավորը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Հղումներ չափորոշիչը նկարագրող մանրամասն աղյուսակին</w:t>
            </w:r>
          </w:p>
        </w:tc>
      </w:tr>
      <w:tr w:rsidR="00DA0A91" w:rsidRPr="00CE2BFB" w:rsidTr="001450EF">
        <w:trPr>
          <w:trHeight w:val="16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91" w:rsidRPr="00224053" w:rsidRDefault="00EB5FB0" w:rsidP="007D64C8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>ՀՀ հաշվեքննիչ պալատի գործունեության տարեկան ծրագրի  կատարողական</w:t>
            </w:r>
            <w:r w:rsidR="00CC0BA6">
              <w:rPr>
                <w:rFonts w:ascii="GHEA Grapalat" w:hAnsi="GHEA Grapalat" w:cs="Sylfaen"/>
                <w:bCs/>
                <w:sz w:val="20"/>
                <w:szCs w:val="20"/>
              </w:rPr>
              <w:t xml:space="preserve">ի </w:t>
            </w:r>
            <w:r w:rsidR="008305A8">
              <w:rPr>
                <w:rFonts w:ascii="GHEA Grapalat" w:hAnsi="GHEA Grapalat" w:cs="Sylfaen"/>
                <w:bCs/>
                <w:sz w:val="20"/>
                <w:szCs w:val="20"/>
              </w:rPr>
              <w:t>գնահատում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՝ </w:t>
            </w:r>
            <w:r w:rsidR="00644626"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 INTOSAI </w:t>
            </w:r>
            <w:r w:rsidR="00644626">
              <w:rPr>
                <w:rFonts w:ascii="GHEA Grapalat" w:hAnsi="GHEA Grapalat" w:cs="Sylfaen"/>
                <w:bCs/>
                <w:sz w:val="20"/>
                <w:szCs w:val="20"/>
              </w:rPr>
              <w:t>(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Աուդիտի բարձրագույն մարմինների միջազգային կազմակերպության) </w:t>
            </w:r>
            <w:r w:rsidR="007D64C8" w:rsidRPr="00EB5FB0">
              <w:rPr>
                <w:rFonts w:ascii="GHEA Grapalat" w:hAnsi="GHEA Grapalat" w:cs="Sylfaen"/>
                <w:bCs/>
                <w:sz w:val="20"/>
                <w:szCs w:val="20"/>
              </w:rPr>
              <w:t>SAI PMF</w:t>
            </w:r>
            <w:r w:rsidR="007D64C8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(</w:t>
            </w:r>
            <w:r w:rsidR="008A1C64">
              <w:rPr>
                <w:rFonts w:ascii="GHEA Grapalat" w:hAnsi="GHEA Grapalat"/>
                <w:sz w:val="20"/>
                <w:szCs w:val="20"/>
                <w:lang w:eastAsia="en-GB"/>
              </w:rPr>
              <w:t>Աուդիտի բարձրագույն մարմինների կատարողականի գնահատման շրջանակ</w:t>
            </w:r>
            <w:r w:rsidR="007D64C8">
              <w:rPr>
                <w:rFonts w:ascii="GHEA Grapalat" w:hAnsi="GHEA Grapalat"/>
                <w:sz w:val="20"/>
                <w:szCs w:val="20"/>
                <w:lang w:eastAsia="en-GB"/>
              </w:rPr>
              <w:t>)</w:t>
            </w:r>
            <w:r w:rsidR="008A1C64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 xml:space="preserve">մեթոդաբանության հիման վրա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F2F5C" w:rsidRDefault="00EB5FB0" w:rsidP="004405AA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</w:pPr>
            <w:r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  <w:t>3-4 միջակայք</w:t>
            </w:r>
            <w:r w:rsidR="00CB7902"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  <w:t xml:space="preserve"> (202</w:t>
            </w:r>
            <w:r w:rsidR="004405AA"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  <w:lang w:val="hy-AM"/>
              </w:rPr>
              <w:t>6</w:t>
            </w:r>
            <w:r w:rsidR="00CB7902"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  <w:t>թ.-ին իրավականցված գնահատմ</w:t>
            </w:r>
            <w:r w:rsidR="004357D9"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  <w:t>ան արդյունքում</w:t>
            </w:r>
            <w:r w:rsidR="00CB7902"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91" w:rsidRPr="009F2F5C" w:rsidRDefault="00F10B55" w:rsidP="001450EF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</w:pPr>
            <w:r w:rsidRPr="009F2F5C">
              <w:rPr>
                <w:rFonts w:ascii="GHEA Grapalat" w:hAnsi="GHEA Grapalat" w:cs="Sylfaen"/>
                <w:bCs/>
                <w:color w:val="000000" w:themeColor="text1"/>
                <w:sz w:val="20"/>
                <w:szCs w:val="20"/>
              </w:rPr>
              <w:t>4.1</w:t>
            </w:r>
          </w:p>
        </w:tc>
      </w:tr>
      <w:tr w:rsidR="00DA0A91" w:rsidRPr="00CE2BFB" w:rsidTr="00BA6730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3.2 ԾՐԱԳՐԻ ՄԻՋՈՑԱՌՈՒՄՆԵՐԻ ԱՐԴՅՈՒՆՔՆԵՐԸ՝</w:t>
            </w:r>
          </w:p>
        </w:tc>
      </w:tr>
      <w:tr w:rsidR="00DA0A91" w:rsidRPr="00CE2BFB" w:rsidTr="00171719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Միջոցառման դասիչը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Միջոցառման անվանումը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Միջոցառման արդյունքի չափորոշիչը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Չափման միավորը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0A91" w:rsidRPr="00CE2BFB" w:rsidRDefault="00DA0A91" w:rsidP="00BA6730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bCs/>
                <w:sz w:val="20"/>
                <w:szCs w:val="20"/>
              </w:rPr>
              <w:t>Հղումներ չափորոշիչը նկարագրող մանրամասն աղյուսակին</w:t>
            </w:r>
          </w:p>
        </w:tc>
      </w:tr>
      <w:tr w:rsidR="000A2250" w:rsidRPr="00CE2BFB" w:rsidTr="00171719">
        <w:trPr>
          <w:trHeight w:val="4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8305A8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50" w:rsidRPr="00C65183" w:rsidRDefault="00C638D2" w:rsidP="00C638D2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ՀՀ հաշվեքննիչ պալատի գործունեության կ</w:t>
            </w:r>
            <w:r w:rsidRPr="00C638D2">
              <w:rPr>
                <w:rFonts w:ascii="GHEA Grapalat" w:hAnsi="GHEA Grapalat"/>
                <w:sz w:val="20"/>
                <w:szCs w:val="20"/>
                <w:lang w:eastAsia="en-GB"/>
              </w:rPr>
              <w:t>ատարողականի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INTOSAI</w:t>
            </w:r>
            <w:r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SAI-PMF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մեթոդաբանությամբ</w:t>
            </w:r>
            <w:r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գնահա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տում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50" w:rsidRPr="00AC7414" w:rsidRDefault="00AF2C87" w:rsidP="00AC7414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3-4 միջակայք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250" w:rsidRPr="005A4848" w:rsidRDefault="005A4848" w:rsidP="005A4848">
            <w:pPr>
              <w:pStyle w:val="ListParagraph"/>
              <w:ind w:left="0"/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4.1</w:t>
            </w:r>
          </w:p>
        </w:tc>
      </w:tr>
      <w:tr w:rsidR="000A2250" w:rsidRPr="00CE2BFB" w:rsidTr="00A146BC">
        <w:trPr>
          <w:trHeight w:val="4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448FB" w:rsidRDefault="000A2250" w:rsidP="00DE799E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eastAsia="Calibri" w:hAnsi="GHEA Grapalat" w:cs="Sylfaen"/>
                <w:bCs/>
                <w:sz w:val="20"/>
                <w:szCs w:val="20"/>
              </w:rPr>
              <w:t>11002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 xml:space="preserve">Հաշվեքննիչ պալատի </w:t>
            </w: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պահուստային ֆոնդ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0A2250" w:rsidRPr="00CE2BFB" w:rsidTr="0098445F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jc w:val="both"/>
              <w:rPr>
                <w:rFonts w:ascii="GHEA Grapalat" w:eastAsia="Calibri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lastRenderedPageBreak/>
              <w:t>11003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 խրախուսման և զարգացման  ֆոնդ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0A2250" w:rsidRPr="00CE2BFB" w:rsidTr="0098445F">
        <w:trPr>
          <w:trHeight w:val="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50" w:rsidRPr="00954D79" w:rsidRDefault="000A2250" w:rsidP="00DE799E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31001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954D79" w:rsidRDefault="000A2250" w:rsidP="00DE799E">
            <w:pPr>
              <w:pStyle w:val="ListParagraph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954D79">
              <w:rPr>
                <w:rFonts w:ascii="GHEA Grapalat" w:hAnsi="GHEA Grapalat" w:cs="Sylfaen"/>
                <w:bCs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50" w:rsidRPr="00CE2BFB" w:rsidRDefault="000A2250" w:rsidP="00DE799E">
            <w:pPr>
              <w:pStyle w:val="ListParagraph"/>
              <w:ind w:left="0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</w:tbl>
    <w:p w:rsidR="00DA0A91" w:rsidRPr="00CE2BFB" w:rsidRDefault="00DA0A91" w:rsidP="00DA0A91">
      <w:pPr>
        <w:pStyle w:val="ListParagraph"/>
        <w:ind w:left="0"/>
        <w:rPr>
          <w:rFonts w:ascii="GHEA Grapalat" w:hAnsi="GHEA Grapalat" w:cs="Sylfaen"/>
          <w:sz w:val="20"/>
          <w:szCs w:val="20"/>
        </w:rPr>
      </w:pPr>
    </w:p>
    <w:p w:rsidR="00DA0A91" w:rsidRPr="00CE2BFB" w:rsidRDefault="00DA0A91" w:rsidP="00DA0A91">
      <w:pPr>
        <w:pStyle w:val="ListParagraph"/>
        <w:ind w:left="0"/>
        <w:rPr>
          <w:rFonts w:ascii="GHEA Grapalat" w:hAnsi="GHEA Grapalat" w:cs="Sylfaen"/>
          <w:sz w:val="20"/>
          <w:szCs w:val="20"/>
        </w:rPr>
      </w:pPr>
      <w:r w:rsidRPr="00CE2BFB">
        <w:rPr>
          <w:rFonts w:ascii="GHEA Grapalat" w:hAnsi="GHEA Grapalat" w:cs="Sylfaen"/>
          <w:bCs/>
          <w:sz w:val="20"/>
          <w:szCs w:val="20"/>
        </w:rPr>
        <w:t xml:space="preserve">4. ԾՐԱԳՐԻ ԱՐԴՅՈՒՆՔԱՅԻՆ ՉԱՓՈՐՈՇԻՉՆԵՐԻ ՄԱՆՐԱՄԱՍՆ ՆԿԱՐԱԳՐՈՒԹՅՈՒՆԸ </w:t>
      </w:r>
    </w:p>
    <w:p w:rsidR="00DA0A91" w:rsidRPr="00CE2BFB" w:rsidRDefault="00DA0A91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</w:rPr>
      </w:pPr>
      <w:r w:rsidRPr="00CE2BFB">
        <w:rPr>
          <w:rFonts w:ascii="GHEA Grapalat" w:hAnsi="GHEA Grapalat" w:cs="Sylfaen"/>
          <w:bCs/>
          <w:sz w:val="20"/>
          <w:szCs w:val="20"/>
        </w:rPr>
        <w:t>4.1 Աղյուսակ #</w:t>
      </w:r>
      <w:r w:rsidR="00CA1539">
        <w:rPr>
          <w:rFonts w:ascii="GHEA Grapalat" w:hAnsi="GHEA Grapalat" w:cs="Sylfaen"/>
          <w:bCs/>
          <w:sz w:val="20"/>
          <w:szCs w:val="20"/>
        </w:rPr>
        <w:t>1</w:t>
      </w:r>
      <w:r w:rsidRPr="00CE2BFB">
        <w:rPr>
          <w:rFonts w:ascii="GHEA Grapalat" w:hAnsi="GHEA Grapalat" w:cs="Sylfaen"/>
          <w:bCs/>
          <w:sz w:val="20"/>
          <w:szCs w:val="20"/>
        </w:rPr>
        <w:t>(Յուրաքանչյուր ինքնուրույն չափորոշիչի համար լրացվում է առանձին աղյուսակ)</w:t>
      </w:r>
    </w:p>
    <w:p w:rsidR="00DA0A91" w:rsidRPr="00CE2BFB" w:rsidRDefault="00DA0A91" w:rsidP="00DA0A91">
      <w:pPr>
        <w:pStyle w:val="ListParagraph"/>
        <w:ind w:left="0"/>
        <w:rPr>
          <w:rFonts w:ascii="GHEA Grapalat" w:hAnsi="GHEA Grapalat" w:cs="Sylfaen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DA0A91" w:rsidRPr="00CE2BFB" w:rsidTr="00BA67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Չափորոշիչի նկարագրությունը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Չափորոշիչի անվանումը (հապավումը)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638D2" w:rsidRDefault="00C638D2" w:rsidP="00C638D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ՀՀ հաշվեքննիչ պալատի գործունեության կ</w:t>
            </w:r>
            <w:r w:rsidR="00994432" w:rsidRPr="00C638D2">
              <w:rPr>
                <w:rFonts w:ascii="GHEA Grapalat" w:hAnsi="GHEA Grapalat"/>
                <w:sz w:val="20"/>
                <w:szCs w:val="20"/>
                <w:lang w:eastAsia="en-GB"/>
              </w:rPr>
              <w:t>ատարողականի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INTOSAI</w:t>
            </w:r>
            <w:r w:rsidR="00994432"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SAI-PMF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մեթոդաբանությամբ</w:t>
            </w:r>
            <w:r w:rsidR="00994432" w:rsidRPr="00C638D2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գնահա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տում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Կիրառման ոլորտ/տարածքը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D046CD" w:rsidRDefault="002B472B" w:rsidP="00C638D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D046CD">
              <w:rPr>
                <w:rFonts w:ascii="GHEA Grapalat" w:hAnsi="GHEA Grapalat"/>
                <w:sz w:val="20"/>
                <w:szCs w:val="20"/>
              </w:rPr>
              <w:t xml:space="preserve">ՀՀ հաշվեքննիչ պալատի </w:t>
            </w:r>
            <w:r w:rsidR="00D25011" w:rsidRPr="00D046CD">
              <w:rPr>
                <w:rFonts w:ascii="GHEA Grapalat" w:hAnsi="GHEA Grapalat"/>
                <w:sz w:val="20"/>
                <w:szCs w:val="20"/>
              </w:rPr>
              <w:t>գործունեությ</w:t>
            </w:r>
            <w:r w:rsidR="00D046CD">
              <w:rPr>
                <w:rFonts w:ascii="GHEA Grapalat" w:hAnsi="GHEA Grapalat"/>
                <w:sz w:val="20"/>
                <w:szCs w:val="20"/>
              </w:rPr>
              <w:t>ուն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Սահմանումը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D25011" w:rsidP="00760D3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Չափորոշիչով գնահհատվում է ՀՀ հաշվեքննիչ պալատի գործունեության կատարողականը </w:t>
            </w:r>
            <w:r w:rsidR="00760D38">
              <w:rPr>
                <w:rFonts w:ascii="GHEA Grapalat" w:hAnsi="GHEA Grapalat"/>
                <w:sz w:val="20"/>
                <w:szCs w:val="20"/>
                <w:lang w:eastAsia="en-GB"/>
              </w:rPr>
              <w:t>I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NTOSAI</w:t>
            </w:r>
            <w:r w:rsidR="00760D38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(</w:t>
            </w:r>
            <w:r w:rsidRPr="00EB5FB0">
              <w:rPr>
                <w:rFonts w:ascii="GHEA Grapalat" w:hAnsi="GHEA Grapalat" w:cs="Sylfaen"/>
                <w:bCs/>
                <w:sz w:val="20"/>
                <w:szCs w:val="20"/>
              </w:rPr>
              <w:t>Աուդիտի բարձրագույն մարմին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ների միջազգային կազմակերպության</w:t>
            </w:r>
            <w:r w:rsidR="00760D38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կողմից հաստատված SAI-PMF (</w:t>
            </w:r>
            <w:r w:rsidR="00F4488D">
              <w:rPr>
                <w:rFonts w:ascii="GHEA Grapalat" w:hAnsi="GHEA Grapalat"/>
                <w:sz w:val="20"/>
                <w:szCs w:val="20"/>
                <w:lang w:eastAsia="en-GB"/>
              </w:rPr>
              <w:t>Աուդիտի բարձրագույն մարմինների կատարողականի գնահատման շրջանակ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>)</w:t>
            </w:r>
            <w:r w:rsidR="00F4488D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 </w:t>
            </w:r>
            <w:r w:rsidR="007E5CEB">
              <w:rPr>
                <w:rFonts w:ascii="GHEA Grapalat" w:hAnsi="GHEA Grapalat"/>
                <w:sz w:val="20"/>
                <w:szCs w:val="20"/>
                <w:lang w:eastAsia="en-GB"/>
              </w:rPr>
              <w:t>մեթոդաբանությամբ</w:t>
            </w:r>
            <w:r w:rsidR="00F4488D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: 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F2F5C" w:rsidRDefault="00DA0A91" w:rsidP="00BA6730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eastAsia="en-GB"/>
              </w:rPr>
            </w:pPr>
            <w:bookmarkStart w:id="1" w:name="_GoBack" w:colFirst="0" w:colLast="1"/>
            <w:r w:rsidRPr="009F2F5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Չափման միավորը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9F2F5C" w:rsidRDefault="00E750BB" w:rsidP="00E750BB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9F2F5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Հաշվետու ժամանակահատվածում անհրաժեշտ միավորների միջակայքը՝ 3-4-ն է:</w:t>
            </w:r>
          </w:p>
          <w:p w:rsidR="00E750BB" w:rsidRPr="009F2F5C" w:rsidRDefault="00E750BB" w:rsidP="00E750BB">
            <w:pPr>
              <w:spacing w:line="276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  <w:t>Չափման միավորների սանդղակն է՝ 0-4: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F2F5C" w:rsidRDefault="00DA0A91" w:rsidP="00BA6730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eastAsia="en-GB"/>
              </w:rPr>
            </w:pPr>
            <w:r w:rsidRPr="009F2F5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Տեսակ/տիպը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9F2F5C" w:rsidRDefault="00E750BB" w:rsidP="004405AA">
            <w:pPr>
              <w:spacing w:line="276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  <w:t>Վերջնարդյունք (կիրառվելու է 202</w:t>
            </w:r>
            <w:r w:rsidR="004405AA"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>6</w:t>
            </w:r>
            <w:r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  <w:t>թ.-ին Հաշվեքննիչ պալատի 202</w:t>
            </w:r>
            <w:r w:rsidR="004405AA"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>5</w:t>
            </w:r>
            <w:r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  <w:t>թ.գործունեության  կատարողականի նկատմամբ)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9F2F5C" w:rsidRDefault="00DA0A91" w:rsidP="00BA6730">
            <w:pPr>
              <w:spacing w:line="276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eastAsia="en-GB"/>
              </w:rPr>
            </w:pPr>
            <w:r w:rsidRPr="009F2F5C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Ներկայացման բացվածքը/կառուցվածքը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9F2F5C" w:rsidRDefault="009E5DA2" w:rsidP="00BA6730">
            <w:pPr>
              <w:spacing w:line="276" w:lineRule="auto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9F2F5C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eastAsia="en-GB"/>
              </w:rPr>
              <w:t>Ինքնագնահատման զեկույց՝ կից գնահատման աղյուսակով և միջինացված ցուցանիշով</w:t>
            </w:r>
          </w:p>
        </w:tc>
      </w:tr>
      <w:bookmarkEnd w:id="1"/>
      <w:tr w:rsidR="00DA0A91" w:rsidRPr="00CE2BFB" w:rsidTr="00BA6730">
        <w:trPr>
          <w:trHeight w:val="17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ստացումը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հավաքագրման մեթոդը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034A08" w:rsidP="00D046CD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Գնահատման մեթոդն է՝ </w:t>
            </w:r>
            <w:r w:rsidR="007168E5"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ինքնագնահատման միջոցով </w:t>
            </w:r>
            <w:r>
              <w:rPr>
                <w:rFonts w:ascii="GHEA Grapalat" w:hAnsi="GHEA Grapalat"/>
                <w:sz w:val="20"/>
                <w:szCs w:val="20"/>
                <w:lang w:eastAsia="en-GB"/>
              </w:rPr>
              <w:t xml:space="preserve">INTOSAI SAI-PMF </w:t>
            </w:r>
            <w:r w:rsidR="00350157">
              <w:rPr>
                <w:rFonts w:ascii="GHEA Grapalat" w:hAnsi="GHEA Grapalat"/>
                <w:sz w:val="20"/>
                <w:szCs w:val="20"/>
                <w:lang w:eastAsia="en-GB"/>
              </w:rPr>
              <w:t>մեթոդաբանությ</w:t>
            </w:r>
            <w:r w:rsidR="007168E5">
              <w:rPr>
                <w:rFonts w:ascii="GHEA Grapalat" w:hAnsi="GHEA Grapalat"/>
                <w:sz w:val="20"/>
                <w:szCs w:val="20"/>
                <w:lang w:eastAsia="en-GB"/>
              </w:rPr>
              <w:t>ունը</w:t>
            </w:r>
            <w:r w:rsidR="00D046CD">
              <w:rPr>
                <w:rFonts w:ascii="GHEA Grapalat" w:hAnsi="GHEA Grapalat"/>
                <w:sz w:val="20"/>
                <w:szCs w:val="20"/>
                <w:lang w:eastAsia="en-GB"/>
              </w:rPr>
              <w:t>: Տվյալների համար կարևոր նախադրյալներ կստեղծի ՀՀ հաշվեքննիչ պալատի ռազմավարական զարգացման ծրագրի և դրա իրականացման պլանի իրագործումը: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հավաքագրման հաճախականությունը կամ ժամկետները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7447A6" w:rsidRDefault="007447A6" w:rsidP="00744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SAI-PMF մեթոդաբանությամբ գնահատումներն իրականացվում են 3-5 տարվա կտրվաքով: Վերջին գնահատումը եղել է 2020թ.-ին Հաշվեքննիչ պալատի 2019թ. գործունեության նկատմամբ: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Պատասխանատու միավորը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7447A6" w:rsidRDefault="007447A6" w:rsidP="00744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7447A6">
              <w:rPr>
                <w:rFonts w:ascii="GHEA Grapalat" w:hAnsi="GHEA Grapalat"/>
                <w:sz w:val="20"/>
                <w:szCs w:val="20"/>
              </w:rPr>
              <w:t>ՀՀ հաշվեքննիչ պալատ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Տվյալների ստացման հետ կապված ծախսերի գնահատական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7447A6" w:rsidRDefault="007447A6" w:rsidP="00744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7447A6">
              <w:rPr>
                <w:rFonts w:ascii="GHEA Grapalat" w:hAnsi="GHEA Grapalat"/>
                <w:sz w:val="20"/>
                <w:szCs w:val="20"/>
              </w:rPr>
              <w:t>Իրականացվելու է ՀՀ հաշվեքննիչ պալատ</w:t>
            </w:r>
            <w:r>
              <w:rPr>
                <w:rFonts w:ascii="GHEA Grapalat" w:hAnsi="GHEA Grapalat"/>
                <w:sz w:val="20"/>
                <w:szCs w:val="20"/>
              </w:rPr>
              <w:t>ում առկա</w:t>
            </w:r>
            <w:r w:rsidRPr="007447A6">
              <w:rPr>
                <w:rFonts w:ascii="GHEA Grapalat" w:hAnsi="GHEA Grapalat"/>
                <w:sz w:val="20"/>
                <w:szCs w:val="20"/>
              </w:rPr>
              <w:t xml:space="preserve"> մասնագիտական ներուժով</w:t>
            </w:r>
          </w:p>
        </w:tc>
      </w:tr>
      <w:tr w:rsidR="00DA0A91" w:rsidRPr="00CE2BFB" w:rsidTr="00BA673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Այլ նշումներ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Ցուցանիշի ելակետային տվյալը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7447A6" w:rsidP="007447A6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eastAsia="en-GB"/>
              </w:rPr>
              <w:t>2020թ.-ին Հաշվեքննիչ պալատի 2019թ. կատարողականի նկատմամբ իրականացված ինքնագնահատման միավորը եղել է 2: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lastRenderedPageBreak/>
              <w:t>Հենանիշային (benchmark) ցուցանիշները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7447A6" w:rsidP="007447A6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0-4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Թիրախային ցուցանիշը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522C2B" w:rsidRDefault="00522C2B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>
              <w:rPr>
                <w:rFonts w:ascii="GHEA Grapalat" w:hAnsi="GHEA Grapalat"/>
                <w:sz w:val="20"/>
                <w:szCs w:val="20"/>
              </w:rPr>
              <w:t>3-4 միջակայք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Սահմանափակումները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522C2B" w:rsidRDefault="008F45B4" w:rsidP="00D046C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522C2B">
              <w:rPr>
                <w:rFonts w:ascii="GHEA Grapalat" w:hAnsi="GHEA Grapalat"/>
                <w:sz w:val="20"/>
                <w:szCs w:val="20"/>
              </w:rPr>
              <w:t>Քանի որ Հաշվեքննիչ պալատի մասին օրենսդրությամբ կան դրույթներ, որոնք համահունչ չեն INTOSAI կողմից սահմանված ստանդարտներին, ապա  առկա է ռիսկ, որ այդ հանգամանքը կարող է բացասաբար է ազդել Հաշվեքննիչ պալատի արդյունավետ գործունեության, ինչպես նաև ներկայացվող արդյունքերի վրա՝ նկատի ունենալով դրանց համար միջազգային ստանդարտներով նախատեսված չափորոշիչները:</w:t>
            </w:r>
          </w:p>
        </w:tc>
      </w:tr>
      <w:tr w:rsidR="00DA0A91" w:rsidRPr="00CE2BFB" w:rsidTr="00BA673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Այլ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91" w:rsidRPr="00CE2BFB" w:rsidRDefault="00DA0A91" w:rsidP="00BA6730">
            <w:pPr>
              <w:spacing w:line="276" w:lineRule="auto"/>
              <w:jc w:val="both"/>
              <w:rPr>
                <w:rFonts w:ascii="GHEA Grapalat" w:hAnsi="GHEA Grapalat"/>
                <w:i/>
                <w:sz w:val="20"/>
                <w:szCs w:val="20"/>
                <w:lang w:eastAsia="en-GB"/>
              </w:rPr>
            </w:pPr>
            <w:r w:rsidRPr="00CE2BFB">
              <w:rPr>
                <w:rFonts w:ascii="GHEA Grapalat" w:hAnsi="GHEA Grapalat"/>
                <w:i/>
                <w:sz w:val="20"/>
                <w:szCs w:val="20"/>
              </w:rPr>
              <w:t>(Այլ անհրաժեշտ նշումներ)</w:t>
            </w:r>
          </w:p>
        </w:tc>
      </w:tr>
    </w:tbl>
    <w:p w:rsidR="00DA0A91" w:rsidRPr="00CE2BFB" w:rsidRDefault="00DA0A91" w:rsidP="00DA0A91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32364F" w:rsidRDefault="0032364F"/>
    <w:sectPr w:rsidR="0032364F" w:rsidSect="00877D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1E" w:rsidRDefault="00D6401E" w:rsidP="00DF0C23">
      <w:r>
        <w:separator/>
      </w:r>
    </w:p>
  </w:endnote>
  <w:endnote w:type="continuationSeparator" w:id="0">
    <w:p w:rsidR="00D6401E" w:rsidRDefault="00D6401E" w:rsidP="00DF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1E" w:rsidRDefault="00D6401E" w:rsidP="00DF0C23">
      <w:r>
        <w:separator/>
      </w:r>
    </w:p>
  </w:footnote>
  <w:footnote w:type="continuationSeparator" w:id="0">
    <w:p w:rsidR="00D6401E" w:rsidRDefault="00D6401E" w:rsidP="00DF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A"/>
    <w:rsid w:val="00000496"/>
    <w:rsid w:val="000075F2"/>
    <w:rsid w:val="00016387"/>
    <w:rsid w:val="000274E4"/>
    <w:rsid w:val="00034A08"/>
    <w:rsid w:val="00062DBA"/>
    <w:rsid w:val="000733C7"/>
    <w:rsid w:val="00085AE1"/>
    <w:rsid w:val="00094BAD"/>
    <w:rsid w:val="000A2250"/>
    <w:rsid w:val="000A5C23"/>
    <w:rsid w:val="000A6A79"/>
    <w:rsid w:val="000B331B"/>
    <w:rsid w:val="000C04B0"/>
    <w:rsid w:val="000C3CF2"/>
    <w:rsid w:val="000D7583"/>
    <w:rsid w:val="00116EDD"/>
    <w:rsid w:val="00122CBB"/>
    <w:rsid w:val="00126D8C"/>
    <w:rsid w:val="001450EF"/>
    <w:rsid w:val="0016484D"/>
    <w:rsid w:val="00171719"/>
    <w:rsid w:val="0018712B"/>
    <w:rsid w:val="001A159A"/>
    <w:rsid w:val="001A1BA4"/>
    <w:rsid w:val="001C6E7B"/>
    <w:rsid w:val="001D3938"/>
    <w:rsid w:val="001F6E91"/>
    <w:rsid w:val="002033DB"/>
    <w:rsid w:val="00224053"/>
    <w:rsid w:val="00252CE5"/>
    <w:rsid w:val="00262D31"/>
    <w:rsid w:val="0026721E"/>
    <w:rsid w:val="00291D44"/>
    <w:rsid w:val="002B472B"/>
    <w:rsid w:val="002D0018"/>
    <w:rsid w:val="002E0FB9"/>
    <w:rsid w:val="002E29B0"/>
    <w:rsid w:val="002E62A6"/>
    <w:rsid w:val="0032364F"/>
    <w:rsid w:val="00334F0C"/>
    <w:rsid w:val="00337727"/>
    <w:rsid w:val="00350157"/>
    <w:rsid w:val="003C1EF6"/>
    <w:rsid w:val="003E0EE1"/>
    <w:rsid w:val="003E26B6"/>
    <w:rsid w:val="0040345D"/>
    <w:rsid w:val="00404178"/>
    <w:rsid w:val="00426115"/>
    <w:rsid w:val="004357D9"/>
    <w:rsid w:val="004405AA"/>
    <w:rsid w:val="00441C0F"/>
    <w:rsid w:val="00450283"/>
    <w:rsid w:val="00466642"/>
    <w:rsid w:val="004D1683"/>
    <w:rsid w:val="005128E4"/>
    <w:rsid w:val="00522C2B"/>
    <w:rsid w:val="005310E0"/>
    <w:rsid w:val="00545DB4"/>
    <w:rsid w:val="00547671"/>
    <w:rsid w:val="005855BB"/>
    <w:rsid w:val="005867AB"/>
    <w:rsid w:val="005A2115"/>
    <w:rsid w:val="005A4848"/>
    <w:rsid w:val="005B733A"/>
    <w:rsid w:val="005D63FA"/>
    <w:rsid w:val="005E2214"/>
    <w:rsid w:val="0060620F"/>
    <w:rsid w:val="00626C5A"/>
    <w:rsid w:val="00644626"/>
    <w:rsid w:val="006630C1"/>
    <w:rsid w:val="00670621"/>
    <w:rsid w:val="00696F39"/>
    <w:rsid w:val="006D1D11"/>
    <w:rsid w:val="0071222E"/>
    <w:rsid w:val="007168E5"/>
    <w:rsid w:val="0073220A"/>
    <w:rsid w:val="007447A6"/>
    <w:rsid w:val="00753094"/>
    <w:rsid w:val="00760D38"/>
    <w:rsid w:val="00794C4C"/>
    <w:rsid w:val="007D64C8"/>
    <w:rsid w:val="007E5CEB"/>
    <w:rsid w:val="008042F0"/>
    <w:rsid w:val="00810CD4"/>
    <w:rsid w:val="008305A8"/>
    <w:rsid w:val="00846BD1"/>
    <w:rsid w:val="008536E4"/>
    <w:rsid w:val="008632F1"/>
    <w:rsid w:val="00877DF4"/>
    <w:rsid w:val="008A1C64"/>
    <w:rsid w:val="008C50A0"/>
    <w:rsid w:val="008C5373"/>
    <w:rsid w:val="008D1AAD"/>
    <w:rsid w:val="008D6682"/>
    <w:rsid w:val="008F45B4"/>
    <w:rsid w:val="00900D8B"/>
    <w:rsid w:val="009156B1"/>
    <w:rsid w:val="0092324A"/>
    <w:rsid w:val="00925CC1"/>
    <w:rsid w:val="00954D79"/>
    <w:rsid w:val="00994432"/>
    <w:rsid w:val="00996683"/>
    <w:rsid w:val="009D0BF4"/>
    <w:rsid w:val="009E3DB3"/>
    <w:rsid w:val="009E5DA2"/>
    <w:rsid w:val="009F2F5C"/>
    <w:rsid w:val="00A03781"/>
    <w:rsid w:val="00A03B15"/>
    <w:rsid w:val="00A30E98"/>
    <w:rsid w:val="00A42C38"/>
    <w:rsid w:val="00A46F94"/>
    <w:rsid w:val="00A5401D"/>
    <w:rsid w:val="00AB4775"/>
    <w:rsid w:val="00AC7414"/>
    <w:rsid w:val="00AD16B3"/>
    <w:rsid w:val="00AF2C87"/>
    <w:rsid w:val="00AF5AB2"/>
    <w:rsid w:val="00B16DF1"/>
    <w:rsid w:val="00B81DEC"/>
    <w:rsid w:val="00B953FA"/>
    <w:rsid w:val="00BA1462"/>
    <w:rsid w:val="00C448FB"/>
    <w:rsid w:val="00C5722B"/>
    <w:rsid w:val="00C638D2"/>
    <w:rsid w:val="00C6396D"/>
    <w:rsid w:val="00C65183"/>
    <w:rsid w:val="00C767B7"/>
    <w:rsid w:val="00C9072B"/>
    <w:rsid w:val="00C93D85"/>
    <w:rsid w:val="00CA1539"/>
    <w:rsid w:val="00CA2B7C"/>
    <w:rsid w:val="00CA52C9"/>
    <w:rsid w:val="00CB1002"/>
    <w:rsid w:val="00CB7902"/>
    <w:rsid w:val="00CC0BA6"/>
    <w:rsid w:val="00CE3E6D"/>
    <w:rsid w:val="00CE4A17"/>
    <w:rsid w:val="00D046CD"/>
    <w:rsid w:val="00D22405"/>
    <w:rsid w:val="00D2434C"/>
    <w:rsid w:val="00D25011"/>
    <w:rsid w:val="00D63F7A"/>
    <w:rsid w:val="00D6401E"/>
    <w:rsid w:val="00D66AE9"/>
    <w:rsid w:val="00D85E5C"/>
    <w:rsid w:val="00DA0A91"/>
    <w:rsid w:val="00DA4A7D"/>
    <w:rsid w:val="00DB1FC6"/>
    <w:rsid w:val="00DC7BB5"/>
    <w:rsid w:val="00DE799E"/>
    <w:rsid w:val="00DF0C23"/>
    <w:rsid w:val="00DF7C0D"/>
    <w:rsid w:val="00E117E1"/>
    <w:rsid w:val="00E378EA"/>
    <w:rsid w:val="00E556F7"/>
    <w:rsid w:val="00E750BB"/>
    <w:rsid w:val="00E80D18"/>
    <w:rsid w:val="00EA1996"/>
    <w:rsid w:val="00EB5FB0"/>
    <w:rsid w:val="00EC7A1D"/>
    <w:rsid w:val="00ED5B68"/>
    <w:rsid w:val="00EE3EF5"/>
    <w:rsid w:val="00F100DA"/>
    <w:rsid w:val="00F10B55"/>
    <w:rsid w:val="00F20308"/>
    <w:rsid w:val="00F40274"/>
    <w:rsid w:val="00F4488D"/>
    <w:rsid w:val="00F45A17"/>
    <w:rsid w:val="00FA1558"/>
    <w:rsid w:val="00FD383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99529-9A1D-4199-A750-D4E2206B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DA0A91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A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num Char"/>
    <w:basedOn w:val="DefaultParagraphFont"/>
    <w:link w:val="Heading2"/>
    <w:rsid w:val="00DA0A9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aliases w:val="(Main Text),date,Body Text (Main text)"/>
    <w:basedOn w:val="Normal"/>
    <w:link w:val="BodyTextChar"/>
    <w:rsid w:val="00DA0A9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DA0A91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DA0A91"/>
    <w:pPr>
      <w:ind w:left="720"/>
    </w:pPr>
    <w:rPr>
      <w:rFonts w:eastAsia="Calibri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DA0A91"/>
    <w:rPr>
      <w:rFonts w:ascii="Times New Roman" w:eastAsia="Calibr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A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0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0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6971-5225-42A5-9136-27FD67E9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NARA</cp:lastModifiedBy>
  <cp:revision>3</cp:revision>
  <dcterms:created xsi:type="dcterms:W3CDTF">2024-03-04T06:34:00Z</dcterms:created>
  <dcterms:modified xsi:type="dcterms:W3CDTF">2024-03-04T06:40:00Z</dcterms:modified>
</cp:coreProperties>
</file>