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D6" w:rsidRDefault="005E75D6" w:rsidP="005E75D6">
      <w:pPr>
        <w:spacing w:after="300" w:line="240" w:lineRule="auto"/>
        <w:jc w:val="center"/>
        <w:outlineLvl w:val="0"/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</w:pPr>
      <w:r w:rsidRPr="005E75D6"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  <w:t xml:space="preserve">ՀԱՅՏԱՐԱՐՈՒԹՅՈՒՆ </w:t>
      </w:r>
    </w:p>
    <w:p w:rsidR="005E75D6" w:rsidRPr="005E75D6" w:rsidRDefault="005E75D6" w:rsidP="005E75D6">
      <w:pPr>
        <w:spacing w:after="300" w:line="240" w:lineRule="auto"/>
        <w:jc w:val="center"/>
        <w:outlineLvl w:val="0"/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</w:pPr>
      <w:r w:rsidRPr="005E75D6"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  <w:t xml:space="preserve">ՎԵՐԱՔՆՆԻՉ ԴԱՏԱՐԱՆՆԵՐՈՒՄ ԴԱՏԱՎՈՐ ՆՇԱՆԱԿՎԵԼՈՒ ՀԱՄԱՐ ԱՌԱՋԽԱՂԱՑՄԱՆ ԵՆԹԱԿԱ ԴԱՏԱՎՈՐՆԵՐԻ ԹԵԿՆԱԾՈՒՆԵՐԻ ՑՈՒՑԱԿԻ ՔՐԵԱԿԱՆ </w:t>
      </w:r>
      <w:r w:rsidRPr="005E75D6"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  <w:t xml:space="preserve">ԵՎ </w:t>
      </w:r>
      <w:r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  <w:lang w:val="ru-RU"/>
        </w:rPr>
        <w:t>ՎԱՐՉԱԿԱՆ</w:t>
      </w:r>
      <w:r w:rsidRPr="005E75D6"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  <w:t xml:space="preserve"> </w:t>
      </w:r>
      <w:r w:rsidRPr="005E75D6"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  <w:t>Մ</w:t>
      </w:r>
      <w:r w:rsidRPr="005E75D6">
        <w:rPr>
          <w:rFonts w:ascii="ArialAMU" w:eastAsia="Times New Roman" w:hAnsi="ArialAMU" w:cs="Times New Roman"/>
          <w:b/>
          <w:bCs/>
          <w:color w:val="333333"/>
          <w:kern w:val="36"/>
          <w:sz w:val="33"/>
          <w:szCs w:val="33"/>
        </w:rPr>
        <w:t>ԱՍՆԱԳԻՏԱՑՄԱՆ ԲԱԺԻՆՆԵՐԻ ՀԱՄԱԼՐՄԱՆ ԱՆՀՐԱԺԵՇՏՈՒԹՅԱՆ ՄԱՍԻՆ</w:t>
      </w:r>
    </w:p>
    <w:p w:rsidR="005E75D6" w:rsidRPr="005E75D6" w:rsidRDefault="005E75D6" w:rsidP="00AD1D66">
      <w:pPr>
        <w:spacing w:after="150" w:line="240" w:lineRule="auto"/>
        <w:ind w:firstLine="720"/>
        <w:rPr>
          <w:rFonts w:ascii="ArialAMU" w:eastAsia="Times New Roman" w:hAnsi="ArialAMU" w:cs="Times New Roman"/>
          <w:color w:val="40508F"/>
          <w:sz w:val="21"/>
          <w:szCs w:val="21"/>
          <w:lang w:val="ru-RU"/>
        </w:rPr>
      </w:pPr>
      <w:r w:rsidRPr="005E75D6">
        <w:rPr>
          <w:rFonts w:ascii="ArialAMU" w:eastAsia="Times New Roman" w:hAnsi="ArialAMU" w:cs="Times New Roman"/>
          <w:color w:val="40508F"/>
          <w:sz w:val="21"/>
          <w:szCs w:val="21"/>
        </w:rPr>
        <w:t>01</w:t>
      </w:r>
      <w:r>
        <w:rPr>
          <w:rFonts w:ascii="ArialAMU" w:eastAsia="Times New Roman" w:hAnsi="ArialAMU" w:cs="Times New Roman"/>
          <w:color w:val="40508F"/>
          <w:sz w:val="21"/>
          <w:szCs w:val="21"/>
        </w:rPr>
        <w:t>.0</w:t>
      </w:r>
      <w:r w:rsidRPr="005E75D6">
        <w:rPr>
          <w:rFonts w:ascii="ArialAMU" w:eastAsia="Times New Roman" w:hAnsi="ArialAMU" w:cs="Times New Roman"/>
          <w:color w:val="40508F"/>
          <w:sz w:val="21"/>
          <w:szCs w:val="21"/>
        </w:rPr>
        <w:t>4</w:t>
      </w:r>
      <w:r>
        <w:rPr>
          <w:rFonts w:ascii="ArialAMU" w:eastAsia="Times New Roman" w:hAnsi="ArialAMU" w:cs="Times New Roman"/>
          <w:color w:val="40508F"/>
          <w:sz w:val="21"/>
          <w:szCs w:val="21"/>
        </w:rPr>
        <w:t>.202</w:t>
      </w:r>
      <w:r w:rsidRPr="005E75D6">
        <w:rPr>
          <w:rFonts w:ascii="ArialAMU" w:eastAsia="Times New Roman" w:hAnsi="ArialAMU" w:cs="Times New Roman"/>
          <w:color w:val="40508F"/>
          <w:sz w:val="21"/>
          <w:szCs w:val="21"/>
        </w:rPr>
        <w:t>4</w:t>
      </w:r>
      <w:r w:rsidR="00AD1D66">
        <w:rPr>
          <w:rFonts w:ascii="ArialAMU" w:eastAsia="Times New Roman" w:hAnsi="ArialAMU" w:cs="Times New Roman"/>
          <w:color w:val="40508F"/>
          <w:sz w:val="21"/>
          <w:szCs w:val="21"/>
          <w:lang w:val="ru-RU"/>
        </w:rPr>
        <w:t>թ,</w:t>
      </w:r>
    </w:p>
    <w:p w:rsidR="006C4C46" w:rsidRDefault="005E75D6" w:rsidP="004A52AC">
      <w:pPr>
        <w:spacing w:after="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Հիմք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ընդունելով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Բարձրագույն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խորհրդի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20</w:t>
      </w:r>
      <w:r w:rsidR="001924A1">
        <w:rPr>
          <w:rFonts w:ascii="ArialAMU" w:eastAsia="Times New Roman" w:hAnsi="ArialAMU" w:cs="Times New Roman"/>
          <w:color w:val="333333"/>
          <w:sz w:val="24"/>
          <w:szCs w:val="24"/>
        </w:rPr>
        <w:t>2</w:t>
      </w:r>
      <w:r w:rsidR="001924A1" w:rsidRPr="001924A1">
        <w:rPr>
          <w:rFonts w:ascii="ArialAMU" w:eastAsia="Times New Roman" w:hAnsi="ArialAMU" w:cs="Times New Roman"/>
          <w:color w:val="333333"/>
          <w:sz w:val="24"/>
          <w:szCs w:val="24"/>
        </w:rPr>
        <w:t>4</w:t>
      </w:r>
      <w:r w:rsidR="001924A1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1924A1">
        <w:rPr>
          <w:rFonts w:ascii="ArialAMU" w:eastAsia="Times New Roman" w:hAnsi="ArialAMU" w:cs="Times New Roman"/>
          <w:color w:val="333333"/>
          <w:sz w:val="24"/>
          <w:szCs w:val="24"/>
        </w:rPr>
        <w:t>թվականի</w:t>
      </w:r>
      <w:proofErr w:type="spellEnd"/>
      <w:r w:rsidR="001924A1" w:rsidRPr="001924A1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1924A1">
        <w:rPr>
          <w:rFonts w:ascii="ArialAMU" w:eastAsia="Times New Roman" w:hAnsi="ArialAMU" w:cs="Times New Roman"/>
          <w:color w:val="333333"/>
          <w:sz w:val="24"/>
          <w:szCs w:val="24"/>
          <w:lang w:val="ru-RU"/>
        </w:rPr>
        <w:t>ապրիլի</w:t>
      </w:r>
      <w:proofErr w:type="spellEnd"/>
      <w:r w:rsidR="001924A1" w:rsidRPr="001924A1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</w:t>
      </w: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-ի «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Վերաքննիչ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դատարաններում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նշանակ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  <w:lang w:val="ru-RU"/>
        </w:rPr>
        <w:t>վ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առաջխաղացման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ենթակա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թեկն</w:t>
      </w:r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ածուների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ցուցակի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քրեական</w:t>
      </w:r>
      <w:proofErr w:type="spellEnd"/>
      <w:r w:rsidR="00220CED" w:rsidRP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r w:rsidR="00220CED">
        <w:rPr>
          <w:rFonts w:ascii="ArialAMU" w:eastAsia="Times New Roman" w:hAnsi="ArialAMU" w:cs="Times New Roman"/>
          <w:color w:val="333333"/>
          <w:sz w:val="24"/>
          <w:szCs w:val="24"/>
          <w:lang w:val="ru-RU"/>
        </w:rPr>
        <w:t>և</w:t>
      </w:r>
      <w:r w:rsidR="00220CED" w:rsidRP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220CED">
        <w:rPr>
          <w:rFonts w:ascii="ArialAMU" w:eastAsia="Times New Roman" w:hAnsi="ArialAMU" w:cs="Times New Roman"/>
          <w:color w:val="333333"/>
          <w:sz w:val="24"/>
          <w:szCs w:val="24"/>
          <w:lang w:val="ru-RU"/>
        </w:rPr>
        <w:t>վարչական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մասնագիտացման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բաժինների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համալրման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</w:t>
      </w:r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նհրաժեշտության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մասին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» </w:t>
      </w:r>
      <w:proofErr w:type="spellStart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թիվ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ԲԴԽ-</w:t>
      </w:r>
      <w:r w:rsidR="00220CED" w:rsidRPr="00220CED">
        <w:rPr>
          <w:rFonts w:ascii="ArialAMU" w:eastAsia="Times New Roman" w:hAnsi="ArialAMU" w:cs="Times New Roman"/>
          <w:color w:val="333333"/>
          <w:sz w:val="24"/>
          <w:szCs w:val="24"/>
        </w:rPr>
        <w:t>33</w:t>
      </w:r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-Ո-</w:t>
      </w:r>
      <w:r w:rsidR="00220CED" w:rsidRPr="00220CED">
        <w:rPr>
          <w:rFonts w:ascii="ArialAMU" w:eastAsia="Times New Roman" w:hAnsi="ArialAMU" w:cs="Times New Roman"/>
          <w:color w:val="333333"/>
          <w:sz w:val="24"/>
          <w:szCs w:val="24"/>
        </w:rPr>
        <w:t>81</w:t>
      </w: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որոշումը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անհրաժեշտություն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առաջացել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հրապարակել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առաջխաղացման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ենթակա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դատավորների</w:t>
      </w:r>
      <w:proofErr w:type="spellEnd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220CED">
        <w:rPr>
          <w:rFonts w:ascii="ArialAMU" w:eastAsia="Times New Roman" w:hAnsi="ArialAMU" w:cs="Times New Roman"/>
          <w:color w:val="333333"/>
          <w:sz w:val="24"/>
          <w:szCs w:val="24"/>
        </w:rPr>
        <w:t>թեկնածուների</w:t>
      </w:r>
      <w:proofErr w:type="spellEnd"/>
      <w:r w:rsidR="00220CED" w:rsidRP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ցուցակի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  <w:proofErr w:type="spellStart"/>
      <w:r w:rsidR="004B4735">
        <w:rPr>
          <w:rFonts w:ascii="ArialAMU" w:eastAsia="Times New Roman" w:hAnsi="ArialAMU" w:cs="Times New Roman"/>
          <w:b/>
          <w:bCs/>
          <w:color w:val="333333"/>
          <w:sz w:val="24"/>
          <w:szCs w:val="24"/>
          <w:lang w:val="ru-RU"/>
        </w:rPr>
        <w:t>քրեական</w:t>
      </w:r>
      <w:proofErr w:type="spellEnd"/>
      <w:r w:rsidR="004B4735" w:rsidRPr="004B4735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r w:rsidR="00220CED">
        <w:rPr>
          <w:rFonts w:ascii="ArialAMU" w:eastAsia="Times New Roman" w:hAnsi="ArialAMU" w:cs="Times New Roman"/>
          <w:color w:val="333333"/>
          <w:sz w:val="24"/>
          <w:szCs w:val="24"/>
          <w:lang w:val="ru-RU"/>
        </w:rPr>
        <w:t>և</w:t>
      </w:r>
      <w:r w:rsidR="00220CED" w:rsidRPr="00220CED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4B4735">
        <w:rPr>
          <w:rFonts w:ascii="ArialAMU" w:eastAsia="Times New Roman" w:hAnsi="ArialAMU" w:cs="Times New Roman"/>
          <w:b/>
          <w:color w:val="333333"/>
          <w:sz w:val="24"/>
          <w:szCs w:val="24"/>
          <w:lang w:val="ru-RU"/>
        </w:rPr>
        <w:t>վարչական</w:t>
      </w:r>
      <w:proofErr w:type="spellEnd"/>
      <w:r w:rsidR="004B4735" w:rsidRPr="004B4735">
        <w:rPr>
          <w:rFonts w:ascii="ArialAMU" w:eastAsia="Times New Roman" w:hAnsi="ArialAMU" w:cs="Times New Roman"/>
          <w:b/>
          <w:color w:val="333333"/>
          <w:sz w:val="24"/>
          <w:szCs w:val="24"/>
        </w:rPr>
        <w:t xml:space="preserve"> </w:t>
      </w:r>
      <w:r w:rsidR="00220CED" w:rsidRPr="00220CED">
        <w:rPr>
          <w:rFonts w:ascii="ArialAMU" w:eastAsia="Times New Roman" w:hAnsi="ArialAMU" w:cs="Times New Roman"/>
          <w:b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մասնագիտացման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բաժիններն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առանց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համալրման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ենթակա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տեղերի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քանակի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սահմանափակման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համալրելու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վերաբերյալ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հայտարարություն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:</w:t>
      </w:r>
    </w:p>
    <w:p w:rsidR="005E75D6" w:rsidRPr="005E75D6" w:rsidRDefault="005E75D6" w:rsidP="004A52AC">
      <w:pPr>
        <w:spacing w:after="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«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Հայաստանի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Հանրապետության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օրենսգիրք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»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սահմանադրական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(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այսուհետ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) 123-րդ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6-րդ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համաձայն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վերաքննիչ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դատարաններում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նշանակվելու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առաջխաղացման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ենթակա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թեկնածուների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ցուցակում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կարող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ընդգրկվել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`</w:t>
      </w:r>
    </w:p>
    <w:p w:rsidR="005E75D6" w:rsidRPr="005E75D6" w:rsidRDefault="005E75D6" w:rsidP="004A52AC">
      <w:pPr>
        <w:spacing w:after="15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1)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համապատասխան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մասնագիտացման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ատյանի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պաշտոնում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առնվազն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երեք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տարվա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մասնագիտական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աշխատանքի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փորձառություն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ունեցող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չունի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կարգապահական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տույժ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`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նկատողության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խիստ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նկատողության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ձևով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.</w:t>
      </w:r>
    </w:p>
    <w:p w:rsidR="005E75D6" w:rsidRPr="005E75D6" w:rsidRDefault="005E75D6" w:rsidP="004A52AC">
      <w:pPr>
        <w:spacing w:after="15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2)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վերջին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10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տարվա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ընթացքում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պաշտոնավարած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նախկին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որն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առնվազն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հինգ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տարվա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փորձառություն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.</w:t>
      </w:r>
    </w:p>
    <w:p w:rsidR="005E75D6" w:rsidRPr="005E75D6" w:rsidRDefault="005E75D6" w:rsidP="004A52AC">
      <w:pPr>
        <w:spacing w:after="15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3)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՝</w:t>
      </w:r>
    </w:p>
    <w:p w:rsidR="005E75D6" w:rsidRPr="005E75D6" w:rsidRDefault="005E75D6" w:rsidP="004A52AC">
      <w:pPr>
        <w:spacing w:after="15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ա)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իրավագիտության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բնագավառում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գիտական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աստիճան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և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վերջին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ութ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տարիների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ընթացքում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առնվազն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վեց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բարձրագույն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ուսումնական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հաստատությունում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դասավանդել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իրավունք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գիտական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աշխատանք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կատարել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գիտական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հաստատությունում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կամ</w:t>
      </w:r>
      <w:proofErr w:type="spellEnd"/>
    </w:p>
    <w:p w:rsidR="005E75D6" w:rsidRPr="005E75D6" w:rsidRDefault="005E75D6" w:rsidP="004A52AC">
      <w:pPr>
        <w:spacing w:after="15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բ)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վերջին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10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տարվա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ընթացքում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մասնագիտական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աշխատանքի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առնվազն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8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տարվա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փորձառություն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իսկ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7-րդ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համաձայն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՝  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6-րդ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2-րդ և 3-րդ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կետերում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իրավունք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ընդգրկվելու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վերաքննիչ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դատարաններում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նշանակվելու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առաջխաղացման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ենթակա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թեկնածուների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ցուցակում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եթե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բավարարում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օրենսգրքի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97-րդ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1-ին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սահմանված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պահանջները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ինչպես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նաև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6-րդ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դեպքում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նրա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լիազորությունները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չեն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դադարեցվել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կարգապահական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խախտում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թույլ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տալու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նրա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լիազորությունները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չեն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դադարել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նրա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նկատմամբ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կայացված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մեղադրական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դատավճիռն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օրինական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ուժի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մեջ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մտնելու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քրեական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հետապնդումը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ոչ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արդարացնող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հիմքով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դադարեցվելու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հիմքով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:</w:t>
      </w:r>
    </w:p>
    <w:p w:rsidR="005E75D6" w:rsidRPr="005E75D6" w:rsidRDefault="005E75D6" w:rsidP="004A52AC">
      <w:pPr>
        <w:spacing w:after="15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lastRenderedPageBreak/>
        <w:t>Նույն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8-րդ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8.1-րդ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համաձայն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 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6-րդ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1-ին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դիմումին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կցում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բարեվարքության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վերաբերյալ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լրացված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հարցաթերթիկը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իսկ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9-րդ և 10-րդ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համաձայն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6-րդ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դիմումին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կցում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օրենսգրքի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98-րդ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նախատեսված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փաստաթղթերը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իսկ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Սահմանադրական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և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Հայաստանի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Հանրապետության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մասնակցությամբ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գործող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միջազգային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պաշտոնում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պաշտոնավարած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նաև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պաշտոնում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նախկինում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աշխատած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լինելու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վերաբերյալ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փաստաթղթերը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: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6-րդ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3-րդ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անձինք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դիմումին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կցում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օրենսգրքի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98-րդ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նախատեսված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փաստաթղթերը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իսկ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3-րդ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«ա»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ենթակետում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նաև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գիտական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աստիճանի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առկայությունը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հավաստող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փաստաթուղթը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ինչպես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նաև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գիտական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աշխատությունների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և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հրապարակումների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ցանկը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:</w:t>
      </w:r>
    </w:p>
    <w:p w:rsidR="005E75D6" w:rsidRPr="005E75D6" w:rsidRDefault="005E75D6" w:rsidP="004A52AC">
      <w:pPr>
        <w:spacing w:after="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Միաժամանակ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տեղեկացվում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123-րդ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12-րդ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համաձայն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6-րդ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2-րդ և 3-րդ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կետերում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անձինք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ունեն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վերաքննիչ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դատարաններում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նշանակվելու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առաջխաղացման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ենթակա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թեկնածուների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ցուցակում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ընդգրկվելու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իրավունք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անկախ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ատյանի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թեկնածուների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ցուցակում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ընդգրկված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լինելու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հանգամանքից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ինչպես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նաև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տեղեկացվում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որ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Օրենքի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124-րդ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հոդվածի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2-րդ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մասի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համաձայն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Բարձրագույն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խորհուրդն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առաջխաղացման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ենթակա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թեկնածուների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ցուցակը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կազմելիս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հաշվի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է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առնում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վերաքննիչ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դատարանի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դատավորի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պաշտոնում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արդյունավետ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գործելու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համար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անհրաժեշտ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հմտություններն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ու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որակները</w:t>
      </w:r>
      <w:bookmarkStart w:id="0" w:name="_GoBack"/>
      <w:bookmarkEnd w:id="0"/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թեկնածուի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վերաբերյալ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Կոռուպցիայի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կանխարգելման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հանձնաժողովի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տրամադրած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՝ 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բարեվարքության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վերաբերյալ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խորհրդատվական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եզրակացությունը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իսկ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դատավորի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համար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նաև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գործունեության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գնահատման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արդյունքները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:</w:t>
      </w:r>
    </w:p>
    <w:p w:rsidR="005E75D6" w:rsidRPr="005E75D6" w:rsidRDefault="005E75D6" w:rsidP="004A52AC">
      <w:pPr>
        <w:spacing w:after="0" w:line="240" w:lineRule="auto"/>
        <w:ind w:firstLine="720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Վերը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նշված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չափորոշիչներին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համապատասխանող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անձինք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կարող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են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սահմանված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կարգով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իրենց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փաստաթղթերը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ներկայացնել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Դատական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դեպարտամենտ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(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հասցե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՝ ք.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Երևան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Կորյունի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17,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հեռ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. (010) 511 816, 511 </w:t>
      </w:r>
      <w:proofErr w:type="gram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819</w:t>
      </w: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)՝</w:t>
      </w:r>
      <w:proofErr w:type="gram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սույն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հայտարարության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հրապարակումից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հետո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="007B58E6">
        <w:rPr>
          <w:rFonts w:ascii="ArialAMU" w:eastAsia="Times New Roman" w:hAnsi="ArialAMU" w:cs="Times New Roman"/>
          <w:color w:val="333333"/>
          <w:sz w:val="24"/>
          <w:szCs w:val="24"/>
          <w:lang w:val="ru-RU"/>
        </w:rPr>
        <w:t>մեկամսյա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ժամկետում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 xml:space="preserve">՝ </w:t>
      </w:r>
      <w:proofErr w:type="spellStart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մինչև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202</w:t>
      </w:r>
      <w:r w:rsidR="00757F31" w:rsidRPr="000D2BE9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4</w:t>
      </w:r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թվականի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7B58E6">
        <w:rPr>
          <w:rFonts w:ascii="ArialAMU" w:eastAsia="Times New Roman" w:hAnsi="ArialAMU" w:cs="Times New Roman"/>
          <w:b/>
          <w:bCs/>
          <w:color w:val="333333"/>
          <w:sz w:val="24"/>
          <w:szCs w:val="24"/>
          <w:lang w:val="ru-RU"/>
        </w:rPr>
        <w:t>մայիսի</w:t>
      </w:r>
      <w:proofErr w:type="spellEnd"/>
      <w:r w:rsidR="007B58E6" w:rsidRPr="007B58E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r w:rsidR="00AD1D66" w:rsidRPr="00AD1D6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2</w:t>
      </w:r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-ը 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ներառյալ</w:t>
      </w:r>
      <w:proofErr w:type="spellEnd"/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:</w:t>
      </w:r>
    </w:p>
    <w:p w:rsidR="005E75D6" w:rsidRPr="005E75D6" w:rsidRDefault="005E75D6" w:rsidP="004A52AC">
      <w:pPr>
        <w:spacing w:after="150" w:line="240" w:lineRule="auto"/>
        <w:jc w:val="both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</w:p>
    <w:p w:rsidR="005E75D6" w:rsidRPr="005E75D6" w:rsidRDefault="005E75D6" w:rsidP="005E75D6">
      <w:pPr>
        <w:spacing w:after="150" w:line="240" w:lineRule="auto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</w:p>
    <w:p w:rsidR="005E75D6" w:rsidRPr="005E75D6" w:rsidRDefault="005E75D6" w:rsidP="005E75D6">
      <w:pPr>
        <w:spacing w:after="0" w:line="240" w:lineRule="auto"/>
        <w:rPr>
          <w:rFonts w:ascii="ArialAMU" w:eastAsia="Times New Roman" w:hAnsi="ArialAMU" w:cs="Times New Roman"/>
          <w:color w:val="333333"/>
          <w:sz w:val="24"/>
          <w:szCs w:val="24"/>
        </w:rPr>
      </w:pP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Բարձրագույն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դատական</w:t>
      </w:r>
      <w:proofErr w:type="spellEnd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75D6">
        <w:rPr>
          <w:rFonts w:ascii="ArialAMU" w:eastAsia="Times New Roman" w:hAnsi="ArialAMU" w:cs="Times New Roman"/>
          <w:b/>
          <w:bCs/>
          <w:color w:val="333333"/>
          <w:sz w:val="24"/>
          <w:szCs w:val="24"/>
        </w:rPr>
        <w:t>խորհուրդ</w:t>
      </w:r>
      <w:proofErr w:type="spellEnd"/>
    </w:p>
    <w:p w:rsidR="005E75D6" w:rsidRPr="005E75D6" w:rsidRDefault="005E75D6" w:rsidP="005E75D6">
      <w:pPr>
        <w:spacing w:after="150" w:line="240" w:lineRule="auto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</w:p>
    <w:p w:rsidR="005E75D6" w:rsidRPr="005E75D6" w:rsidRDefault="005E75D6" w:rsidP="005E75D6">
      <w:pPr>
        <w:spacing w:line="240" w:lineRule="auto"/>
        <w:rPr>
          <w:rFonts w:ascii="ArialAMU" w:eastAsia="Times New Roman" w:hAnsi="ArialAMU" w:cs="Times New Roman"/>
          <w:color w:val="333333"/>
          <w:sz w:val="24"/>
          <w:szCs w:val="24"/>
        </w:rPr>
      </w:pPr>
      <w:r w:rsidRPr="005E75D6">
        <w:rPr>
          <w:rFonts w:ascii="ArialAMU" w:eastAsia="Times New Roman" w:hAnsi="ArialAMU" w:cs="Times New Roman"/>
          <w:color w:val="333333"/>
          <w:sz w:val="24"/>
          <w:szCs w:val="24"/>
        </w:rPr>
        <w:t> </w:t>
      </w:r>
    </w:p>
    <w:p w:rsidR="003A385E" w:rsidRDefault="003A385E"/>
    <w:sectPr w:rsidR="003A385E" w:rsidSect="0011291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AM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A2"/>
    <w:rsid w:val="000D2BE9"/>
    <w:rsid w:val="0011291B"/>
    <w:rsid w:val="001924A1"/>
    <w:rsid w:val="00220CED"/>
    <w:rsid w:val="003A385E"/>
    <w:rsid w:val="004A52AC"/>
    <w:rsid w:val="004B4735"/>
    <w:rsid w:val="005E75D6"/>
    <w:rsid w:val="006C4C46"/>
    <w:rsid w:val="00757F31"/>
    <w:rsid w:val="007B58E6"/>
    <w:rsid w:val="00AD1D66"/>
    <w:rsid w:val="00EF0D67"/>
    <w:rsid w:val="00F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58B8"/>
  <w15:chartTrackingRefBased/>
  <w15:docId w15:val="{12D62ACA-A18E-4A58-B84F-4B6EFD5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-news-date">
    <w:name w:val="content-news-date"/>
    <w:basedOn w:val="a"/>
    <w:rsid w:val="005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Serobyan</dc:creator>
  <cp:keywords/>
  <dc:description/>
  <cp:lastModifiedBy>Lilit Serobyan</cp:lastModifiedBy>
  <cp:revision>3</cp:revision>
  <dcterms:created xsi:type="dcterms:W3CDTF">2024-04-01T12:56:00Z</dcterms:created>
  <dcterms:modified xsi:type="dcterms:W3CDTF">2024-04-01T13:30:00Z</dcterms:modified>
</cp:coreProperties>
</file>