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D2" w:rsidRPr="007C3C7A" w:rsidRDefault="007C3C7A" w:rsidP="007C3C7A">
      <w:pPr>
        <w:jc w:val="center"/>
        <w:rPr>
          <w:rFonts w:ascii="Sylfaen" w:hAnsi="Sylfaen"/>
          <w:b/>
          <w:noProof/>
          <w:sz w:val="20"/>
          <w:szCs w:val="20"/>
        </w:rPr>
      </w:pPr>
      <w:r w:rsidRPr="007C3C7A">
        <w:rPr>
          <w:rFonts w:ascii="Sylfaen" w:hAnsi="Sylfaen"/>
          <w:b/>
          <w:noProof/>
          <w:sz w:val="20"/>
          <w:szCs w:val="20"/>
        </w:rPr>
        <w:t>ՎԱՐՉԱԿԱՆ ԻՐԱՎԱԽԱԽՏՈՒՄՆԵՐԻ ՎԵՐԱԲԵՐՅԱԼ ՀԱՅԱՍՏԱՆԻ ՀԱՆՐԱՊԵՏՈՒԹՅԱՆ ՕՐԵՆՍԳԻՐՔ</w:t>
      </w:r>
    </w:p>
    <w:p w:rsidR="007C3C7A" w:rsidRPr="007C3C7A" w:rsidRDefault="007C3C7A" w:rsidP="007C3C7A">
      <w:pPr>
        <w:jc w:val="center"/>
        <w:rPr>
          <w:rFonts w:ascii="Sylfaen" w:hAnsi="Sylfaen"/>
          <w:b/>
          <w:noProof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040"/>
      </w:tblGrid>
      <w:tr w:rsidR="007C3C7A" w:rsidRPr="007C3C7A" w:rsidTr="007C3C7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7C3C7A" w:rsidRPr="007C3C7A" w:rsidRDefault="007C3C7A" w:rsidP="007C3C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eastAsia="ru-RU"/>
              </w:rPr>
            </w:pPr>
            <w:r w:rsidRPr="007C3C7A">
              <w:rPr>
                <w:rFonts w:ascii="Sylfaen" w:eastAsia="Times New Roman" w:hAnsi="Sylfae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t>Հոդված 189</w:t>
            </w:r>
            <w:r w:rsidRPr="007C3C7A">
              <w:rPr>
                <w:rFonts w:ascii="Sylfaen" w:eastAsia="Times New Roman" w:hAnsi="Sylfaen" w:cs="Times New Roman"/>
                <w:b/>
                <w:bCs/>
                <w:noProof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7C3C7A">
              <w:rPr>
                <w:rFonts w:ascii="Sylfaen" w:eastAsia="Times New Roman" w:hAnsi="Sylfae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C7A" w:rsidRPr="007C3C7A" w:rsidRDefault="007C3C7A" w:rsidP="007C3C7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eastAsia="ru-RU"/>
              </w:rPr>
            </w:pPr>
            <w:r w:rsidRPr="007C3C7A">
              <w:rPr>
                <w:rFonts w:ascii="Sylfaen" w:eastAsia="Times New Roman" w:hAnsi="Sylfae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t>Հայաստանի Հանրապետության պետական մարմինների, ձեռնարկությունների, հիմնարկների և կազմակերպությունների (անկախ սեփականության ձևից) գործավարությունը ոչ հայերեն վարելը, ցուցանակները, ձևաթղթերը, դրոշմանիշները, նամականիշները, կնիքները, միջազգային փոստային ծրարները և գովազդները ոչ հայերեն ձևավորելը, գովազդի ընդհանուր պահանջները խախտելը</w:t>
            </w:r>
          </w:p>
        </w:tc>
      </w:tr>
    </w:tbl>
    <w:p w:rsidR="007C3C7A" w:rsidRPr="007C3C7A" w:rsidRDefault="007C3C7A" w:rsidP="007C3C7A">
      <w:pPr>
        <w:spacing w:after="0" w:line="240" w:lineRule="auto"/>
        <w:rPr>
          <w:rFonts w:ascii="Sylfaen" w:eastAsia="Times New Roman" w:hAnsi="Sylfaen" w:cs="Times New Roman"/>
          <w:noProof/>
          <w:sz w:val="24"/>
          <w:szCs w:val="24"/>
          <w:lang w:eastAsia="ru-RU"/>
        </w:rPr>
      </w:pPr>
      <w:r w:rsidRPr="007C3C7A">
        <w:rPr>
          <w:rFonts w:ascii="Sylfaen" w:eastAsia="Times New Roman" w:hAnsi="Sylfaen" w:cs="Times New Roman"/>
          <w:b/>
          <w:bCs/>
          <w:i/>
          <w:iCs/>
          <w:noProof/>
          <w:color w:val="000000"/>
          <w:sz w:val="21"/>
          <w:szCs w:val="21"/>
          <w:shd w:val="clear" w:color="auto" w:fill="FFFFFF"/>
          <w:lang w:eastAsia="ru-RU"/>
        </w:rPr>
        <w:t>(վերնագիրը լրաց. 23.05.11 ՀՕ-163-Ն)</w:t>
      </w:r>
    </w:p>
    <w:p w:rsidR="007C3C7A" w:rsidRPr="007C3C7A" w:rsidRDefault="007C3C7A" w:rsidP="007C3C7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</w:pPr>
      <w:r w:rsidRPr="007C3C7A"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  <w:t> </w:t>
      </w:r>
    </w:p>
    <w:p w:rsidR="007C3C7A" w:rsidRPr="007C3C7A" w:rsidRDefault="007C3C7A" w:rsidP="007C3C7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</w:pPr>
      <w:r w:rsidRPr="007C3C7A"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  <w:t>Հայաստանի Հանրապետության պետական մարմինների, ձեռնարկությունների, հիմնարկների և կազմակերպությունների (անկախ սեփականության ձևից) գործավարությունը ոչ հայերեն վարելը, ցուցանակները, ձևաթղթերը, դրոշմանիշները, նամականիշները, կնիքները, միջազգային փոստային ծրարները և գովազդները ոչ հայերեն ձևավորելը, գովազդի ընդհանուր պահանջները խախտելը`</w:t>
      </w:r>
    </w:p>
    <w:p w:rsidR="007C3C7A" w:rsidRPr="007C3C7A" w:rsidRDefault="007C3C7A" w:rsidP="007C3C7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</w:pPr>
      <w:r w:rsidRPr="007C3C7A"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  <w:t>առաջացնում է տուգանքի նշանակում` քաղաքացիների նկատմամբ` սահմանված նվազագույն աշխատավարձի երկուհարյուրապատիկից մինչև երկուհարյուրհիսնապատիկի չափով, իսկ պաշտոնատար անձանց նկատմամբ` երկուհարյուրհիսնապատիկից մինչև երեքհարյուրապատիկի չափով:</w:t>
      </w:r>
    </w:p>
    <w:p w:rsidR="007C3C7A" w:rsidRPr="007C3C7A" w:rsidRDefault="007C3C7A" w:rsidP="007C3C7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</w:pPr>
      <w:r w:rsidRPr="007C3C7A"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  <w:t>Նույն խախտումը, որը կատարվել է կրկին անգամ` վարչական տույժի միջոցներ կիրառելուց հետո մեկ տարվա ընթացքում`</w:t>
      </w:r>
    </w:p>
    <w:p w:rsidR="007C3C7A" w:rsidRPr="007C3C7A" w:rsidRDefault="007C3C7A" w:rsidP="007C3C7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</w:pPr>
      <w:r w:rsidRPr="007C3C7A"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  <w:t>առաջացնում է տուգանքի նշանակում` քաղաքացիների նկատմամբ` սահմանված նվազագույն աշխատավարձի երկուհարյուրհիսնապատիկից մինչև երեքհարյուրհիսնապատիկի չափով, իսկ պաշտոնատար անձանց նկատմամբ` երեքհարյուրապատիկից մինչև չորսհարյուրապատիկի չափով:</w:t>
      </w:r>
    </w:p>
    <w:p w:rsidR="007C3C7A" w:rsidRPr="007C3C7A" w:rsidRDefault="007C3C7A" w:rsidP="007C3C7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</w:pPr>
      <w:r w:rsidRPr="007C3C7A">
        <w:rPr>
          <w:rFonts w:ascii="Sylfaen" w:eastAsia="Times New Roman" w:hAnsi="Sylfaen" w:cs="Times New Roman"/>
          <w:b/>
          <w:bCs/>
          <w:i/>
          <w:iCs/>
          <w:noProof/>
          <w:color w:val="000000"/>
          <w:sz w:val="21"/>
          <w:szCs w:val="21"/>
          <w:lang w:eastAsia="ru-RU"/>
        </w:rPr>
        <w:t>(189</w:t>
      </w:r>
      <w:r w:rsidRPr="007C3C7A">
        <w:rPr>
          <w:rFonts w:ascii="Sylfaen" w:eastAsia="Times New Roman" w:hAnsi="Sylfaen" w:cs="Times New Roman"/>
          <w:b/>
          <w:bCs/>
          <w:i/>
          <w:iCs/>
          <w:noProof/>
          <w:color w:val="000000"/>
          <w:sz w:val="15"/>
          <w:szCs w:val="15"/>
          <w:vertAlign w:val="superscript"/>
          <w:lang w:eastAsia="ru-RU"/>
        </w:rPr>
        <w:t>3 </w:t>
      </w:r>
      <w:r w:rsidRPr="007C3C7A">
        <w:rPr>
          <w:rFonts w:ascii="Sylfaen" w:eastAsia="Times New Roman" w:hAnsi="Sylfaen" w:cs="Times New Roman"/>
          <w:b/>
          <w:bCs/>
          <w:i/>
          <w:iCs/>
          <w:noProof/>
          <w:color w:val="000000"/>
          <w:sz w:val="21"/>
          <w:szCs w:val="21"/>
          <w:lang w:eastAsia="ru-RU"/>
        </w:rPr>
        <w:t>- րդ հոդվածը լրաց. 02.12.97 ՀՕ-162, փոփ. 16.03.04 ՀՕ-58-Ն, լրաց., փոփ.  23.05.11 ՀՕ-163-Ն)</w:t>
      </w:r>
    </w:p>
    <w:p w:rsidR="007C3C7A" w:rsidRDefault="007C3C7A" w:rsidP="007C3C7A">
      <w:pPr>
        <w:jc w:val="center"/>
        <w:rPr>
          <w:rFonts w:ascii="Sylfaen" w:hAnsi="Sylfaen"/>
          <w:b/>
          <w:noProof/>
          <w:sz w:val="20"/>
          <w:szCs w:val="20"/>
        </w:rPr>
      </w:pPr>
    </w:p>
    <w:p w:rsidR="001257D2" w:rsidRDefault="001257D2" w:rsidP="007C3C7A">
      <w:pPr>
        <w:jc w:val="center"/>
        <w:rPr>
          <w:rFonts w:ascii="Sylfaen" w:hAnsi="Sylfaen"/>
          <w:b/>
          <w:noProof/>
          <w:sz w:val="20"/>
          <w:szCs w:val="20"/>
        </w:rPr>
      </w:pPr>
    </w:p>
    <w:p w:rsidR="007C3C7A" w:rsidRPr="007C3C7A" w:rsidRDefault="007C3C7A" w:rsidP="007C3C7A">
      <w:pPr>
        <w:jc w:val="center"/>
        <w:rPr>
          <w:rFonts w:ascii="Sylfaen" w:hAnsi="Sylfaen"/>
          <w:b/>
          <w:noProof/>
          <w:sz w:val="20"/>
          <w:szCs w:val="20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040"/>
      </w:tblGrid>
      <w:tr w:rsidR="007C3C7A" w:rsidRPr="007C3C7A" w:rsidTr="007C3C7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7C3C7A" w:rsidRPr="007C3C7A" w:rsidRDefault="007C3C7A" w:rsidP="007C3C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eastAsia="ru-RU"/>
              </w:rPr>
            </w:pPr>
            <w:r w:rsidRPr="007C3C7A">
              <w:rPr>
                <w:rFonts w:ascii="Sylfaen" w:eastAsia="Times New Roman" w:hAnsi="Sylfae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t>Հոդված 267.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3C7A" w:rsidRPr="007C3C7A" w:rsidRDefault="007C3C7A" w:rsidP="007C3C7A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eastAsia="ru-RU"/>
              </w:rPr>
            </w:pPr>
            <w:r w:rsidRPr="007C3C7A">
              <w:rPr>
                <w:rFonts w:ascii="Sylfaen" w:eastAsia="Times New Roman" w:hAnsi="Sylfaen" w:cs="Times New Roman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t>Վարչական պատասխանատվության ենթարկվող անձի իրավունքներն ու պարտականությունները</w:t>
            </w:r>
          </w:p>
        </w:tc>
      </w:tr>
    </w:tbl>
    <w:p w:rsidR="007C3C7A" w:rsidRPr="007C3C7A" w:rsidRDefault="007C3C7A" w:rsidP="007C3C7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</w:pPr>
      <w:r w:rsidRPr="007C3C7A"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:rsidR="007C3C7A" w:rsidRPr="007C3C7A" w:rsidRDefault="007C3C7A" w:rsidP="007C3C7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</w:pPr>
      <w:r w:rsidRPr="007C3C7A"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  <w:t>Սույն օրենսգրքի 40</w:t>
      </w:r>
      <w:r w:rsidRPr="007C3C7A">
        <w:rPr>
          <w:rFonts w:ascii="Sylfaen" w:eastAsia="Times New Roman" w:hAnsi="Sylfaen" w:cs="Times New Roman"/>
          <w:noProof/>
          <w:color w:val="000000"/>
          <w:sz w:val="15"/>
          <w:szCs w:val="15"/>
          <w:vertAlign w:val="superscript"/>
          <w:lang w:eastAsia="ru-RU"/>
        </w:rPr>
        <w:t>1</w:t>
      </w:r>
      <w:r w:rsidRPr="007C3C7A">
        <w:rPr>
          <w:rFonts w:ascii="Sylfaen" w:eastAsia="Times New Roman" w:hAnsi="Sylfaen" w:cs="Times New Roman"/>
          <w:noProof/>
          <w:color w:val="000000"/>
          <w:sz w:val="15"/>
          <w:szCs w:val="15"/>
          <w:lang w:eastAsia="ru-RU"/>
        </w:rPr>
        <w:t> </w:t>
      </w:r>
      <w:r w:rsidRPr="007C3C7A"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  <w:t>-40</w:t>
      </w:r>
      <w:r w:rsidRPr="007C3C7A">
        <w:rPr>
          <w:rFonts w:ascii="Sylfaen" w:eastAsia="Times New Roman" w:hAnsi="Sylfaen" w:cs="Times New Roman"/>
          <w:noProof/>
          <w:color w:val="000000"/>
          <w:sz w:val="15"/>
          <w:szCs w:val="15"/>
          <w:vertAlign w:val="superscript"/>
          <w:lang w:eastAsia="ru-RU"/>
        </w:rPr>
        <w:t>4</w:t>
      </w:r>
      <w:r w:rsidRPr="007C3C7A"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  <w:t>, 40</w:t>
      </w:r>
      <w:r w:rsidRPr="007C3C7A">
        <w:rPr>
          <w:rFonts w:ascii="Sylfaen" w:eastAsia="Times New Roman" w:hAnsi="Sylfaen" w:cs="Times New Roman"/>
          <w:noProof/>
          <w:color w:val="000000"/>
          <w:sz w:val="15"/>
          <w:szCs w:val="15"/>
          <w:vertAlign w:val="superscript"/>
          <w:lang w:eastAsia="ru-RU"/>
        </w:rPr>
        <w:t>6</w:t>
      </w:r>
      <w:r w:rsidRPr="007C3C7A">
        <w:rPr>
          <w:rFonts w:ascii="Sylfaen" w:eastAsia="Times New Roman" w:hAnsi="Sylfaen" w:cs="Times New Roman"/>
          <w:noProof/>
          <w:color w:val="000000"/>
          <w:sz w:val="15"/>
          <w:szCs w:val="15"/>
          <w:lang w:eastAsia="ru-RU"/>
        </w:rPr>
        <w:t> </w:t>
      </w:r>
      <w:r w:rsidRPr="007C3C7A"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  <w:t>-40</w:t>
      </w:r>
      <w:r w:rsidRPr="007C3C7A">
        <w:rPr>
          <w:rFonts w:ascii="Sylfaen" w:eastAsia="Times New Roman" w:hAnsi="Sylfaen" w:cs="Times New Roman"/>
          <w:noProof/>
          <w:color w:val="000000"/>
          <w:sz w:val="15"/>
          <w:szCs w:val="15"/>
          <w:vertAlign w:val="superscript"/>
          <w:lang w:eastAsia="ru-RU"/>
        </w:rPr>
        <w:t>12</w:t>
      </w:r>
      <w:r w:rsidRPr="007C3C7A"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  <w:t>, 53, 147 հոդվածի երկրորդ մասով, 172 հոդվածներով, 175 հոդվածի երրորդ մասով, 182 և 185 հոդվածներով նախատեսված վարչական իրավախախտումների վերաբերյալ գործեր քննելիս վարչական պատասխանատվության ենթարկվող անձի ներկայությունը պարտադիր է: Ոստիկանության կամ ժողովրդական դատավորի կանչով ներկայանալուց խուսափելու դեպքում այդ անձը կարող է ոստիկանության կողմից բերման ենթարկվել:</w:t>
      </w:r>
    </w:p>
    <w:p w:rsidR="007C3C7A" w:rsidRPr="007C3C7A" w:rsidRDefault="007C3C7A" w:rsidP="007C3C7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</w:pPr>
      <w:r w:rsidRPr="007C3C7A"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  <w:t>ԽՍՀ Միության և Հայաստանի Հանրապետության օրենսդրությամբ կարող են նախատեսվել նաև այլ դեպքեր, երբ վարչական պատասխանատվության ենթարկվող անձի ներկայանալը գործը լուծող մարմնին (պաշտոնատար անձին) պարտադիր է:</w:t>
      </w:r>
    </w:p>
    <w:p w:rsidR="007C3C7A" w:rsidRPr="007C3C7A" w:rsidRDefault="007C3C7A" w:rsidP="007C3C7A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eastAsia="ru-RU"/>
        </w:rPr>
      </w:pPr>
      <w:r w:rsidRPr="007C3C7A">
        <w:rPr>
          <w:rFonts w:ascii="Sylfaen" w:eastAsia="Times New Roman" w:hAnsi="Sylfaen" w:cs="Times New Roman"/>
          <w:noProof/>
          <w:color w:val="0000FF"/>
          <w:sz w:val="21"/>
          <w:szCs w:val="21"/>
          <w:lang w:val="ru-RU" w:eastAsia="ru-RU"/>
        </w:rPr>
        <w:drawing>
          <wp:inline distT="0" distB="0" distL="0" distR="0">
            <wp:extent cx="179705" cy="179705"/>
            <wp:effectExtent l="0" t="0" r="0" b="0"/>
            <wp:docPr id="1" name="Рисунок 1" descr="Ներմուծեք նկարագրությունը_21507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21507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C7A">
        <w:rPr>
          <w:rFonts w:ascii="Sylfaen" w:eastAsia="Times New Roman" w:hAnsi="Sylfaen" w:cs="Times New Roman"/>
          <w:b/>
          <w:bCs/>
          <w:i/>
          <w:iCs/>
          <w:noProof/>
          <w:color w:val="000000"/>
          <w:sz w:val="21"/>
          <w:szCs w:val="21"/>
          <w:lang w:eastAsia="ru-RU"/>
        </w:rPr>
        <w:t>(267-րդ հոդվածը խմբ. 02.08.91, 19.05.95 ՀՕ-137, 03.12.96 ՀՕ-102, փոփ. 26.05.11 ՀՕ-165-Ն, 07.02.12 ՀՕ-2-Ն)</w:t>
      </w:r>
    </w:p>
    <w:p w:rsidR="007C3C7A" w:rsidRPr="007C3C7A" w:rsidRDefault="007C3C7A" w:rsidP="007C3C7A">
      <w:pPr>
        <w:jc w:val="center"/>
        <w:rPr>
          <w:rFonts w:ascii="Sylfaen" w:hAnsi="Sylfaen"/>
          <w:b/>
          <w:noProof/>
          <w:sz w:val="20"/>
          <w:szCs w:val="20"/>
        </w:rPr>
      </w:pPr>
    </w:p>
    <w:sectPr w:rsidR="007C3C7A" w:rsidRPr="007C3C7A" w:rsidSect="001257D2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4C"/>
    <w:rsid w:val="001257D2"/>
    <w:rsid w:val="004D024C"/>
    <w:rsid w:val="007C3C7A"/>
    <w:rsid w:val="007C4BA2"/>
    <w:rsid w:val="008A4DC0"/>
    <w:rsid w:val="00D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192C5-868E-41EE-B6FB-CC4FC8E5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C7A"/>
    <w:rPr>
      <w:b/>
      <w:bCs/>
    </w:rPr>
  </w:style>
  <w:style w:type="character" w:styleId="a4">
    <w:name w:val="Emphasis"/>
    <w:basedOn w:val="a0"/>
    <w:uiPriority w:val="20"/>
    <w:qFormat/>
    <w:rsid w:val="007C3C7A"/>
    <w:rPr>
      <w:i/>
      <w:iCs/>
    </w:rPr>
  </w:style>
  <w:style w:type="paragraph" w:styleId="a5">
    <w:name w:val="Normal (Web)"/>
    <w:basedOn w:val="a"/>
    <w:uiPriority w:val="99"/>
    <w:semiHidden/>
    <w:unhideWhenUsed/>
    <w:rsid w:val="007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arlis.am/DocumentView.aspx?docid=111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2548</Characters>
  <Application>Microsoft Office Word</Application>
  <DocSecurity>0</DocSecurity>
  <Lines>21</Lines>
  <Paragraphs>5</Paragraphs>
  <ScaleCrop>false</ScaleCrop>
  <Company>gypnor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2024-01-15T11:47:00Z</dcterms:created>
  <dcterms:modified xsi:type="dcterms:W3CDTF">2024-01-15T13:05:00Z</dcterms:modified>
</cp:coreProperties>
</file>