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2</w:t>
      </w:r>
      <w:r w:rsidR="000769C5" w:rsidRPr="000769C5">
        <w:rPr>
          <w:rFonts w:ascii="Arial Unicode" w:hAnsi="Arial Unicode"/>
          <w:sz w:val="22"/>
          <w:szCs w:val="20"/>
          <w:lang w:val="hy-AM"/>
        </w:rPr>
        <w:t>2</w:t>
      </w:r>
      <w:r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20.07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722F23">
        <w:rPr>
          <w:rFonts w:ascii="Arial Unicode" w:hAnsi="Arial Unicode"/>
          <w:sz w:val="22"/>
          <w:szCs w:val="20"/>
          <w:lang w:val="hy-AM"/>
        </w:rPr>
        <w:t>49</w:t>
      </w:r>
      <w:r w:rsidR="00722F23" w:rsidRPr="00722F23">
        <w:rPr>
          <w:rFonts w:ascii="Arial Unicode" w:hAnsi="Arial Unicode"/>
          <w:sz w:val="22"/>
          <w:szCs w:val="20"/>
          <w:lang w:val="hy-AM"/>
        </w:rPr>
        <w:t>25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722F23" w:rsidRPr="00736046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36046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21.12.2012թ. տրված թիվ ԵԱԴԴ 1384/02/12 կատարողական թերթի համաձայն պետք է հայցագնի՝ 17.889.718,80 ՀՀ դրամի չափով արգելանք դնել պատասխանողներ Գևորգ Վարդանի Պետրոսյանին և Ռուզաննա Ազատի Մարտիրոսյանին սեփականության իրավունքով պատկանող գույքի և դրամական միջոցների վրա:</w:t>
      </w:r>
    </w:p>
    <w:p w:rsidR="00722F23" w:rsidRPr="00736046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36046">
        <w:rPr>
          <w:rFonts w:ascii="GHEA Grapalat" w:hAnsi="GHEA Grapalat"/>
          <w:sz w:val="20"/>
          <w:szCs w:val="20"/>
          <w:lang w:val="hy-AM"/>
        </w:rPr>
        <w:t xml:space="preserve">15.01.2014թ. պահանջատերը ԴԱՀԿ ծառայություն է ներկայացրել նույն դատարանի կողմից 10.01.2014թ. տրված թիվ ԵԱԴԴ 1384/02/12 կատարողական թերթի համաձայն որի պետք է՝ </w:t>
      </w:r>
    </w:p>
    <w:p w:rsidR="00722F23" w:rsidRPr="00736046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36046">
        <w:rPr>
          <w:rFonts w:ascii="GHEA Grapalat" w:hAnsi="GHEA Grapalat"/>
          <w:sz w:val="20"/>
          <w:szCs w:val="20"/>
          <w:lang w:val="hy-AM"/>
        </w:rPr>
        <w:t>Գևորգ Վարդանի Պետրոսյանից հօգուտ Լաուրա Ալեքսանդրի Մամիկոնյանի բռնագանձել 16.000.000 ՀՀ դրամ և 2.200 եվրոյին համարժեք 1.178.980 ՀՀ դրամ:</w:t>
      </w:r>
    </w:p>
    <w:p w:rsidR="00722F23" w:rsidRPr="00736046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36046">
        <w:rPr>
          <w:rFonts w:ascii="GHEA Grapalat" w:hAnsi="GHEA Grapalat"/>
          <w:sz w:val="20"/>
          <w:szCs w:val="20"/>
          <w:lang w:val="hy-AM"/>
        </w:rPr>
        <w:t>Գևորգ Վարդանի Պետրոսյանից հօգուտ Լաուրա Ալեքսանդրի Մամիկոնյանի սկսած 29-ը սեպտեմբերի 2012 թվականից մինչև պարտավորության ամբողջությամբ կատարումը 16.000.000 ՀՀ դրամի և սկսած 01-ը հուլիսի 2012 թվականից մինչև պարտավորության ամբողջությամբ կատարումը 2.200 եվրոյին համարժեք 1.178.980 ՀՀ դրամի նկատմամբ հաշվարկել և բռնագանձել Հայաստանի Հանրապետության քաղաքացիական օրենսգրքի 411-րդ հոդվածի 1-ին մասով սահմանված տոկոսներ` ըստ համապատասխան ժամանակահատվածների համար Հայաստանի Հանրապետության Կենտրոնական բանկի սահմանած տոկոսի հաշվարկային դրույքների:</w:t>
      </w:r>
    </w:p>
    <w:p w:rsidR="00722F23" w:rsidRPr="00736046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36046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722F23" w:rsidRPr="00736046" w:rsidRDefault="00722F23" w:rsidP="00722F23">
      <w:pPr>
        <w:tabs>
          <w:tab w:val="left" w:pos="709"/>
        </w:tabs>
        <w:jc w:val="both"/>
        <w:rPr>
          <w:rFonts w:ascii="GHEA Grapalat" w:hAnsi="GHEA Grapalat"/>
          <w:sz w:val="20"/>
          <w:lang w:val="hy-AM"/>
        </w:rPr>
      </w:pPr>
      <w:r w:rsidRPr="00736046">
        <w:rPr>
          <w:rFonts w:ascii="GHEA Grapalat" w:hAnsi="GHEA Grapalat"/>
          <w:sz w:val="20"/>
          <w:lang w:val="hy-AM"/>
        </w:rPr>
        <w:tab/>
        <w:t>Կատարողական գործողությունների ընթացքում արգելանք է դրվել պարտապան՝ Գևորգ Վարդանի Պետրոսյանին համատեղ սեփականաության իրավունքով ք. Երևան, Արաբկիր համայնք, Կիևյան փող. 1 շենքի, թիվ 32 բնակարանի, ք. Երևան, Արաբկիր համայնք, Կիևյան փող. 8 շենքի, թիվ 20 բնակարանի և ք. Երևան, Դավթաշեն 53 շենքի թիվ 28 բնակարանի  վրա և պահանջատիրոջը առաջարկվել է ՀՀ քաղաքացիական օրենսգրքի 200 և 201 հոդվածներիի համաձայն դիմել գույքի գտնվելու վայրի ընդհանուր իրավասության դատարան պարտապանի բաժնեմասը առանձնացնելու և դրա վրա բռնագանձում տարածելու պահանջով:</w:t>
      </w:r>
    </w:p>
    <w:p w:rsidR="00722F23" w:rsidRPr="00722F23" w:rsidRDefault="00722F23" w:rsidP="00722F23">
      <w:pPr>
        <w:ind w:firstLine="540"/>
        <w:jc w:val="both"/>
        <w:rPr>
          <w:rFonts w:ascii="GHEA Grapalat" w:hAnsi="GHEA Grapalat"/>
          <w:sz w:val="20"/>
          <w:lang w:val="hy-AM"/>
        </w:rPr>
      </w:pPr>
      <w:r w:rsidRPr="00736046">
        <w:rPr>
          <w:rFonts w:ascii="GHEA Grapalat" w:hAnsi="GHEA Grapalat"/>
          <w:sz w:val="20"/>
          <w:lang w:val="hy-AM"/>
        </w:rPr>
        <w:tab/>
        <w:t>Պարտապանին պատկանող այլ գույք և դրամական միջոցներ չեն հայտնաբերվել:</w:t>
      </w:r>
    </w:p>
    <w:p w:rsidR="00722F23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722F23">
        <w:rPr>
          <w:rFonts w:ascii="GHEA Grapalat" w:hAnsi="GHEA Grapalat"/>
          <w:sz w:val="20"/>
          <w:szCs w:val="20"/>
          <w:lang w:val="hy-AM"/>
        </w:rPr>
        <w:t>18.06.2014</w:t>
      </w:r>
      <w:r>
        <w:rPr>
          <w:rFonts w:ascii="GHEA Grapalat" w:hAnsi="GHEA Grapalat"/>
          <w:sz w:val="20"/>
          <w:szCs w:val="20"/>
          <w:lang w:val="hy-AM"/>
        </w:rPr>
        <w:t>թ. կատարողական վարույթը ավատվել է:</w:t>
      </w:r>
    </w:p>
    <w:p w:rsidR="00722F23" w:rsidRPr="00483B50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17.07.2015թ. պահանջատեր Լաուրա մամիկոնյանը դիմումով ԴԱՀԿ ծառայություն է ներկայացրել </w:t>
      </w:r>
      <w:r w:rsidRPr="00483B50">
        <w:rPr>
          <w:rFonts w:ascii="GHEA Grapalat" w:hAnsi="GHEA Grapalat"/>
          <w:sz w:val="20"/>
          <w:szCs w:val="20"/>
          <w:lang w:val="hy-AM"/>
        </w:rPr>
        <w:t>ՀՀ Երևան քաղաքի Արաբկիր և Քանաքեռ Զեյթուն  վարչական շրջանների ընդհանուր իրավասության դատարանի կողմից 15.07.2015թ. տրված թիվ ԵԱՔԴ 1570/02/14 կատարողական թերթ</w:t>
      </w:r>
      <w:r>
        <w:rPr>
          <w:rFonts w:ascii="GHEA Grapalat" w:hAnsi="GHEA Grapalat"/>
          <w:sz w:val="20"/>
          <w:szCs w:val="20"/>
          <w:lang w:val="hy-AM"/>
        </w:rPr>
        <w:t>ը</w:t>
      </w:r>
      <w:r w:rsidRPr="00483B50">
        <w:rPr>
          <w:rFonts w:ascii="GHEA Grapalat" w:hAnsi="GHEA Grapalat"/>
          <w:sz w:val="20"/>
          <w:szCs w:val="20"/>
          <w:lang w:val="hy-AM"/>
        </w:rPr>
        <w:t xml:space="preserve"> համաձայն </w:t>
      </w:r>
      <w:r>
        <w:rPr>
          <w:rFonts w:ascii="GHEA Grapalat" w:hAnsi="GHEA Grapalat"/>
          <w:sz w:val="20"/>
          <w:szCs w:val="20"/>
          <w:lang w:val="hy-AM"/>
        </w:rPr>
        <w:t xml:space="preserve">որի </w:t>
      </w:r>
      <w:r w:rsidRPr="00483B50">
        <w:rPr>
          <w:rFonts w:ascii="GHEA Grapalat" w:hAnsi="GHEA Grapalat"/>
          <w:sz w:val="20"/>
          <w:szCs w:val="20"/>
          <w:lang w:val="hy-AM"/>
        </w:rPr>
        <w:t>պետք է՝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83B50">
        <w:rPr>
          <w:rFonts w:ascii="GHEA Grapalat" w:hAnsi="GHEA Grapalat"/>
          <w:sz w:val="20"/>
          <w:szCs w:val="20"/>
          <w:lang w:val="hy-AM"/>
        </w:rPr>
        <w:t>Ռուզաննա Ազատի Մարտիրոսյանի կողմից վճռի հրապարակման պահից սկսած 40 օրվա ընթացքում 31.029.500 ՀՀ դրամ փոխհատուցելու միջոցով դադարեցնել Գևորգ Վարդանի Պետրոսյանի սեփականության իրավունքը ք. Երևան, Կիևյան փողոցի 8 շենքի թիվ 20 և Կիևյան փողոցի 1 շենքի թիվ 32 հասցեներում գտնվող բնակարանների 1/2 մասի նկատմամբ, նշված բաժնեմասերի նկատմամբ ճանաչելով Ռուզաննա Ազատի Մարտիրոսյանի սեփականության իրավունքը:</w:t>
      </w:r>
    </w:p>
    <w:p w:rsidR="00722F23" w:rsidRPr="000769C5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83B50">
        <w:rPr>
          <w:rFonts w:ascii="GHEA Grapalat" w:hAnsi="GHEA Grapalat"/>
          <w:sz w:val="20"/>
          <w:szCs w:val="20"/>
          <w:lang w:val="hy-AM"/>
        </w:rPr>
        <w:t>Գևորգ Վարդանի Պետրոսյանի բաժնեմասի դիմաց ստացված գումարն ուղղել Երևան քաղաքի Աջափնյակ և Դավթաշեն վարչական շրջանների առաջին ատյանի ընդհանուր իրավասության դատարանի թիվ ԵԱԴԴ 1384/02/12 կատարողական թերթով սահմանված` հօգուտ Լաուրա Ալեքսանդրի Մամիկոնյանի բռնագանձվող գումարների մարմանը:</w:t>
      </w:r>
      <w:r w:rsidRPr="00483B50">
        <w:rPr>
          <w:rFonts w:ascii="GHEA Grapalat" w:hAnsi="GHEA Grapalat"/>
          <w:sz w:val="20"/>
          <w:szCs w:val="20"/>
          <w:lang w:val="hy-AM"/>
        </w:rPr>
        <w:br/>
        <w:t>Նշված ժամկետում փոխհատուցումը չտրամադրելու դեպքում ք. Երևան, Կիևյան փողոցի 8 շենքի թիվ 20 և Կիևյան փողոցի 1 շենքի թիվ 32 հասցեներում գտնվող բնակարանները վաճառել հրապարակային սակարկությունների միջոցով և ստացված գումարները բաշխել համասեփականատերերի միջև նրանց բաժիններին համաչափ, իսկ Գևորգ Վարդանի Պետրոսյանի բաժնեմասի դիմաց ստացված գումարն ուղղել Երևան քաղաքի Աջափնյակ և Դավթաշեն վարչական շրջանների առաջին ատյանի ընդհանուր իրավասության դատարանի թիվ ԵԱԴԴ 1384/02/12 կատարողական թերթով սահմանված` հօգուտ Լաուրա Ալեքսանդրի Մամիկոնյանի բռնագանձվող գումարների մարմանը:</w:t>
      </w:r>
    </w:p>
    <w:p w:rsidR="00722F23" w:rsidRPr="000769C5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22F23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22F23" w:rsidRPr="00483B50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22F23" w:rsidRPr="00483B50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83B50">
        <w:rPr>
          <w:rFonts w:ascii="GHEA Grapalat" w:hAnsi="GHEA Grapalat"/>
          <w:sz w:val="20"/>
          <w:szCs w:val="20"/>
          <w:lang w:val="hy-AM"/>
        </w:rPr>
        <w:t>2.Քաղաքացիական գործի վարույթն ըստ հայցի Լաուրա Ալեքսանդրի Մամիկոնյանի ընդդեմ Գևորգ Վարդանի Պետրոսյանի, Ռուզաննա Ազատի Մարտիրոսյանի` Դավիթաշեն 53 շենքի թիվ 28 բնակարանը բնեղենով առանձնացնելու, իսկ անհնարինության դեպքում` հրապարակային սակարկություններով վաճառելուն թույլատրելու, բռնագանձումը բաժնեմասի վրա տարածելու պահանջի մասով, կարճել:</w:t>
      </w:r>
    </w:p>
    <w:p w:rsidR="00722F23" w:rsidRPr="00483B50" w:rsidRDefault="00722F23" w:rsidP="00722F23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83B50">
        <w:rPr>
          <w:rFonts w:ascii="GHEA Grapalat" w:hAnsi="GHEA Grapalat"/>
          <w:sz w:val="20"/>
          <w:szCs w:val="20"/>
          <w:lang w:val="hy-AM"/>
        </w:rPr>
        <w:t>3. Գևորգ Վարդանի Պետրոսյանից, Ռուզաննա Ազատի Մարտիրոսյանից համապարտության կարգով հօգուտ Լաուրա Ալեքսանդրի Մամիկոնյանի բռնագանձել 70 000 ՀՀ դրամ` որպես «Վարմօն Ռիելթի» ՍՊԸ-ի վճարված փորձաքննության կատարման ծախս:</w:t>
      </w: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D322D" w:rsidRPr="00FD322D">
        <w:rPr>
          <w:rFonts w:ascii="Arial Unicode" w:hAnsi="Arial Unicode"/>
          <w:sz w:val="22"/>
          <w:lang w:val="hy-AM"/>
        </w:rPr>
        <w:t>20.07</w:t>
      </w:r>
      <w:r w:rsidR="00FD322D" w:rsidRPr="007C3AC5">
        <w:rPr>
          <w:rFonts w:ascii="Arial Unicode" w:hAnsi="Arial Unicode"/>
          <w:sz w:val="22"/>
          <w:lang w:val="hy-AM"/>
        </w:rPr>
        <w:t>.</w:t>
      </w:r>
      <w:r w:rsidR="00FD322D" w:rsidRPr="00C8778E">
        <w:rPr>
          <w:rFonts w:ascii="Arial Unicode" w:hAnsi="Arial Unicode"/>
          <w:sz w:val="22"/>
          <w:lang w:val="hy-AM"/>
        </w:rPr>
        <w:t>201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>
        <w:rPr>
          <w:rFonts w:ascii="Arial Unicode" w:hAnsi="Arial Unicode"/>
          <w:sz w:val="22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lang w:val="hy-AM"/>
        </w:rPr>
        <w:t>վերսկս</w:t>
      </w:r>
      <w:r w:rsidR="00FD322D">
        <w:rPr>
          <w:rFonts w:ascii="Arial Unicode" w:hAnsi="Arial Unicode"/>
          <w:sz w:val="22"/>
          <w:lang w:val="hy-AM"/>
        </w:rPr>
        <w:t>ված թիվ 01/06-</w:t>
      </w:r>
      <w:r w:rsidR="00722F23">
        <w:rPr>
          <w:rFonts w:ascii="Arial Unicode" w:hAnsi="Arial Unicode"/>
          <w:sz w:val="22"/>
          <w:lang w:val="hy-AM"/>
        </w:rPr>
        <w:t>49</w:t>
      </w:r>
      <w:r w:rsidR="00722F23" w:rsidRPr="00722F23">
        <w:rPr>
          <w:rFonts w:ascii="Arial Unicode" w:hAnsi="Arial Unicode"/>
          <w:sz w:val="22"/>
          <w:lang w:val="hy-AM"/>
        </w:rPr>
        <w:t>25</w:t>
      </w:r>
      <w:r w:rsidR="00FD322D" w:rsidRPr="00C8778E">
        <w:rPr>
          <w:rFonts w:ascii="Arial Unicode" w:hAnsi="Arial Unicode"/>
          <w:sz w:val="22"/>
          <w:lang w:val="hy-AM"/>
        </w:rPr>
        <w:t>/1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769C5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A573F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65A01"/>
    <w:rsid w:val="00577DAC"/>
    <w:rsid w:val="005A2381"/>
    <w:rsid w:val="005A2B78"/>
    <w:rsid w:val="00623C2A"/>
    <w:rsid w:val="00687042"/>
    <w:rsid w:val="00691D72"/>
    <w:rsid w:val="006D14DB"/>
    <w:rsid w:val="006F04EE"/>
    <w:rsid w:val="007114CD"/>
    <w:rsid w:val="00722F23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84A45"/>
    <w:rsid w:val="00EC45FE"/>
    <w:rsid w:val="00EF2C2C"/>
    <w:rsid w:val="00F21C03"/>
    <w:rsid w:val="00F327C2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53</cp:revision>
  <cp:lastPrinted>2015-07-21T06:12:00Z</cp:lastPrinted>
  <dcterms:created xsi:type="dcterms:W3CDTF">2011-06-02T07:51:00Z</dcterms:created>
  <dcterms:modified xsi:type="dcterms:W3CDTF">2015-07-22T13:14:00Z</dcterms:modified>
</cp:coreProperties>
</file>