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F5" w:rsidRDefault="00DE3EF5" w:rsidP="00DE3EF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DE3EF5" w:rsidRDefault="00DE3EF5" w:rsidP="00DE3EF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DE3EF5" w:rsidRDefault="00DE3EF5" w:rsidP="00DE3EF5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26.11.2015թ.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</w:t>
      </w:r>
      <w:proofErr w:type="spellStart"/>
      <w:r>
        <w:rPr>
          <w:rFonts w:ascii="GHEA Grapalat" w:hAnsi="GHEA Grapalat"/>
          <w:szCs w:val="24"/>
          <w:lang w:val="hy-AM"/>
        </w:rPr>
        <w:t>ք.Երևան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 xml:space="preserve">ՀՀ ԱՆ ԴԱՀԿ ծառայության </w:t>
      </w:r>
      <w:proofErr w:type="spellStart"/>
      <w:r>
        <w:rPr>
          <w:rFonts w:ascii="GHEA Grapalat" w:hAnsi="GHEA Grapalat" w:cs="Sylfaen"/>
          <w:szCs w:val="24"/>
          <w:lang w:val="hy-AM"/>
        </w:rPr>
        <w:t>Երևան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քաղաքի Շենգավիթ բաժնի ավագ հարկադիր կատարող արդարադատության կապիտան Սերոբ </w:t>
      </w:r>
      <w:proofErr w:type="spellStart"/>
      <w:r>
        <w:rPr>
          <w:rFonts w:ascii="GHEA Grapalat" w:hAnsi="GHEA Grapalat" w:cs="Sylfaen"/>
          <w:szCs w:val="24"/>
          <w:lang w:val="hy-AM"/>
        </w:rPr>
        <w:t>Ավետիսյանս</w:t>
      </w:r>
      <w:proofErr w:type="spellEnd"/>
      <w:r>
        <w:rPr>
          <w:rFonts w:ascii="GHEA Grapalat" w:hAnsi="GHEA Grapalat" w:cs="Sylfaen"/>
          <w:szCs w:val="24"/>
          <w:lang w:val="hy-AM"/>
        </w:rPr>
        <w:t>, ուսումնասիրելով 12.09.2014թ. վերսկսված թիվ</w:t>
      </w:r>
      <w:r>
        <w:rPr>
          <w:rFonts w:ascii="GHEA Grapalat" w:hAnsi="GHEA Grapalat" w:cs="Sylfaen"/>
          <w:szCs w:val="24"/>
          <w:lang w:val="hy-AM"/>
        </w:rPr>
        <w:t xml:space="preserve"> 66656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DE3EF5" w:rsidRDefault="00DE3EF5" w:rsidP="00DE3EF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Շենգավիթ վարչական շրջանի ընդհանուր իրավասության դատարանի կողմից 16.06.2014թ. թիվ ԵՇԴ/1230/02/11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կատարողական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թերթի համաձայն պետք է </w:t>
      </w:r>
      <w:r>
        <w:rPr>
          <w:rFonts w:ascii="GHEA Grapalat" w:hAnsi="GHEA Grapalat"/>
          <w:szCs w:val="24"/>
          <w:lang w:val="hy-AM"/>
        </w:rPr>
        <w:t xml:space="preserve">Ուղղել </w:t>
      </w:r>
      <w:proofErr w:type="spellStart"/>
      <w:r>
        <w:rPr>
          <w:rFonts w:ascii="GHEA Grapalat" w:hAnsi="GHEA Grapalat"/>
          <w:szCs w:val="24"/>
          <w:lang w:val="hy-AM"/>
        </w:rPr>
        <w:t>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քաղաքի Շենգավիթ վարչական շրջանի ընդհանուր իրավասության դատարանի 26.12.2011թ. կայացված ԵՇԴ/1230/02/11 վճռում թույլ տրված վրիպակը, այն է` վճռի եզրափակիչ մասի </w:t>
      </w:r>
      <w:proofErr w:type="spellStart"/>
      <w:r>
        <w:rPr>
          <w:rFonts w:ascii="GHEA Grapalat" w:hAnsi="GHEA Grapalat"/>
          <w:szCs w:val="24"/>
          <w:lang w:val="hy-AM"/>
        </w:rPr>
        <w:t>Գևորգ</w:t>
      </w:r>
      <w:proofErr w:type="spellEnd"/>
      <w:r>
        <w:rPr>
          <w:rFonts w:ascii="GHEA Grapalat" w:hAnsi="GHEA Grapalat"/>
          <w:szCs w:val="24"/>
          <w:lang w:val="hy-AM"/>
        </w:rPr>
        <w:t xml:space="preserve"> Ջանիկի Գրիգորյանից և Ջանիկ </w:t>
      </w:r>
      <w:proofErr w:type="spellStart"/>
      <w:r>
        <w:rPr>
          <w:rFonts w:ascii="GHEA Grapalat" w:hAnsi="GHEA Grapalat"/>
          <w:szCs w:val="24"/>
          <w:lang w:val="hy-AM"/>
        </w:rPr>
        <w:t>Արմենակի</w:t>
      </w:r>
      <w:proofErr w:type="spellEnd"/>
      <w:r>
        <w:rPr>
          <w:rFonts w:ascii="GHEA Grapalat" w:hAnsi="GHEA Grapalat"/>
          <w:szCs w:val="24"/>
          <w:lang w:val="hy-AM"/>
        </w:rPr>
        <w:t xml:space="preserve"> Գրիգորյանից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 հօգուտ «</w:t>
      </w:r>
      <w:proofErr w:type="spellStart"/>
      <w:r>
        <w:rPr>
          <w:rFonts w:ascii="GHEA Grapalat" w:hAnsi="GHEA Grapalat"/>
          <w:szCs w:val="24"/>
          <w:lang w:val="hy-AM"/>
        </w:rPr>
        <w:t>Կոնվերս</w:t>
      </w:r>
      <w:proofErr w:type="spellEnd"/>
      <w:r>
        <w:rPr>
          <w:rFonts w:ascii="GHEA Grapalat" w:hAnsi="GHEA Grapalat"/>
          <w:szCs w:val="24"/>
          <w:lang w:val="hy-AM"/>
        </w:rPr>
        <w:t xml:space="preserve"> Բանկ» ՓԲ ընկերության բռնագանձել 54.759 ԱՄՆ դոլար 05 /հինգ/ ԱՄՆ ցենտ, որից 47.911 ԱՄՆ դոլար 68 /</w:t>
      </w:r>
      <w:proofErr w:type="spellStart"/>
      <w:r>
        <w:rPr>
          <w:rFonts w:ascii="GHEA Grapalat" w:hAnsi="GHEA Grapalat"/>
          <w:szCs w:val="24"/>
          <w:lang w:val="hy-AM"/>
        </w:rPr>
        <w:t>վաթսունութ</w:t>
      </w:r>
      <w:proofErr w:type="spellEnd"/>
      <w:r>
        <w:rPr>
          <w:rFonts w:ascii="GHEA Grapalat" w:hAnsi="GHEA Grapalat"/>
          <w:szCs w:val="24"/>
          <w:lang w:val="hy-AM"/>
        </w:rPr>
        <w:t xml:space="preserve">/ ԱՄՆ </w:t>
      </w:r>
      <w:proofErr w:type="spellStart"/>
      <w:r>
        <w:rPr>
          <w:rFonts w:ascii="GHEA Grapalat" w:hAnsi="GHEA Grapalat"/>
          <w:szCs w:val="24"/>
          <w:lang w:val="hy-AM"/>
        </w:rPr>
        <w:t>ցենտը</w:t>
      </w:r>
      <w:proofErr w:type="spellEnd"/>
      <w:r>
        <w:rPr>
          <w:rFonts w:ascii="GHEA Grapalat" w:hAnsi="GHEA Grapalat"/>
          <w:szCs w:val="24"/>
          <w:lang w:val="hy-AM"/>
        </w:rPr>
        <w:t xml:space="preserve"> որպես վարկի գումար, 5.224 ԱՄՆ դոլար 42 ԱՄՆ </w:t>
      </w:r>
      <w:proofErr w:type="spellStart"/>
      <w:r>
        <w:rPr>
          <w:rFonts w:ascii="GHEA Grapalat" w:hAnsi="GHEA Grapalat"/>
          <w:szCs w:val="24"/>
          <w:lang w:val="hy-AM"/>
        </w:rPr>
        <w:t>ցենտը</w:t>
      </w:r>
      <w:proofErr w:type="spellEnd"/>
      <w:r>
        <w:rPr>
          <w:rFonts w:ascii="GHEA Grapalat" w:hAnsi="GHEA Grapalat"/>
          <w:szCs w:val="24"/>
          <w:lang w:val="hy-AM"/>
        </w:rPr>
        <w:t xml:space="preserve"> որպես տոկոսագումար, 240 ԱՄՆ դոլար 13 ԱՄՆ </w:t>
      </w:r>
      <w:proofErr w:type="spellStart"/>
      <w:r>
        <w:rPr>
          <w:rFonts w:ascii="GHEA Grapalat" w:hAnsi="GHEA Grapalat"/>
          <w:szCs w:val="24"/>
          <w:lang w:val="hy-AM"/>
        </w:rPr>
        <w:t>ցենտը</w:t>
      </w:r>
      <w:proofErr w:type="spellEnd"/>
      <w:r>
        <w:rPr>
          <w:rFonts w:ascii="GHEA Grapalat" w:hAnsi="GHEA Grapalat"/>
          <w:szCs w:val="24"/>
          <w:lang w:val="hy-AM"/>
        </w:rPr>
        <w:t xml:space="preserve"> որպես ժամկետանց վարկի </w:t>
      </w:r>
      <w:proofErr w:type="spellStart"/>
      <w:r>
        <w:rPr>
          <w:rFonts w:ascii="GHEA Grapalat" w:hAnsi="GHEA Grapalat"/>
          <w:szCs w:val="24"/>
          <w:lang w:val="hy-AM"/>
        </w:rPr>
        <w:t>տուժանքի</w:t>
      </w:r>
      <w:proofErr w:type="spellEnd"/>
      <w:r>
        <w:rPr>
          <w:rFonts w:ascii="GHEA Grapalat" w:hAnsi="GHEA Grapalat"/>
          <w:szCs w:val="24"/>
          <w:lang w:val="hy-AM"/>
        </w:rPr>
        <w:t xml:space="preserve"> գումար, 1.382 /հազար երեք հարյուր </w:t>
      </w:r>
      <w:proofErr w:type="spellStart"/>
      <w:r>
        <w:rPr>
          <w:rFonts w:ascii="GHEA Grapalat" w:hAnsi="GHEA Grapalat"/>
          <w:szCs w:val="24"/>
          <w:lang w:val="hy-AM"/>
        </w:rPr>
        <w:t>ութսուներկու</w:t>
      </w:r>
      <w:proofErr w:type="spellEnd"/>
      <w:r>
        <w:rPr>
          <w:rFonts w:ascii="GHEA Grapalat" w:hAnsi="GHEA Grapalat"/>
          <w:szCs w:val="24"/>
          <w:lang w:val="hy-AM"/>
        </w:rPr>
        <w:t xml:space="preserve">/ ԱՄՆ դոլար 82 ԱՄՆ </w:t>
      </w:r>
      <w:proofErr w:type="spellStart"/>
      <w:r>
        <w:rPr>
          <w:rFonts w:ascii="GHEA Grapalat" w:hAnsi="GHEA Grapalat"/>
          <w:szCs w:val="24"/>
          <w:lang w:val="hy-AM"/>
        </w:rPr>
        <w:t>ցենտը</w:t>
      </w:r>
      <w:proofErr w:type="spellEnd"/>
      <w:r>
        <w:rPr>
          <w:rFonts w:ascii="GHEA Grapalat" w:hAnsi="GHEA Grapalat"/>
          <w:szCs w:val="24"/>
          <w:lang w:val="hy-AM"/>
        </w:rPr>
        <w:t xml:space="preserve"> որպես ժամկետանց տոկոսի տուժանք և 3.947 դրամ 90 լուման որպես հաշվարկված վարձավճար, 04.10.2011թ.-ից սկսած </w:t>
      </w:r>
      <w:proofErr w:type="spellStart"/>
      <w:r>
        <w:rPr>
          <w:rFonts w:ascii="GHEA Grapalat" w:hAnsi="GHEA Grapalat"/>
          <w:szCs w:val="24"/>
          <w:lang w:val="hy-AM"/>
        </w:rPr>
        <w:t>մինչև</w:t>
      </w:r>
      <w:proofErr w:type="spellEnd"/>
      <w:r>
        <w:rPr>
          <w:rFonts w:ascii="GHEA Grapalat" w:hAnsi="GHEA Grapalat"/>
          <w:szCs w:val="24"/>
          <w:lang w:val="hy-AM"/>
        </w:rPr>
        <w:t xml:space="preserve"> պարտքի լրիվ մարումը 47.911 ԱՄՆ դոլար 68 ԱՄՆ ցենտ վրա վարկային պայմանագրերի 1.1 կետի համաձայն հաշվարկված տարեկան 14% տոկոսադրույքը և պայմանագրի 3.2 և 3.3 կետերով նախատեսված տույժերի գումարը, ինչպես նաև 411.965 դրամ 60 լումա վճարված </w:t>
      </w:r>
      <w:proofErr w:type="spellStart"/>
      <w:r>
        <w:rPr>
          <w:rFonts w:ascii="GHEA Grapalat" w:hAnsi="GHEA Grapalat"/>
          <w:szCs w:val="24"/>
          <w:lang w:val="hy-AM"/>
        </w:rPr>
        <w:t>պետտուրքը</w:t>
      </w:r>
      <w:proofErr w:type="spellEnd"/>
      <w:r>
        <w:rPr>
          <w:rFonts w:ascii="GHEA Grapalat" w:hAnsi="GHEA Grapalat"/>
          <w:szCs w:val="24"/>
          <w:lang w:val="hy-AM"/>
        </w:rPr>
        <w:t xml:space="preserve">» նախադասությունը փոխարինել </w:t>
      </w:r>
      <w:proofErr w:type="spellStart"/>
      <w:r>
        <w:rPr>
          <w:rFonts w:ascii="GHEA Grapalat" w:hAnsi="GHEA Grapalat"/>
          <w:szCs w:val="24"/>
          <w:lang w:val="hy-AM"/>
        </w:rPr>
        <w:t>հետևյալ</w:t>
      </w:r>
      <w:proofErr w:type="spellEnd"/>
      <w:r>
        <w:rPr>
          <w:rFonts w:ascii="GHEA Grapalat" w:hAnsi="GHEA Grapalat"/>
          <w:szCs w:val="24"/>
          <w:lang w:val="hy-AM"/>
        </w:rPr>
        <w:t xml:space="preserve"> կերպ.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br/>
        <w:t xml:space="preserve">       </w:t>
      </w:r>
      <w:proofErr w:type="spellStart"/>
      <w:r>
        <w:rPr>
          <w:rFonts w:ascii="GHEA Grapalat" w:hAnsi="GHEA Grapalat"/>
          <w:szCs w:val="24"/>
          <w:lang w:val="hy-AM"/>
        </w:rPr>
        <w:t>Գևորգ</w:t>
      </w:r>
      <w:proofErr w:type="spellEnd"/>
      <w:r>
        <w:rPr>
          <w:rFonts w:ascii="GHEA Grapalat" w:hAnsi="GHEA Grapalat"/>
          <w:szCs w:val="24"/>
          <w:lang w:val="hy-AM"/>
        </w:rPr>
        <w:t xml:space="preserve"> Ջանիկի Գրիգորյանից և Ջանիկ </w:t>
      </w:r>
      <w:proofErr w:type="spellStart"/>
      <w:r>
        <w:rPr>
          <w:rFonts w:ascii="GHEA Grapalat" w:hAnsi="GHEA Grapalat"/>
          <w:szCs w:val="24"/>
          <w:lang w:val="hy-AM"/>
        </w:rPr>
        <w:t>Արմենակի</w:t>
      </w:r>
      <w:proofErr w:type="spellEnd"/>
      <w:r>
        <w:rPr>
          <w:rFonts w:ascii="GHEA Grapalat" w:hAnsi="GHEA Grapalat"/>
          <w:szCs w:val="24"/>
          <w:lang w:val="hy-AM"/>
        </w:rPr>
        <w:t xml:space="preserve"> Գրիգորյանից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 հօգուտ «</w:t>
      </w:r>
      <w:proofErr w:type="spellStart"/>
      <w:r>
        <w:rPr>
          <w:rFonts w:ascii="GHEA Grapalat" w:hAnsi="GHEA Grapalat"/>
          <w:szCs w:val="24"/>
          <w:lang w:val="hy-AM"/>
        </w:rPr>
        <w:t>Կոնվերս</w:t>
      </w:r>
      <w:proofErr w:type="spellEnd"/>
      <w:r>
        <w:rPr>
          <w:rFonts w:ascii="GHEA Grapalat" w:hAnsi="GHEA Grapalat"/>
          <w:szCs w:val="24"/>
          <w:lang w:val="hy-AM"/>
        </w:rPr>
        <w:t xml:space="preserve"> Բանկ» ՓԲ ընկերության բռնագանձել 54.759 ԱՄՆ դոլար 05  ԱՄՆ ցենտ, որից 47.911 ԱՄՆ դոլար 68 ԱՄՆ </w:t>
      </w:r>
      <w:proofErr w:type="spellStart"/>
      <w:r>
        <w:rPr>
          <w:rFonts w:ascii="GHEA Grapalat" w:hAnsi="GHEA Grapalat"/>
          <w:szCs w:val="24"/>
          <w:lang w:val="hy-AM"/>
        </w:rPr>
        <w:t>ցենտը</w:t>
      </w:r>
      <w:proofErr w:type="spellEnd"/>
      <w:r>
        <w:rPr>
          <w:rFonts w:ascii="GHEA Grapalat" w:hAnsi="GHEA Grapalat"/>
          <w:szCs w:val="24"/>
          <w:lang w:val="hy-AM"/>
        </w:rPr>
        <w:t xml:space="preserve"> որպես վարկի գումար, 5.224 ԱՄՆ դոլար 42 ԱՄՆ </w:t>
      </w:r>
      <w:proofErr w:type="spellStart"/>
      <w:r>
        <w:rPr>
          <w:rFonts w:ascii="GHEA Grapalat" w:hAnsi="GHEA Grapalat"/>
          <w:szCs w:val="24"/>
          <w:lang w:val="hy-AM"/>
        </w:rPr>
        <w:t>ցենտը</w:t>
      </w:r>
      <w:proofErr w:type="spellEnd"/>
      <w:r>
        <w:rPr>
          <w:rFonts w:ascii="GHEA Grapalat" w:hAnsi="GHEA Grapalat"/>
          <w:szCs w:val="24"/>
          <w:lang w:val="hy-AM"/>
        </w:rPr>
        <w:t xml:space="preserve"> որպես տոկոսագումար, 240 ԱՄՆ դոլար 13 ԱՄՆ </w:t>
      </w:r>
      <w:proofErr w:type="spellStart"/>
      <w:r>
        <w:rPr>
          <w:rFonts w:ascii="GHEA Grapalat" w:hAnsi="GHEA Grapalat"/>
          <w:szCs w:val="24"/>
          <w:lang w:val="hy-AM"/>
        </w:rPr>
        <w:t>ցենտը</w:t>
      </w:r>
      <w:proofErr w:type="spellEnd"/>
      <w:r>
        <w:rPr>
          <w:rFonts w:ascii="GHEA Grapalat" w:hAnsi="GHEA Grapalat"/>
          <w:szCs w:val="24"/>
          <w:lang w:val="hy-AM"/>
        </w:rPr>
        <w:t xml:space="preserve"> որպես ժամկետանց վարկի </w:t>
      </w:r>
      <w:proofErr w:type="spellStart"/>
      <w:r>
        <w:rPr>
          <w:rFonts w:ascii="GHEA Grapalat" w:hAnsi="GHEA Grapalat"/>
          <w:szCs w:val="24"/>
          <w:lang w:val="hy-AM"/>
        </w:rPr>
        <w:t>տուժանքի</w:t>
      </w:r>
      <w:proofErr w:type="spellEnd"/>
      <w:r>
        <w:rPr>
          <w:rFonts w:ascii="GHEA Grapalat" w:hAnsi="GHEA Grapalat"/>
          <w:szCs w:val="24"/>
          <w:lang w:val="hy-AM"/>
        </w:rPr>
        <w:t xml:space="preserve"> գումար, 1.382  ԱՄՆ դոլար 82 ԱՄՆ </w:t>
      </w:r>
      <w:proofErr w:type="spellStart"/>
      <w:r>
        <w:rPr>
          <w:rFonts w:ascii="GHEA Grapalat" w:hAnsi="GHEA Grapalat"/>
          <w:szCs w:val="24"/>
          <w:lang w:val="hy-AM"/>
        </w:rPr>
        <w:t>ցենտը</w:t>
      </w:r>
      <w:proofErr w:type="spellEnd"/>
      <w:r>
        <w:rPr>
          <w:rFonts w:ascii="GHEA Grapalat" w:hAnsi="GHEA Grapalat"/>
          <w:szCs w:val="24"/>
          <w:lang w:val="hy-AM"/>
        </w:rPr>
        <w:t xml:space="preserve"> որպես ժամկետանց տոկոսի տուժանք և 3.947 դրամ 90 լուման որպես հաշվարկված վարձավճար, 04.10.2011թ.-ից սկսած </w:t>
      </w:r>
      <w:proofErr w:type="spellStart"/>
      <w:r>
        <w:rPr>
          <w:rFonts w:ascii="GHEA Grapalat" w:hAnsi="GHEA Grapalat"/>
          <w:szCs w:val="24"/>
          <w:lang w:val="hy-AM"/>
        </w:rPr>
        <w:t>մինչև</w:t>
      </w:r>
      <w:proofErr w:type="spellEnd"/>
      <w:r>
        <w:rPr>
          <w:rFonts w:ascii="GHEA Grapalat" w:hAnsi="GHEA Grapalat"/>
          <w:szCs w:val="24"/>
          <w:lang w:val="hy-AM"/>
        </w:rPr>
        <w:t xml:space="preserve"> պարտքի լրիվ մարումը 47.911 ԱՄՆ դոլար 68 ԱՄՆ ցենտ վրա վարկային պայմանագրերի 1.1 կետի համաձայն հաշվարկված տարեկան 14% տոկոսադրույքը և պայմանագրի 3.2 և 3.3 կետերով նախատեսված տույժերի գումարը` բռնագանձումը տարածելով գրավադրված գույքի վրա, ինչպես նաև 411.965 դրամ 60 լումա վճարված </w:t>
      </w:r>
      <w:proofErr w:type="spellStart"/>
      <w:r>
        <w:rPr>
          <w:rFonts w:ascii="GHEA Grapalat" w:hAnsi="GHEA Grapalat"/>
          <w:szCs w:val="24"/>
          <w:lang w:val="hy-AM"/>
        </w:rPr>
        <w:t>պետտուրքը</w:t>
      </w:r>
      <w:proofErr w:type="spellEnd"/>
      <w:r>
        <w:rPr>
          <w:rFonts w:ascii="GHEA Grapalat" w:hAnsi="GHEA Grapalat"/>
          <w:szCs w:val="24"/>
          <w:lang w:val="hy-AM"/>
        </w:rPr>
        <w:t>»:</w:t>
      </w: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proofErr w:type="spellStart"/>
      <w:r>
        <w:rPr>
          <w:rFonts w:ascii="GHEA Grapalat" w:hAnsi="GHEA Grapalat" w:cs="Sylfaen"/>
          <w:szCs w:val="24"/>
          <w:lang w:val="hy-AM"/>
        </w:rPr>
        <w:t>Պարտապանից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պետք է բռնագանձել նաև բռնագանձվող գումարի հինգ տոկոսը՝ որպես կատարողական գործողությունների կատարման ծախս:</w:t>
      </w: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Կատարողական գործողությունների ընթացքում պարզվել է, որ </w:t>
      </w:r>
      <w:r>
        <w:rPr>
          <w:rFonts w:ascii="GHEA Grapalat" w:hAnsi="GHEA Grapalat"/>
          <w:szCs w:val="24"/>
          <w:lang w:val="hy-AM"/>
        </w:rPr>
        <w:t>Փարաքար-</w:t>
      </w:r>
      <w:proofErr w:type="spellStart"/>
      <w:r>
        <w:rPr>
          <w:rFonts w:ascii="GHEA Grapalat" w:hAnsi="GHEA Grapalat"/>
          <w:szCs w:val="24"/>
          <w:lang w:val="hy-AM"/>
        </w:rPr>
        <w:t>Թաիրովի</w:t>
      </w:r>
      <w:proofErr w:type="spellEnd"/>
      <w:r>
        <w:rPr>
          <w:rFonts w:ascii="GHEA Grapalat" w:hAnsi="GHEA Grapalat"/>
          <w:szCs w:val="24"/>
          <w:lang w:val="hy-AM"/>
        </w:rPr>
        <w:t xml:space="preserve"> Բակունցի 14 բնակելի տունը հանդիսանում է գրավի առարկա, որի շուկայական արժեքը 19,09,2015թ, դրությամբ կազմում է 23,730,000 ՀՀ դրամ գումար:</w:t>
      </w: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</w:t>
      </w: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Պարտապանին պատկանող այլ գույք կամ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դրամական միջոցներ չեն հայտնաբերվել:</w:t>
      </w: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07,10,2015թ</w:t>
      </w:r>
      <w:r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hy-AM"/>
        </w:rPr>
        <w:t>պահանջատերը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hy-AM"/>
        </w:rPr>
        <w:t>գրույթմաբ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հայտնել է, որ 30,09,2015թ</w:t>
      </w:r>
      <w:r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 w:cs="Sylfaen"/>
          <w:szCs w:val="24"/>
          <w:lang w:val="hy-AM"/>
        </w:rPr>
        <w:t xml:space="preserve"> դրությամբ բանկի նկատմամբ ունեցած պարտավորությունների չափը </w:t>
      </w:r>
      <w:proofErr w:type="spellStart"/>
      <w:r>
        <w:rPr>
          <w:rFonts w:ascii="GHEA Grapalat" w:hAnsi="GHEA Grapalat" w:cs="Sylfaen"/>
          <w:szCs w:val="24"/>
          <w:lang w:val="hy-AM"/>
        </w:rPr>
        <w:t>կազում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է 168,061</w:t>
      </w:r>
      <w:r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 w:cs="Sylfaen"/>
          <w:szCs w:val="24"/>
          <w:lang w:val="hy-AM"/>
        </w:rPr>
        <w:t>05 ԱՄՆ դոլար 3,946</w:t>
      </w:r>
      <w:r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 w:cs="Sylfaen"/>
          <w:szCs w:val="24"/>
          <w:lang w:val="hy-AM"/>
        </w:rPr>
        <w:t>60 ՀՀ դրամ սպասարկման գումար։</w:t>
      </w:r>
    </w:p>
    <w:p w:rsidR="00DE3EF5" w:rsidRDefault="00DE3EF5" w:rsidP="00DE3EF5">
      <w:pPr>
        <w:spacing w:after="0"/>
        <w:ind w:left="-709" w:firstLine="425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proofErr w:type="spellStart"/>
      <w:r>
        <w:rPr>
          <w:rFonts w:ascii="GHEA Grapalat" w:hAnsi="GHEA Grapalat" w:cs="Sylfaen"/>
          <w:b/>
          <w:szCs w:val="24"/>
          <w:lang w:val="hy-AM"/>
        </w:rPr>
        <w:t>Վերոգրյալի</w:t>
      </w:r>
      <w:proofErr w:type="spellEnd"/>
      <w:r>
        <w:rPr>
          <w:rFonts w:ascii="GHEA Grapalat" w:hAnsi="GHEA Grapalat" w:cs="Sylfaen"/>
          <w:b/>
          <w:szCs w:val="24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b/>
          <w:szCs w:val="24"/>
          <w:lang w:val="hy-AM"/>
        </w:rPr>
        <w:t>Սնանկության</w:t>
      </w:r>
      <w:proofErr w:type="spellEnd"/>
      <w:r>
        <w:rPr>
          <w:rFonts w:ascii="GHEA Grapalat" w:hAnsi="GHEA Grapalat" w:cs="Sylfaen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DE3EF5" w:rsidRDefault="00DE3EF5" w:rsidP="00DE3EF5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E3EF5" w:rsidRDefault="00DE3EF5" w:rsidP="00DE3EF5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E3EF5" w:rsidRDefault="00DE3EF5" w:rsidP="00DE3EF5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E3EF5" w:rsidRDefault="00DE3EF5" w:rsidP="00DE3EF5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DE3EF5" w:rsidRDefault="00DE3EF5" w:rsidP="00DE3EF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 w:cs="Sylfaen"/>
          <w:szCs w:val="24"/>
          <w:lang w:val="hy-AM"/>
        </w:rPr>
        <w:t>12.09.2014թ. վերսկսված թիվ</w:t>
      </w:r>
      <w:r>
        <w:rPr>
          <w:rFonts w:ascii="GHEA Grapalat" w:hAnsi="GHEA Grapalat" w:cs="Sylfaen"/>
          <w:szCs w:val="24"/>
          <w:lang w:val="hy-AM"/>
        </w:rPr>
        <w:t xml:space="preserve"> 66656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DE3EF5" w:rsidRDefault="00DE3EF5" w:rsidP="00DE3EF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DE3EF5" w:rsidRDefault="00DE3EF5" w:rsidP="00DE3EF5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hy-AM"/>
        </w:rPr>
        <w:t xml:space="preserve">    Ավագ հարկադիր կատարող`                                                       Սերոբ Ավետիսյան                                </w:t>
      </w:r>
    </w:p>
    <w:p w:rsidR="002A2DA9" w:rsidRPr="004A3714" w:rsidRDefault="002A2DA9">
      <w:pPr>
        <w:rPr>
          <w:lang w:val="hy-AM"/>
        </w:rPr>
      </w:pPr>
    </w:p>
    <w:sectPr w:rsidR="002A2DA9" w:rsidRPr="004A3714" w:rsidSect="00A301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01E5"/>
    <w:rsid w:val="001E1353"/>
    <w:rsid w:val="002A2DA9"/>
    <w:rsid w:val="003E72AD"/>
    <w:rsid w:val="004A3714"/>
    <w:rsid w:val="00A301E5"/>
    <w:rsid w:val="00D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756F"/>
  <w15:docId w15:val="{7588204E-A4DD-4278-865C-1DD984B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E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Shengavit-13</cp:lastModifiedBy>
  <cp:revision>8</cp:revision>
  <cp:lastPrinted>2015-07-08T11:19:00Z</cp:lastPrinted>
  <dcterms:created xsi:type="dcterms:W3CDTF">2015-07-08T11:18:00Z</dcterms:created>
  <dcterms:modified xsi:type="dcterms:W3CDTF">2015-11-26T11:21:00Z</dcterms:modified>
</cp:coreProperties>
</file>