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Default="00121221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B53A41">
        <w:rPr>
          <w:rFonts w:ascii="Sylfaen" w:hAnsi="Sylfaen"/>
          <w:i/>
          <w:lang w:val="hy-AM"/>
        </w:rPr>
        <w:t>0</w:t>
      </w:r>
      <w:r w:rsidR="00BC7747">
        <w:rPr>
          <w:rFonts w:ascii="Sylfaen" w:hAnsi="Sylfaen"/>
          <w:i/>
          <w:lang w:val="hy-AM"/>
        </w:rPr>
        <w:t>8</w:t>
      </w:r>
      <w:r>
        <w:rPr>
          <w:rFonts w:ascii="Sylfaen" w:hAnsi="Sylfaen"/>
          <w:i/>
          <w:lang w:val="hy-AM"/>
        </w:rPr>
        <w:t>.0</w:t>
      </w:r>
      <w:r w:rsidR="00B53A41">
        <w:rPr>
          <w:rFonts w:ascii="Sylfaen" w:hAnsi="Sylfaen"/>
          <w:i/>
          <w:lang w:val="hy-AM"/>
        </w:rPr>
        <w:t>8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Pr="00E06544">
        <w:rPr>
          <w:rFonts w:ascii="Sylfaen" w:hAnsi="Sylfaen"/>
          <w:i/>
          <w:iCs/>
          <w:lang w:val="hy-AM"/>
        </w:rPr>
        <w:t>.</w:t>
      </w:r>
      <w:r w:rsidR="00B53A41">
        <w:rPr>
          <w:rFonts w:ascii="Sylfaen" w:hAnsi="Sylfaen"/>
          <w:i/>
          <w:iCs/>
          <w:lang w:val="hy-AM"/>
        </w:rPr>
        <w:t>0</w:t>
      </w:r>
      <w:r w:rsidR="00777B0B">
        <w:rPr>
          <w:rFonts w:ascii="Sylfaen" w:hAnsi="Sylfaen"/>
          <w:i/>
          <w:iCs/>
          <w:lang w:val="hy-AM"/>
        </w:rPr>
        <w:t>8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 w:rsidR="00B53A41"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53A41">
        <w:rPr>
          <w:rFonts w:ascii="Sylfaen" w:hAnsi="Sylfaen"/>
          <w:i/>
          <w:lang w:val="hy-AM"/>
        </w:rPr>
        <w:t>021</w:t>
      </w:r>
      <w:r w:rsidR="00777B0B">
        <w:rPr>
          <w:rFonts w:ascii="Sylfaen" w:hAnsi="Sylfaen"/>
          <w:i/>
          <w:lang w:val="hy-AM"/>
        </w:rPr>
        <w:t>43977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1B1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</w:t>
      </w:r>
      <w:r w:rsidR="00B53A41">
        <w:rPr>
          <w:rFonts w:ascii="Sylfaen" w:hAnsi="Sylfaen"/>
          <w:i/>
          <w:lang w:val="hy-AM"/>
        </w:rPr>
        <w:t xml:space="preserve">Երևան քաղաքի Կենտրոն և Նորք-Մարաշ </w:t>
      </w:r>
      <w:r w:rsidRPr="00DB3E78">
        <w:rPr>
          <w:rFonts w:ascii="Sylfaen" w:hAnsi="Sylfaen"/>
          <w:i/>
          <w:lang w:val="hy-AM"/>
        </w:rPr>
        <w:t xml:space="preserve">վարչական </w:t>
      </w:r>
      <w:r w:rsidR="00B53A41">
        <w:rPr>
          <w:rFonts w:ascii="Sylfaen" w:hAnsi="Sylfaen"/>
          <w:i/>
          <w:lang w:val="hy-AM"/>
        </w:rPr>
        <w:t xml:space="preserve">շրջանների ընդհանուր իրավասության </w:t>
      </w:r>
      <w:r w:rsidRPr="00DB3E78">
        <w:rPr>
          <w:rFonts w:ascii="Sylfaen" w:hAnsi="Sylfaen"/>
          <w:i/>
          <w:lang w:val="hy-AM"/>
        </w:rPr>
        <w:t xml:space="preserve">դատարանի կողմից </w:t>
      </w:r>
      <w:r w:rsidR="00B53A41">
        <w:rPr>
          <w:rFonts w:ascii="Sylfaen" w:hAnsi="Sylfaen"/>
          <w:i/>
          <w:lang w:val="hy-AM"/>
        </w:rPr>
        <w:t>01</w:t>
      </w:r>
      <w:r w:rsidRPr="00DB3E78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07</w:t>
      </w:r>
      <w:r w:rsidRPr="00DB3E78">
        <w:rPr>
          <w:rFonts w:ascii="Sylfaen" w:hAnsi="Sylfaen"/>
          <w:i/>
          <w:lang w:val="hy-AM"/>
        </w:rPr>
        <w:t>.201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</w:t>
      </w:r>
      <w:r w:rsidR="00B53A41">
        <w:rPr>
          <w:rFonts w:ascii="Sylfaen" w:hAnsi="Sylfaen"/>
          <w:i/>
          <w:lang w:val="hy-AM"/>
        </w:rPr>
        <w:t>ԵԿ</w:t>
      </w:r>
      <w:r w:rsidRPr="00DB3E78">
        <w:rPr>
          <w:rFonts w:ascii="Sylfaen" w:hAnsi="Sylfaen"/>
          <w:i/>
          <w:lang w:val="hy-AM"/>
        </w:rPr>
        <w:t xml:space="preserve">Դ </w:t>
      </w:r>
      <w:r w:rsidR="00B53A41">
        <w:rPr>
          <w:rFonts w:ascii="Sylfaen" w:hAnsi="Sylfaen"/>
          <w:i/>
          <w:lang w:val="hy-AM"/>
        </w:rPr>
        <w:t>0239</w:t>
      </w:r>
      <w:r>
        <w:rPr>
          <w:rFonts w:ascii="Sylfaen" w:hAnsi="Sylfaen"/>
          <w:i/>
          <w:lang w:val="hy-AM"/>
        </w:rPr>
        <w:t>/0</w:t>
      </w:r>
      <w:r w:rsidR="00B53A41">
        <w:rPr>
          <w:rFonts w:ascii="Sylfaen" w:hAnsi="Sylfaen"/>
          <w:i/>
          <w:lang w:val="hy-AM"/>
        </w:rPr>
        <w:t>2</w:t>
      </w:r>
      <w:r>
        <w:rPr>
          <w:rFonts w:ascii="Sylfaen" w:hAnsi="Sylfaen"/>
          <w:i/>
          <w:lang w:val="hy-AM"/>
        </w:rPr>
        <w:t>/1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 w:rsidR="000D665A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0D665A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 –ից </w:t>
      </w:r>
      <w:r>
        <w:rPr>
          <w:rFonts w:ascii="Sylfaen" w:hAnsi="Sylfaen"/>
          <w:i/>
          <w:lang w:val="hy-AM"/>
        </w:rPr>
        <w:t xml:space="preserve">հօգուտ </w:t>
      </w:r>
      <w:r w:rsidR="0038122D">
        <w:rPr>
          <w:rFonts w:ascii="Sylfaen" w:hAnsi="Sylfaen"/>
          <w:i/>
          <w:lang w:val="hy-AM"/>
        </w:rPr>
        <w:t>Աշոտ Մեջլումյանի</w:t>
      </w:r>
      <w:r w:rsidR="00B27D1F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բռնագանձել </w:t>
      </w:r>
      <w:r w:rsidR="0038122D">
        <w:rPr>
          <w:rFonts w:ascii="Sylfaen" w:hAnsi="Sylfaen"/>
          <w:i/>
          <w:lang w:val="hy-AM"/>
        </w:rPr>
        <w:t>525</w:t>
      </w:r>
      <w:r w:rsidR="003C1B1A" w:rsidRPr="003C1B1A">
        <w:rPr>
          <w:rFonts w:ascii="Sylfaen" w:hAnsi="Sylfaen"/>
          <w:i/>
          <w:lang w:val="hy-AM"/>
        </w:rPr>
        <w:t>.</w:t>
      </w:r>
      <w:r w:rsidR="0038122D">
        <w:rPr>
          <w:rFonts w:ascii="Sylfaen" w:hAnsi="Sylfaen"/>
          <w:i/>
          <w:lang w:val="hy-AM"/>
        </w:rPr>
        <w:t>254</w:t>
      </w:r>
      <w:r>
        <w:rPr>
          <w:rFonts w:ascii="Sylfaen" w:hAnsi="Sylfaen"/>
          <w:i/>
          <w:lang w:val="hy-AM"/>
        </w:rPr>
        <w:t xml:space="preserve"> ՀՀ դրամ</w:t>
      </w:r>
      <w:r w:rsidR="00B53A41">
        <w:rPr>
          <w:rFonts w:ascii="Sylfaen" w:hAnsi="Sylfaen"/>
          <w:i/>
          <w:lang w:val="hy-AM"/>
        </w:rPr>
        <w:t xml:space="preserve">, այդ թվում՝ </w:t>
      </w:r>
      <w:r w:rsidR="0038122D">
        <w:rPr>
          <w:rFonts w:ascii="Sylfaen" w:hAnsi="Sylfaen"/>
          <w:i/>
          <w:lang w:val="hy-AM"/>
        </w:rPr>
        <w:t>470</w:t>
      </w:r>
      <w:r w:rsidR="00B53A41" w:rsidRPr="003C1B1A">
        <w:rPr>
          <w:rFonts w:ascii="Sylfaen" w:hAnsi="Sylfaen"/>
          <w:i/>
          <w:lang w:val="hy-AM"/>
        </w:rPr>
        <w:t>.</w:t>
      </w:r>
      <w:r w:rsidR="0038122D">
        <w:rPr>
          <w:rFonts w:ascii="Sylfaen" w:hAnsi="Sylfaen"/>
          <w:i/>
          <w:lang w:val="hy-AM"/>
        </w:rPr>
        <w:t>110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գումար, </w:t>
      </w:r>
      <w:r w:rsidR="0038122D">
        <w:rPr>
          <w:rFonts w:ascii="Sylfaen" w:hAnsi="Sylfaen"/>
          <w:i/>
          <w:lang w:val="hy-AM"/>
        </w:rPr>
        <w:t>55</w:t>
      </w:r>
      <w:r w:rsidR="00952373" w:rsidRPr="00952373">
        <w:rPr>
          <w:rFonts w:ascii="Sylfaen" w:hAnsi="Sylfaen"/>
          <w:i/>
          <w:lang w:val="hy-AM"/>
        </w:rPr>
        <w:t>.</w:t>
      </w:r>
      <w:r w:rsidR="0038122D">
        <w:rPr>
          <w:rFonts w:ascii="Sylfaen" w:hAnsi="Sylfaen"/>
          <w:i/>
          <w:lang w:val="hy-AM"/>
        </w:rPr>
        <w:t>144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վրա ՀՀ աշխատանքային օրենսգրքի 198-րդ հոդվածի հիմքով հաշվարկված տույժի գումար</w:t>
      </w:r>
      <w:r w:rsidR="003C1B1A">
        <w:rPr>
          <w:rFonts w:ascii="Sylfaen" w:hAnsi="Sylfaen"/>
          <w:i/>
          <w:lang w:val="hy-AM"/>
        </w:rPr>
        <w:t>։</w:t>
      </w:r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</w:t>
      </w:r>
      <w:r w:rsidR="00B53A41">
        <w:rPr>
          <w:rFonts w:ascii="Sylfaen" w:hAnsi="Sylfaen"/>
          <w:i/>
          <w:lang w:val="hy-AM"/>
        </w:rPr>
        <w:t>վարույթով վճռի հարկադիր կատարման ընթացքում պարտապան</w:t>
      </w:r>
      <w:r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 xml:space="preserve">&lt;Պարամաունտ Գոլդ Մայնինգ&gt; ՓԲԸ-ի ողջ գույքի վրա բռնագանձում տարածելու պարագայում </w:t>
      </w:r>
      <w:r w:rsidR="00AC7130">
        <w:rPr>
          <w:rFonts w:ascii="Sylfaen" w:hAnsi="Sylfaen"/>
          <w:i/>
          <w:lang w:val="hy-AM"/>
        </w:rPr>
        <w:t xml:space="preserve">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</w:t>
      </w:r>
      <w:r w:rsidR="00AC7130">
        <w:rPr>
          <w:rFonts w:ascii="Sylfaen" w:hAnsi="Sylfaen"/>
          <w:i/>
          <w:lang w:val="hy-AM"/>
        </w:rPr>
        <w:t xml:space="preserve"> և այլ դրամական միջոցներ </w:t>
      </w:r>
      <w:r w:rsidRPr="00E06544">
        <w:rPr>
          <w:rFonts w:ascii="Sylfaen" w:hAnsi="Sylfaen"/>
          <w:i/>
          <w:lang w:val="hy-AM"/>
        </w:rPr>
        <w:t>չի հայտնաբերվել</w:t>
      </w:r>
      <w:r w:rsidR="00AC7130">
        <w:rPr>
          <w:rFonts w:ascii="Sylfaen" w:hAnsi="Sylfaen"/>
          <w:i/>
          <w:lang w:val="hy-AM"/>
        </w:rPr>
        <w:t>, որոնց վրա կարելի է բռնագանձում տարածել</w:t>
      </w:r>
      <w:r w:rsidRPr="00E06544">
        <w:rPr>
          <w:rFonts w:ascii="Sylfaen" w:hAnsi="Sylfaen"/>
          <w:i/>
          <w:lang w:val="hy-AM"/>
        </w:rPr>
        <w:t>: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bookmarkStart w:id="0" w:name="_GoBack"/>
      <w:bookmarkEnd w:id="0"/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="00777B0B" w:rsidRPr="00E06544">
        <w:rPr>
          <w:rFonts w:ascii="Sylfaen" w:hAnsi="Sylfaen"/>
          <w:i/>
          <w:iCs/>
          <w:lang w:val="hy-AM"/>
        </w:rPr>
        <w:t>.</w:t>
      </w:r>
      <w:r w:rsidR="00777B0B">
        <w:rPr>
          <w:rFonts w:ascii="Sylfaen" w:hAnsi="Sylfaen"/>
          <w:i/>
          <w:iCs/>
          <w:lang w:val="hy-AM"/>
        </w:rPr>
        <w:t>08</w:t>
      </w:r>
      <w:r w:rsidR="00777B0B" w:rsidRPr="00E06544">
        <w:rPr>
          <w:i/>
          <w:iCs/>
          <w:lang w:val="hy-AM"/>
        </w:rPr>
        <w:t>.</w:t>
      </w:r>
      <w:r w:rsidR="00777B0B" w:rsidRPr="00E06544">
        <w:rPr>
          <w:i/>
          <w:lang w:val="af-ZA"/>
        </w:rPr>
        <w:t>201</w:t>
      </w:r>
      <w:r w:rsidR="00777B0B">
        <w:rPr>
          <w:rFonts w:ascii="Sylfaen" w:hAnsi="Sylfaen"/>
          <w:i/>
          <w:lang w:val="hy-AM"/>
        </w:rPr>
        <w:t>6</w:t>
      </w:r>
      <w:r w:rsidR="00777B0B" w:rsidRPr="00E06544">
        <w:rPr>
          <w:rFonts w:ascii="Sylfaen" w:hAnsi="Sylfaen"/>
          <w:i/>
          <w:lang w:val="hy-AM"/>
        </w:rPr>
        <w:t>թ</w:t>
      </w:r>
      <w:r w:rsidR="00777B0B" w:rsidRPr="00E06544">
        <w:rPr>
          <w:i/>
          <w:lang w:val="af-ZA"/>
        </w:rPr>
        <w:t>.</w:t>
      </w:r>
      <w:r w:rsidR="00777B0B" w:rsidRPr="00E06544">
        <w:rPr>
          <w:rFonts w:ascii="Sylfaen" w:hAnsi="Sylfaen"/>
          <w:i/>
          <w:lang w:val="hy-AM"/>
        </w:rPr>
        <w:t xml:space="preserve"> </w:t>
      </w:r>
      <w:r w:rsidR="00777B0B">
        <w:rPr>
          <w:rFonts w:ascii="Sylfaen" w:hAnsi="Sylfaen"/>
          <w:i/>
          <w:lang w:val="hy-AM"/>
        </w:rPr>
        <w:t>հարուցված</w:t>
      </w:r>
      <w:r w:rsidR="00777B0B" w:rsidRPr="00E06544">
        <w:rPr>
          <w:rFonts w:ascii="Sylfaen" w:hAnsi="Sylfaen"/>
          <w:i/>
          <w:lang w:val="hy-AM"/>
        </w:rPr>
        <w:t xml:space="preserve"> թիվ </w:t>
      </w:r>
      <w:r w:rsidR="00777B0B">
        <w:rPr>
          <w:rFonts w:ascii="Sylfaen" w:hAnsi="Sylfaen"/>
          <w:i/>
          <w:lang w:val="hy-AM"/>
        </w:rPr>
        <w:t xml:space="preserve">02143977 </w:t>
      </w:r>
      <w:r w:rsidRPr="00E06544">
        <w:rPr>
          <w:rFonts w:ascii="Sylfaen" w:hAnsi="Sylfaen"/>
          <w:i/>
          <w:lang w:val="hy-AM"/>
        </w:rPr>
        <w:t>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="005E7214">
        <w:rPr>
          <w:rFonts w:ascii="Sylfaen" w:hAnsi="Sylfaen"/>
          <w:i/>
          <w:lang w:val="hy-AM"/>
        </w:rPr>
        <w:t>60-օրյա ժամկետով</w:t>
      </w:r>
      <w:r w:rsidRPr="00E06544">
        <w:rPr>
          <w:rFonts w:ascii="Sylfaen" w:hAnsi="Sylfaen"/>
          <w:i/>
          <w:lang w:val="hy-AM"/>
        </w:rPr>
        <w:t>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4F" w:rsidRDefault="003D2E4F" w:rsidP="00D97AD5">
      <w:r>
        <w:separator/>
      </w:r>
    </w:p>
  </w:endnote>
  <w:endnote w:type="continuationSeparator" w:id="0">
    <w:p w:rsidR="003D2E4F" w:rsidRDefault="003D2E4F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4F" w:rsidRDefault="003D2E4F" w:rsidP="00D97AD5">
      <w:r>
        <w:separator/>
      </w:r>
    </w:p>
  </w:footnote>
  <w:footnote w:type="continuationSeparator" w:id="0">
    <w:p w:rsidR="003D2E4F" w:rsidRDefault="003D2E4F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0D665A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2E4F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0B9D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21FD0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119</cp:revision>
  <cp:lastPrinted>2016-08-08T07:40:00Z</cp:lastPrinted>
  <dcterms:created xsi:type="dcterms:W3CDTF">2012-03-19T07:43:00Z</dcterms:created>
  <dcterms:modified xsi:type="dcterms:W3CDTF">2016-08-08T08:25:00Z</dcterms:modified>
</cp:coreProperties>
</file>